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682212D"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FD79D7" w:rsidRPr="00FD79D7">
        <w:rPr>
          <w:rFonts w:ascii="Arial Narrow" w:eastAsia="Times New Roman" w:hAnsi="Arial Narrow" w:cs="Times New Roman"/>
          <w:b/>
          <w:bCs/>
          <w:color w:val="000000"/>
          <w:kern w:val="0"/>
          <w:shd w:val="clear" w:color="auto" w:fill="FFFFFF"/>
          <w:lang w:eastAsia="es-PE"/>
          <w14:ligatures w14:val="none"/>
        </w:rPr>
        <w:t>1723-2026</w:t>
      </w:r>
      <w:r w:rsidRPr="00FD79D7">
        <w:rPr>
          <w:rFonts w:ascii="Arial Narrow" w:eastAsia="Times New Roman" w:hAnsi="Arial Narrow" w:cs="Times New Roman"/>
          <w:b/>
          <w:bCs/>
          <w:color w:val="000000"/>
          <w:kern w:val="0"/>
          <w:shd w:val="clear" w:color="auto" w:fill="FFFFFF"/>
          <w:lang w:eastAsia="es-PE"/>
          <w14:ligatures w14:val="none"/>
        </w:rPr>
        <w:t>/CC1</w:t>
      </w:r>
    </w:p>
    <w:p w14:paraId="7E5DC22B" w14:textId="74AA738C" w:rsidR="00CA59A2" w:rsidRPr="00FD79D7"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D79D7">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77777777" w:rsidR="00CA59A2" w:rsidRPr="00FD79D7"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D79D7">
        <w:rPr>
          <w:rFonts w:ascii="Arial Narrow" w:eastAsia="Arial Narrow" w:hAnsi="Arial Narrow" w:cs="Arial Narrow"/>
          <w:b/>
          <w:color w:val="000000"/>
          <w:kern w:val="0"/>
          <w:lang w:eastAsia="es-PE"/>
          <w14:ligatures w14:val="none"/>
        </w:rPr>
        <w:t>DENUNCIADO</w:t>
      </w:r>
      <w:r w:rsidRPr="00FD79D7">
        <w:rPr>
          <w:rFonts w:ascii="Arial Narrow" w:eastAsia="Arial Narrow" w:hAnsi="Arial Narrow" w:cs="Arial Narrow"/>
          <w:b/>
          <w:color w:val="000000"/>
          <w:kern w:val="0"/>
          <w:lang w:eastAsia="es-PE"/>
          <w14:ligatures w14:val="none"/>
        </w:rPr>
        <w:tab/>
        <w:t>:</w:t>
      </w:r>
      <w:r w:rsidRPr="00FD79D7">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D79D7">
        <w:rPr>
          <w:rFonts w:ascii="Arial Narrow" w:eastAsia="Arial Narrow" w:hAnsi="Arial Narrow" w:cs="Arial Narrow"/>
          <w:b/>
          <w:color w:val="000000"/>
          <w:kern w:val="0"/>
          <w:lang w:eastAsia="es-PE"/>
          <w14:ligatures w14:val="none"/>
        </w:rPr>
        <w:t>MATERIAS</w:t>
      </w:r>
      <w:r w:rsidRPr="00FD79D7">
        <w:rPr>
          <w:rFonts w:ascii="Arial Narrow" w:eastAsia="Arial Narrow" w:hAnsi="Arial Narrow" w:cs="Arial Narrow"/>
          <w:b/>
          <w:color w:val="000000"/>
          <w:kern w:val="0"/>
          <w:lang w:eastAsia="es-PE"/>
          <w14:ligatures w14:val="none"/>
        </w:rPr>
        <w:tab/>
        <w:t xml:space="preserve">: </w:t>
      </w:r>
      <w:r w:rsidRPr="00FD79D7">
        <w:rPr>
          <w:rFonts w:ascii="Arial Narrow" w:eastAsia="Arial Narrow" w:hAnsi="Arial Narrow" w:cs="Arial Narrow"/>
          <w:b/>
          <w:color w:val="000000"/>
          <w:kern w:val="0"/>
          <w:lang w:eastAsia="es-PE"/>
          <w14:ligatures w14:val="none"/>
        </w:rPr>
        <w:tab/>
        <w:t>ADMISIÓN A TRÁMITE</w:t>
      </w:r>
    </w:p>
    <w:p w14:paraId="19ED7B73" w14:textId="4A1FAEE1" w:rsidR="00CA59A2" w:rsidRPr="00FD79D7"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D79D7">
        <w:rPr>
          <w:rFonts w:ascii="Arial Narrow" w:eastAsia="Arial Narrow" w:hAnsi="Arial Narrow" w:cs="Arial Narrow"/>
          <w:b/>
          <w:color w:val="000000"/>
          <w:kern w:val="0"/>
          <w:lang w:eastAsia="es-PE"/>
          <w14:ligatures w14:val="none"/>
        </w:rPr>
        <w:t>REQUERIMIENTO DE INFORMACIÓN</w:t>
      </w:r>
    </w:p>
    <w:p w14:paraId="46A5A479" w14:textId="77777777" w:rsidR="00CA59A2" w:rsidRPr="00FD79D7"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D79D7">
        <w:rPr>
          <w:rFonts w:ascii="Arial Narrow" w:eastAsia="Arial Narrow" w:hAnsi="Arial Narrow" w:cs="Arial Narrow"/>
          <w:b/>
          <w:color w:val="000000"/>
          <w:kern w:val="0"/>
          <w:lang w:eastAsia="es-PE"/>
          <w14:ligatures w14:val="none"/>
        </w:rPr>
        <w:t xml:space="preserve">RESOLUCIÓN </w:t>
      </w:r>
      <w:r w:rsidRPr="00FD79D7">
        <w:rPr>
          <w:rFonts w:ascii="Arial Narrow" w:eastAsia="Arial Narrow" w:hAnsi="Arial Narrow" w:cs="Arial Narrow"/>
          <w:b/>
          <w:color w:val="000000"/>
          <w:kern w:val="0"/>
          <w:lang w:eastAsia="es-PE"/>
          <w14:ligatures w14:val="none"/>
        </w:rPr>
        <w:tab/>
        <w:t>:</w:t>
      </w:r>
      <w:r w:rsidRPr="00FD79D7">
        <w:rPr>
          <w:rFonts w:ascii="Arial Narrow" w:eastAsia="Arial Narrow" w:hAnsi="Arial Narrow" w:cs="Arial Narrow"/>
          <w:b/>
          <w:color w:val="000000"/>
          <w:kern w:val="0"/>
          <w:lang w:eastAsia="es-PE"/>
          <w14:ligatures w14:val="none"/>
        </w:rPr>
        <w:tab/>
        <w:t>2</w:t>
      </w:r>
    </w:p>
    <w:p w14:paraId="5BA3A18D" w14:textId="77777777" w:rsidR="00CA59A2" w:rsidRPr="00FD79D7"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D79D7">
        <w:rPr>
          <w:rFonts w:ascii="Arial Narrow" w:eastAsia="Times New Roman" w:hAnsi="Arial Narrow" w:cs="Times New Roman"/>
          <w:color w:val="000000"/>
          <w:kern w:val="0"/>
          <w:shd w:val="clear" w:color="auto" w:fill="FFFFFF"/>
          <w:lang w:eastAsia="es-PE"/>
          <w14:ligatures w14:val="none"/>
        </w:rPr>
        <w:t xml:space="preserve">Lima, </w:t>
      </w:r>
      <w:r w:rsidR="00C472DA" w:rsidRPr="00FD79D7">
        <w:rPr>
          <w:rFonts w:ascii="Arial Narrow" w:eastAsia="Times New Roman" w:hAnsi="Arial Narrow" w:cs="Times New Roman"/>
          <w:color w:val="000000"/>
          <w:kern w:val="0"/>
          <w:shd w:val="clear" w:color="auto" w:fill="FFFFFF"/>
          <w:lang w:eastAsia="es-PE"/>
          <w14:ligatures w14:val="none"/>
        </w:rPr>
        <w:t xml:space="preserve">5 de junio de 2026</w:t>
      </w:r>
      <w:r w:rsidRPr="00FD79D7">
        <w:rPr>
          <w:rFonts w:ascii="Arial Narrow" w:eastAsia="Times New Roman" w:hAnsi="Arial Narrow" w:cs="Times New Roman"/>
          <w:color w:val="000000"/>
          <w:kern w:val="0"/>
          <w:shd w:val="clear" w:color="auto" w:fill="FFFFFF"/>
          <w:lang w:eastAsia="es-PE"/>
          <w14:ligatures w14:val="none"/>
        </w:rPr>
        <w:t xml:space="preserve"/>
      </w:r>
      <w:r w:rsidR="00C472DA" w:rsidRPr="00FD79D7">
        <w:rPr>
          <w:rFonts w:ascii="Arial Narrow" w:eastAsia="Times New Roman" w:hAnsi="Arial Narrow" w:cs="Times New Roman"/>
          <w:color w:val="000000"/>
          <w:kern w:val="0"/>
          <w:shd w:val="clear" w:color="auto" w:fill="FFFFFF"/>
          <w:lang w:eastAsia="es-PE"/>
          <w14:ligatures w14:val="none"/>
        </w:rPr>
        <w:t xml:space="preserve"/>
      </w:r>
      <w:r w:rsidR="00985114" w:rsidRPr="00FD79D7">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3AEE0F0D"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06988">
        <w:rPr>
          <w:rFonts w:ascii="Arial Narrow" w:eastAsia="Times New Roman" w:hAnsi="Arial Narrow" w:cs="Arial"/>
          <w:color w:val="000000"/>
          <w:kern w:val="0"/>
          <w:lang w:val="es-ES" w:eastAsia="es-ES"/>
          <w14:ligatures w14:val="none"/>
        </w:rPr>
        <w:t xml:space="preserve">Mediante el escrito del 13 de abril de 2026, complementado mediante escrito del 1 de junio de 2026, la señora [APELLIDO] denunció a Rímac por presuntas infracciones a la Ley 29571, Código de Protección y Defensa del Consumidor (en adelante, Código), señalando lo siguiente:</w:t>
      </w:r>
      <w:r w:rsidR="000D6A05" w:rsidRPr="00906988">
        <w:rPr>
          <w:rFonts w:ascii="Arial Narrow" w:eastAsia="Times New Roman" w:hAnsi="Arial Narrow" w:cs="Arial"/>
          <w:color w:val="000000"/>
          <w:kern w:val="0"/>
          <w:lang w:val="es-ES" w:eastAsia="es-ES"/>
          <w14:ligatures w14:val="none"/>
        </w:rPr>
        <w:t/>
      </w:r>
      <w:r w:rsidR="00906988" w:rsidRPr="00906988">
        <w:rPr>
          <w:rFonts w:ascii="Arial Narrow" w:eastAsia="Times New Roman" w:hAnsi="Arial Narrow" w:cs="Arial"/>
          <w:color w:val="000000"/>
          <w:kern w:val="0"/>
          <w:lang w:val="es-ES" w:eastAsia="es-ES"/>
          <w14:ligatures w14:val="none"/>
        </w:rPr>
        <w:t/>
      </w:r>
      <w:r w:rsidR="00996DC2" w:rsidRPr="00906988">
        <w:rPr>
          <w:rFonts w:ascii="Arial Narrow" w:eastAsia="Calibri" w:hAnsi="Arial Narrow" w:cs="Arial"/>
          <w:kern w:val="0"/>
          <w14:ligatures w14:val="none"/>
        </w:rPr>
        <w:t/>
      </w:r>
      <w:r w:rsidRPr="00906988">
        <w:rPr>
          <w:rFonts w:ascii="Arial Narrow" w:eastAsia="Calibri" w:hAnsi="Arial Narrow" w:cs="Arial"/>
          <w:kern w:val="0"/>
          <w14:ligatures w14:val="none"/>
        </w:rPr>
        <w:t xml:space="preserve"/>
      </w:r>
      <w:r w:rsidR="00FD79D7" w:rsidRPr="00906988">
        <w:rPr>
          <w:rFonts w:ascii="Arial Narrow" w:eastAsia="Calibri" w:hAnsi="Arial Narrow" w:cs="Arial"/>
          <w:kern w:val="0"/>
          <w14:ligatures w14:val="none"/>
        </w:rPr>
        <w:t xml:space="preserve"/>
      </w:r>
      <w:r w:rsidRPr="00906988">
        <w:rPr>
          <w:rFonts w:ascii="Arial Narrow" w:eastAsia="Calibri" w:hAnsi="Arial Narrow" w:cs="Arial"/>
          <w:kern w:val="0"/>
          <w14:ligatures w14:val="none"/>
        </w:rPr>
        <w:t/>
      </w:r>
      <w:r w:rsidRPr="00906988">
        <w:rPr>
          <w:rFonts w:ascii="Arial Narrow" w:eastAsia="Times New Roman" w:hAnsi="Arial Narrow" w:cs="Arial"/>
          <w:color w:val="000000"/>
          <w:kern w:val="0"/>
          <w:lang w:val="es-ES" w:eastAsia="es-ES"/>
          <w14:ligatures w14:val="none"/>
        </w:rPr>
        <w:t/>
      </w:r>
      <w:r w:rsidRPr="00FD79D7">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Times New Roman"/>
          <w:kern w:val="0"/>
          <w:shd w:val="clear" w:color="auto" w:fill="FFFFFF"/>
          <w:lang w:eastAsia="es-PE"/>
          <w14:ligatures w14:val="none"/>
        </w:rPr>
        <w:t/>
      </w:r>
      <w:r w:rsidRPr="00EB4D2D">
        <w:rPr>
          <w:rFonts w:ascii="Arial Narrow" w:eastAsia="Times New Roman" w:hAnsi="Arial Narrow" w:cs="Arial"/>
          <w:color w:val="000000"/>
          <w:kern w:val="0"/>
          <w:lang w:val="es-ES" w:eastAsia="es-ES"/>
          <w14:ligatures w14:val="none"/>
        </w:rPr>
        <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1"/>
      </w:r>
      <w:r w:rsidRPr="00EB4D2D">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bCs/>
          <w:color w:val="000000"/>
          <w:kern w:val="0"/>
          <w:lang w:val="es-ES" w:eastAsia="es-ES"/>
          <w14:ligatures w14:val="none"/>
        </w:rPr>
        <w:t/>
      </w:r>
    </w:p>
    <w:p w14:paraId="512911CE" w14:textId="77777777" w:rsidR="00CA59A2" w:rsidRPr="00F55528" w:rsidRDefault="00CA59A2" w:rsidP="00F55528">
      <w:pPr>
        <w:spacing w:after="0" w:line="240" w:lineRule="auto"/>
        <w:jc w:val="both"/>
        <w:rPr>
          <w:rFonts w:ascii="Arial Narrow" w:eastAsia="Times New Roman" w:hAnsi="Arial Narrow" w:cs="Arial"/>
          <w:color w:val="000000"/>
          <w:kern w:val="0"/>
          <w:lang w:eastAsia="es-ES"/>
          <w14:ligatures w14:val="none"/>
        </w:rPr>
      </w:pPr>
    </w:p>
    <w:p w14:paraId="77CCEF96" w14:textId="16121623" w:rsidR="00F55528" w:rsidRDefault="00F5552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55528">
        <w:rPr>
          <w:rFonts w:ascii="Arial Narrow" w:eastAsia="Times New Roman" w:hAnsi="Arial Narrow" w:cs="Arial"/>
          <w:color w:val="000000"/>
          <w:kern w:val="0"/>
          <w:lang w:eastAsia="es-ES"/>
          <w14:ligatures w14:val="none"/>
        </w:rPr>
        <w:t xml:space="preserve">El 15 de mayo de 2007, contrató con Rímac </w:t>
      </w:r>
      <w:r w:rsidR="003E1609">
        <w:rPr>
          <w:rFonts w:ascii="Arial Narrow" w:eastAsia="Times New Roman" w:hAnsi="Arial Narrow" w:cs="Arial"/>
          <w:color w:val="000000"/>
          <w:kern w:val="0"/>
          <w:lang w:eastAsia="es-ES"/>
          <w14:ligatures w14:val="none"/>
        </w:rPr>
        <w:t xml:space="preserve">el </w:t>
      </w:r>
      <w:r w:rsidR="003E1609" w:rsidRPr="00F55528">
        <w:rPr>
          <w:rFonts w:ascii="Arial Narrow" w:eastAsia="Times New Roman" w:hAnsi="Arial Narrow" w:cs="Arial"/>
          <w:color w:val="000000"/>
          <w:kern w:val="0"/>
          <w:lang w:eastAsia="es-ES"/>
          <w14:ligatures w14:val="none"/>
        </w:rPr>
        <w:t>Seguro de Vida Inversión Flexible</w:t>
      </w:r>
      <w:r w:rsidR="003E1609">
        <w:rPr>
          <w:rFonts w:ascii="Arial Narrow" w:eastAsia="Times New Roman" w:hAnsi="Arial Narrow" w:cs="Arial"/>
          <w:color w:val="000000"/>
          <w:kern w:val="0"/>
          <w:lang w:eastAsia="es-ES"/>
          <w14:ligatures w14:val="none"/>
        </w:rPr>
        <w:t xml:space="preserve"> -</w:t>
      </w:r>
      <w:r w:rsidRPr="00F55528">
        <w:rPr>
          <w:rFonts w:ascii="Arial Narrow" w:eastAsia="Times New Roman" w:hAnsi="Arial Narrow" w:cs="Arial"/>
          <w:color w:val="000000"/>
          <w:kern w:val="0"/>
          <w:lang w:eastAsia="es-ES"/>
          <w14:ligatures w14:val="none"/>
        </w:rPr>
        <w:t xml:space="preserve"> </w:t>
      </w:r>
      <w:r w:rsidR="003E1609">
        <w:rPr>
          <w:rFonts w:ascii="Arial Narrow" w:eastAsia="Times New Roman" w:hAnsi="Arial Narrow" w:cs="Arial"/>
          <w:color w:val="000000"/>
          <w:kern w:val="0"/>
          <w:lang w:eastAsia="es-ES"/>
          <w14:ligatures w14:val="none"/>
        </w:rPr>
        <w:t>P</w:t>
      </w:r>
      <w:r w:rsidRPr="00F55528">
        <w:rPr>
          <w:rFonts w:ascii="Arial Narrow" w:eastAsia="Times New Roman" w:hAnsi="Arial Narrow" w:cs="Arial"/>
          <w:color w:val="000000"/>
          <w:kern w:val="0"/>
          <w:lang w:eastAsia="es-ES"/>
          <w14:ligatures w14:val="none"/>
        </w:rPr>
        <w:t>óliza U</w:t>
      </w:r>
      <w:r w:rsidR="003E1609">
        <w:rPr>
          <w:rFonts w:ascii="Arial Narrow" w:eastAsia="Times New Roman" w:hAnsi="Arial Narrow" w:cs="Arial"/>
          <w:color w:val="000000"/>
          <w:kern w:val="0"/>
          <w:lang w:eastAsia="es-ES"/>
          <w14:ligatures w14:val="none"/>
        </w:rPr>
        <w:t>-</w:t>
      </w:r>
      <w:r w:rsidRPr="00F55528">
        <w:rPr>
          <w:rFonts w:ascii="Arial Narrow" w:eastAsia="Times New Roman" w:hAnsi="Arial Narrow" w:cs="Arial"/>
          <w:color w:val="000000"/>
          <w:kern w:val="0"/>
          <w:lang w:eastAsia="es-ES"/>
          <w14:ligatures w14:val="none"/>
        </w:rPr>
        <w:t>13857</w:t>
      </w:r>
      <w:r w:rsidR="003E1609">
        <w:rPr>
          <w:rFonts w:ascii="Arial Narrow" w:eastAsia="Times New Roman" w:hAnsi="Arial Narrow" w:cs="Arial"/>
          <w:color w:val="000000"/>
          <w:kern w:val="0"/>
          <w:lang w:eastAsia="es-ES"/>
          <w14:ligatures w14:val="none"/>
        </w:rPr>
        <w:t xml:space="preserve"> (en adelante, Seguro de Vida)</w:t>
      </w:r>
      <w:r w:rsidRPr="00F55528">
        <w:rPr>
          <w:rFonts w:ascii="Arial Narrow" w:eastAsia="Times New Roman" w:hAnsi="Arial Narrow" w:cs="Arial"/>
          <w:color w:val="000000"/>
          <w:kern w:val="0"/>
          <w:lang w:eastAsia="es-ES"/>
          <w14:ligatures w14:val="none"/>
        </w:rPr>
        <w:t xml:space="preserve">, efectuándose pagos semestrales por US$ 542,94, equivalentes a un total anual de US$ 1 085,88, los cuales se realizaron de manera continua hasta el año 2023. En el año 2024 tomó conocimiento </w:t>
      </w:r>
      <w:r w:rsidR="003E1609">
        <w:rPr>
          <w:rFonts w:ascii="Arial Narrow" w:eastAsia="Times New Roman" w:hAnsi="Arial Narrow" w:cs="Arial"/>
          <w:color w:val="000000"/>
          <w:kern w:val="0"/>
          <w:lang w:eastAsia="es-ES"/>
          <w14:ligatures w14:val="none"/>
        </w:rPr>
        <w:t>que el Seguro de Vida había sido anulado</w:t>
      </w:r>
      <w:r w:rsidRPr="00F55528">
        <w:rPr>
          <w:rFonts w:ascii="Arial Narrow" w:eastAsia="Times New Roman" w:hAnsi="Arial Narrow" w:cs="Arial"/>
          <w:color w:val="000000"/>
          <w:kern w:val="0"/>
          <w:lang w:eastAsia="es-ES"/>
          <w14:ligatures w14:val="none"/>
        </w:rPr>
        <w:t xml:space="preserve"> el 30 de setiembre de 2024 por falta de pago del vencimiento de junio de 2024, sin que se hubiera recibido notificación previa de dicha anulación.</w:t>
      </w:r>
    </w:p>
    <w:p w14:paraId="0C1033EC" w14:textId="77777777" w:rsidR="00F55528" w:rsidRPr="00F55528" w:rsidRDefault="00F55528" w:rsidP="00F55528">
      <w:pPr>
        <w:pStyle w:val="Prrafodelista"/>
        <w:rPr>
          <w:rFonts w:ascii="Arial Narrow" w:eastAsia="Times New Roman" w:hAnsi="Arial Narrow" w:cs="Arial"/>
          <w:color w:val="000000"/>
          <w:kern w:val="0"/>
          <w:lang w:eastAsia="es-ES"/>
          <w14:ligatures w14:val="none"/>
        </w:rPr>
      </w:pPr>
    </w:p>
    <w:p w14:paraId="3733FC43" w14:textId="194CB4CB" w:rsidR="00F55528" w:rsidRDefault="00F5552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55528">
        <w:rPr>
          <w:rFonts w:ascii="Arial Narrow" w:eastAsia="Times New Roman" w:hAnsi="Arial Narrow" w:cs="Arial"/>
          <w:color w:val="000000"/>
          <w:kern w:val="0"/>
          <w:lang w:eastAsia="es-ES"/>
          <w14:ligatures w14:val="none"/>
        </w:rPr>
        <w:t>Pese a la anulación, el estado de cuenta del periodo comprendido entre el 1 de enero de 2024 y el 31 de marzo de 2024 reflejaba un saldo de ahorro de US$ 3 357,47 y un valor de rescate de US$ 6 933,97, lo que evidenciaría la existencia de fondos. Sin embargo, Rímac comunicó que</w:t>
      </w:r>
      <w:r w:rsidR="003E1609">
        <w:rPr>
          <w:rFonts w:ascii="Arial Narrow" w:eastAsia="Times New Roman" w:hAnsi="Arial Narrow" w:cs="Arial"/>
          <w:color w:val="000000"/>
          <w:kern w:val="0"/>
          <w:lang w:eastAsia="es-ES"/>
          <w14:ligatures w14:val="none"/>
        </w:rPr>
        <w:t xml:space="preserve"> el</w:t>
      </w:r>
      <w:r w:rsidRPr="00F55528">
        <w:rPr>
          <w:rFonts w:ascii="Arial Narrow" w:eastAsia="Times New Roman" w:hAnsi="Arial Narrow" w:cs="Arial"/>
          <w:color w:val="000000"/>
          <w:kern w:val="0"/>
          <w:lang w:eastAsia="es-ES"/>
          <w14:ligatures w14:val="none"/>
        </w:rPr>
        <w:t xml:space="preserve"> </w:t>
      </w:r>
      <w:r w:rsidR="003E1609" w:rsidRPr="003E1609">
        <w:rPr>
          <w:rFonts w:ascii="Arial Narrow" w:eastAsia="Times New Roman" w:hAnsi="Arial Narrow" w:cs="Arial"/>
          <w:color w:val="000000"/>
          <w:kern w:val="0"/>
          <w:lang w:eastAsia="es-ES"/>
          <w14:ligatures w14:val="none"/>
        </w:rPr>
        <w:t>Seguro de Vida</w:t>
      </w:r>
      <w:r w:rsidRPr="00F55528">
        <w:rPr>
          <w:rFonts w:ascii="Arial Narrow" w:eastAsia="Times New Roman" w:hAnsi="Arial Narrow" w:cs="Arial"/>
          <w:color w:val="000000"/>
          <w:kern w:val="0"/>
          <w:lang w:eastAsia="es-ES"/>
          <w14:ligatures w14:val="none"/>
        </w:rPr>
        <w:t xml:space="preserve"> no contaba con valores de rescate, lo cual calificó como inconsistente y arbitrario.</w:t>
      </w:r>
    </w:p>
    <w:p w14:paraId="60615B46" w14:textId="77777777" w:rsidR="00F55528" w:rsidRPr="00F55528" w:rsidRDefault="00F55528" w:rsidP="00F55528">
      <w:pPr>
        <w:pStyle w:val="Prrafodelista"/>
        <w:rPr>
          <w:rFonts w:ascii="Arial Narrow" w:eastAsia="Times New Roman" w:hAnsi="Arial Narrow" w:cs="Arial"/>
          <w:color w:val="000000"/>
          <w:kern w:val="0"/>
          <w:lang w:eastAsia="es-ES"/>
          <w14:ligatures w14:val="none"/>
        </w:rPr>
      </w:pPr>
    </w:p>
    <w:p w14:paraId="475567A2" w14:textId="3C19AA4C" w:rsidR="00F55528" w:rsidRDefault="00F5552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55528">
        <w:rPr>
          <w:rFonts w:ascii="Arial Narrow" w:eastAsia="Times New Roman" w:hAnsi="Arial Narrow" w:cs="Arial"/>
          <w:color w:val="000000"/>
          <w:kern w:val="0"/>
          <w:lang w:eastAsia="es-ES"/>
          <w14:ligatures w14:val="none"/>
        </w:rPr>
        <w:t xml:space="preserve">El 28 de mayo de 2025, se efectuó el pago de US$ 1 085,88 correspondiente al año 2024 con la finalidad de rehabilitar </w:t>
      </w:r>
      <w:r w:rsidR="003E1609">
        <w:rPr>
          <w:rFonts w:ascii="Arial Narrow" w:eastAsia="Times New Roman" w:hAnsi="Arial Narrow" w:cs="Arial"/>
          <w:color w:val="000000"/>
          <w:kern w:val="0"/>
          <w:lang w:eastAsia="es-ES"/>
          <w14:ligatures w14:val="none"/>
        </w:rPr>
        <w:t xml:space="preserve">el </w:t>
      </w:r>
      <w:r w:rsidR="003E1609" w:rsidRPr="003E1609">
        <w:rPr>
          <w:rFonts w:ascii="Arial Narrow" w:eastAsia="Times New Roman" w:hAnsi="Arial Narrow" w:cs="Arial"/>
          <w:color w:val="000000"/>
          <w:kern w:val="0"/>
          <w:lang w:eastAsia="es-ES"/>
          <w14:ligatures w14:val="none"/>
        </w:rPr>
        <w:t>Seguro de Vida</w:t>
      </w:r>
      <w:r w:rsidRPr="00F55528">
        <w:rPr>
          <w:rFonts w:ascii="Arial Narrow" w:eastAsia="Times New Roman" w:hAnsi="Arial Narrow" w:cs="Arial"/>
          <w:color w:val="000000"/>
          <w:kern w:val="0"/>
          <w:lang w:eastAsia="es-ES"/>
          <w14:ligatures w14:val="none"/>
        </w:rPr>
        <w:t>; no obstante, posteriormente Rímac informó que no procedía la rehabilitación debido al tiempo transcurrido. Asimismo, el 28 de enero de 2026 se realizó un nuevo pago de US$ 1 085,88 correspondiente al año 2025, reiterándose la negativa de rehabilitación.</w:t>
      </w:r>
    </w:p>
    <w:p w14:paraId="32757E48" w14:textId="77777777" w:rsidR="00F55528" w:rsidRPr="00F55528" w:rsidRDefault="00F55528" w:rsidP="00F55528">
      <w:pPr>
        <w:pStyle w:val="Prrafodelista"/>
        <w:rPr>
          <w:rFonts w:ascii="Arial Narrow" w:eastAsia="Times New Roman" w:hAnsi="Arial Narrow" w:cs="Arial"/>
          <w:color w:val="000000"/>
          <w:kern w:val="0"/>
          <w:lang w:eastAsia="es-ES"/>
          <w14:ligatures w14:val="none"/>
        </w:rPr>
      </w:pPr>
    </w:p>
    <w:p w14:paraId="2F9CF7F5" w14:textId="591A1FDE" w:rsidR="00CA59A2" w:rsidRPr="00FD79D7" w:rsidRDefault="00F5552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55528">
        <w:rPr>
          <w:rFonts w:ascii="Arial Narrow" w:eastAsia="Times New Roman" w:hAnsi="Arial Narrow" w:cs="Arial"/>
          <w:color w:val="000000"/>
          <w:kern w:val="0"/>
          <w:lang w:eastAsia="es-ES"/>
          <w14:ligatures w14:val="none"/>
        </w:rPr>
        <w:t>El 13 de marzo de 2026, se presentó el reclamo 26-SBS022058 ante Rímac, solicitando la rehabilitación de</w:t>
      </w:r>
      <w:r w:rsidR="003E1609">
        <w:rPr>
          <w:rFonts w:ascii="Arial Narrow" w:eastAsia="Times New Roman" w:hAnsi="Arial Narrow" w:cs="Arial"/>
          <w:color w:val="000000"/>
          <w:kern w:val="0"/>
          <w:lang w:eastAsia="es-ES"/>
          <w14:ligatures w14:val="none"/>
        </w:rPr>
        <w:t>l</w:t>
      </w:r>
      <w:r w:rsidRPr="00F55528">
        <w:rPr>
          <w:rFonts w:ascii="Arial Narrow" w:eastAsia="Times New Roman" w:hAnsi="Arial Narrow" w:cs="Arial"/>
          <w:color w:val="000000"/>
          <w:kern w:val="0"/>
          <w:lang w:eastAsia="es-ES"/>
          <w14:ligatures w14:val="none"/>
        </w:rPr>
        <w:t xml:space="preserve"> </w:t>
      </w:r>
      <w:r w:rsidR="003E1609" w:rsidRPr="003E1609">
        <w:rPr>
          <w:rFonts w:ascii="Arial Narrow" w:eastAsia="Times New Roman" w:hAnsi="Arial Narrow" w:cs="Arial"/>
          <w:color w:val="000000"/>
          <w:kern w:val="0"/>
          <w:lang w:eastAsia="es-ES"/>
          <w14:ligatures w14:val="none"/>
        </w:rPr>
        <w:t xml:space="preserve">Seguro de Vida </w:t>
      </w:r>
      <w:r w:rsidRPr="00F55528">
        <w:rPr>
          <w:rFonts w:ascii="Arial Narrow" w:eastAsia="Times New Roman" w:hAnsi="Arial Narrow" w:cs="Arial"/>
          <w:color w:val="000000"/>
          <w:kern w:val="0"/>
          <w:lang w:eastAsia="es-ES"/>
          <w14:ligatures w14:val="none"/>
        </w:rPr>
        <w:t xml:space="preserve">y la remisión de estados de cuenta. Sin embargo, la documentación remitida resultó incompleta y se recibió respuesta negativa final con fecha 7 de abril de 2026 Rímac confirmó la anulación de la póliza al 30 de setiembre de 2024 y rechazó la rehabilitación, señalando que correspondía la devolución de los pagos efectuados con posterioridad, por un total de US$ 2 171,76.</w:t>
      </w:r>
    </w:p>
    <w:p w14:paraId="33E14FF7" w14:textId="77777777" w:rsidR="00CA59A2" w:rsidRPr="00FD79D7"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6005174" w14:textId="326A64DC" w:rsidR="00CA59A2" w:rsidRPr="00A75CE6"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D79D7">
        <w:rPr>
          <w:rFonts w:ascii="Arial Narrow" w:eastAsia="Times New Roman" w:hAnsi="Arial Narrow" w:cs="Arial"/>
          <w:color w:val="000000"/>
          <w:kern w:val="0"/>
          <w:lang w:val="es-ES" w:eastAsia="es-ES"/>
          <w14:ligatures w14:val="none"/>
        </w:rPr>
        <w:t xml:space="preserve">La señora [APELLIDO] solicitó, en calidad de medida correctiva, que Rímac cumpla con realizar la rehabilitación del Seguro de Vida bajo las mismas condiciones contractuales y con la rentabilidad, pago acumulado, saldo de cuenta básica, saldo de cuenta de ahorro, y valor de rescate en que se encontraba al momento de anular la póliza y con los respectivos rendimientos de los dos últimos aportes realizados en 2025 y 2026. Asimismo, no requirió el reembolso de costos y costas del presente procedimiento.</w:t>
      </w:r>
      <w:r w:rsidR="00FD79D7" w:rsidRPr="00FD79D7">
        <w:rPr>
          <w:rFonts w:ascii="Arial Narrow" w:eastAsia="Times New Roman" w:hAnsi="Arial Narrow" w:cs="Arial"/>
          <w:color w:val="000000"/>
          <w:kern w:val="0"/>
          <w:lang w:val="es-ES" w:eastAsia="es-ES"/>
          <w14:ligatures w14:val="none"/>
        </w:rPr>
        <w:t xml:space="preserve"/>
      </w:r>
      <w:r w:rsidRPr="00FD79D7">
        <w:rPr>
          <w:rFonts w:ascii="Arial Narrow" w:eastAsia="Times New Roman" w:hAnsi="Arial Narrow" w:cs="Arial"/>
          <w:color w:val="000000"/>
          <w:kern w:val="0"/>
          <w:lang w:val="es-ES" w:eastAsia="es-ES"/>
          <w14:ligatures w14:val="none"/>
        </w:rPr>
        <w:t xml:space="preserve"/>
      </w:r>
      <w:r w:rsidRPr="004C2AC8">
        <w:rPr>
          <w:rFonts w:ascii="Arial Narrow" w:eastAsia="Times New Roman" w:hAnsi="Arial Narrow" w:cs="Arial"/>
          <w:color w:val="000000"/>
          <w:kern w:val="0"/>
          <w:lang w:val="es-ES" w:eastAsia="es-ES"/>
          <w14:ligatures w14:val="none"/>
        </w:rPr>
        <w:t xml:space="preserve"/>
      </w:r>
      <w:r w:rsidR="009510D2" w:rsidRPr="004C2AC8">
        <w:rPr>
          <w:rFonts w:ascii="Arial Narrow" w:eastAsia="Times New Roman" w:hAnsi="Arial Narrow" w:cs="Arial"/>
          <w:color w:val="000000"/>
          <w:kern w:val="0"/>
          <w:lang w:val="es-ES" w:eastAsia="es-ES"/>
          <w14:ligatures w14:val="none"/>
        </w:rPr>
        <w:t xml:space="preserve"/>
      </w:r>
      <w:r w:rsidR="009510D2" w:rsidRPr="004C2AC8">
        <w:rPr>
          <w:rFonts w:ascii="Arial Narrow" w:eastAsia="Times New Roman" w:hAnsi="Arial Narrow" w:cs="Arial"/>
          <w:color w:val="000000"/>
          <w:kern w:val="0"/>
          <w:lang w:val="es-ES" w:eastAsia="es-ES"/>
          <w14:ligatures w14:val="none"/>
        </w:rPr>
        <w:lastRenderedPageBreak/>
        <w:t/>
      </w:r>
      <w:r w:rsidRPr="004C2AC8">
        <w:rPr>
          <w:rFonts w:ascii="Arial Narrow" w:eastAsia="Times New Roman" w:hAnsi="Arial Narrow" w:cs="Arial"/>
          <w:color w:val="000000"/>
          <w:kern w:val="0"/>
          <w:lang w:val="es-ES" w:eastAsia="es-ES"/>
          <w14:ligatures w14:val="none"/>
        </w:rPr>
        <w:t xml:space="preserve"/>
      </w:r>
      <w:r w:rsidR="009510D2" w:rsidRPr="004C2AC8">
        <w:rPr>
          <w:rFonts w:ascii="Arial Narrow" w:eastAsia="Times New Roman" w:hAnsi="Arial Narrow" w:cs="Arial"/>
          <w:color w:val="000000"/>
          <w:kern w:val="0"/>
          <w:lang w:val="es-ES" w:eastAsia="es-ES"/>
          <w14:ligatures w14:val="none"/>
        </w:rPr>
        <w:t xml:space="preserve"/>
      </w:r>
      <w:r w:rsidRPr="004C2AC8">
        <w:rPr>
          <w:rFonts w:ascii="Arial Narrow" w:eastAsia="Times New Roman" w:hAnsi="Arial Narrow" w:cs="Arial"/>
          <w:color w:val="000000"/>
          <w:kern w:val="0"/>
          <w:lang w:val="es-ES" w:eastAsia="es-ES"/>
          <w14:ligatures w14:val="none"/>
        </w:rPr>
        <w:t/>
      </w:r>
    </w:p>
    <w:p w14:paraId="14D1EFE4" w14:textId="77777777" w:rsidR="004C2AC8" w:rsidRPr="00EB4D2D" w:rsidRDefault="004C2AC8"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C193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C193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C1933"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53D4AEE4" w:rsidR="00121544" w:rsidRPr="00CC1933"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C193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C1933">
        <w:rPr>
          <w:rStyle w:val="Refdenotaalpie"/>
          <w:rFonts w:ascii="Arial Narrow" w:eastAsia="Arial Narrow" w:hAnsi="Arial Narrow" w:cs="Arial Narrow"/>
          <w:kern w:val="0"/>
          <w:vertAlign w:val="superscript"/>
          <w14:ligatures w14:val="none"/>
        </w:rPr>
        <w:footnoteReference w:id="2"/>
      </w:r>
      <w:r w:rsidRPr="00CC1933">
        <w:rPr>
          <w:rFonts w:ascii="Arial Narrow" w:eastAsia="Times New Roman" w:hAnsi="Arial Narrow" w:cs="Segoe UI"/>
          <w:color w:val="000000"/>
          <w:kern w:val="0"/>
          <w:lang w:eastAsia="es-PE"/>
          <w14:ligatures w14:val="none"/>
        </w:rPr>
        <w:t xml:space="preserve">, </w:t>
      </w:r>
      <w:r w:rsidR="00121544" w:rsidRPr="00CC1933">
        <w:rPr>
          <w:rFonts w:ascii="Arial Narrow" w:eastAsia="Times New Roman" w:hAnsi="Arial Narrow" w:cs="Segoe UI"/>
          <w:color w:val="000000"/>
          <w:kern w:val="0"/>
          <w:lang w:eastAsia="es-PE"/>
          <w14:ligatures w14:val="none"/>
        </w:rPr>
        <w:t xml:space="preserve">considera </w:t>
      </w:r>
      <w:r w:rsidR="00121544" w:rsidRPr="00CC1933">
        <w:rPr>
          <w:rFonts w:ascii="Arial Narrow" w:eastAsia="Arial Narrow" w:hAnsi="Arial Narrow" w:cs="Arial Narrow"/>
          <w:kern w:val="0"/>
          <w14:ligatures w14:val="none"/>
        </w:rPr>
        <w:t xml:space="preserve">que el hecho denunciado, </w:t>
      </w:r>
      <w:bookmarkStart w:id="6" w:name="_Hlk211591623"/>
      <w:r w:rsidR="00121544" w:rsidRPr="00CC1933">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CC1933" w:rsidRPr="00CC1933">
        <w:rPr>
          <w:rFonts w:ascii="Arial Narrow" w:eastAsia="Times New Roman" w:hAnsi="Arial Narrow" w:cs="Times New Roman"/>
          <w:color w:val="000000"/>
          <w:kern w:val="0"/>
          <w:shd w:val="clear" w:color="auto" w:fill="FFFFFF"/>
          <w:lang w:eastAsia="es-PE"/>
          <w14:ligatures w14:val="none"/>
        </w:rPr>
        <w:t>la compañía aseguradora habría anulado de forma indebida la Póliza U-13857 del Seguro de Vida el 30 de setiembre de 2024, pese a que no se le advirtió de ello a la denunciante de forma previa</w:t>
      </w:r>
      <w:r w:rsidR="00711750" w:rsidRPr="00CC19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CC1933">
        <w:rPr>
          <w:rStyle w:val="Refdenotaalpie"/>
          <w:rFonts w:ascii="Arial Narrow" w:eastAsia="Arial Narrow" w:hAnsi="Arial Narrow" w:cs="Arial"/>
          <w:kern w:val="0"/>
          <w:vertAlign w:val="superscript"/>
          <w14:ligatures w14:val="none"/>
        </w:rPr>
        <w:footnoteReference w:id="3"/>
      </w:r>
      <w:bookmarkEnd w:id="10"/>
      <w:r w:rsidR="00711750" w:rsidRPr="00CC1933">
        <w:rPr>
          <w:rFonts w:ascii="Arial Narrow" w:eastAsia="Arial Narrow" w:hAnsi="Arial Narrow" w:cs="Arial Narrow"/>
          <w:kern w:val="0"/>
          <w14:ligatures w14:val="none"/>
        </w:rPr>
        <w:t>.</w:t>
      </w:r>
      <w:bookmarkEnd w:id="8"/>
    </w:p>
    <w:p w14:paraId="116891C0" w14:textId="77777777" w:rsidR="00121544" w:rsidRPr="00CC1933"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4B7DF1C0" w14:textId="4FC58DAC" w:rsidR="003E1609" w:rsidRPr="00CC1933" w:rsidRDefault="00121544" w:rsidP="003E160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CC1933">
        <w:rPr>
          <w:rFonts w:ascii="Arial Narrow" w:eastAsia="Arial Narrow" w:hAnsi="Arial Narrow" w:cs="Arial Narrow"/>
          <w:kern w:val="0"/>
          <w14:ligatures w14:val="none"/>
        </w:rPr>
        <w:t xml:space="preserve">Así también, la Secretaría Técnica, en ejercicio de sus facultades, </w:t>
      </w:r>
      <w:r w:rsidRPr="00CC1933">
        <w:rPr>
          <w:rFonts w:ascii="Arial Narrow" w:eastAsia="Times New Roman" w:hAnsi="Arial Narrow" w:cs="Segoe UI"/>
          <w:color w:val="000000"/>
          <w:kern w:val="0"/>
          <w:lang w:eastAsia="es-PE"/>
          <w14:ligatures w14:val="none"/>
        </w:rPr>
        <w:t xml:space="preserve">considera </w:t>
      </w:r>
      <w:r w:rsidRPr="00CC1933">
        <w:rPr>
          <w:rFonts w:ascii="Arial Narrow" w:eastAsia="Arial Narrow" w:hAnsi="Arial Narrow" w:cs="Arial Narrow"/>
          <w:kern w:val="0"/>
          <w14:ligatures w14:val="none"/>
        </w:rPr>
        <w:t xml:space="preserve">que el hecho denunciado, consistente en que </w:t>
      </w:r>
      <w:bookmarkEnd w:id="11"/>
      <w:r w:rsidR="00CC1933" w:rsidRPr="00CC1933">
        <w:rPr>
          <w:rFonts w:ascii="Arial Narrow" w:eastAsia="Times New Roman" w:hAnsi="Arial Narrow" w:cs="Times New Roman"/>
          <w:color w:val="000000"/>
          <w:kern w:val="0"/>
          <w:shd w:val="clear" w:color="auto" w:fill="FFFFFF"/>
          <w:lang w:eastAsia="es-PE"/>
          <w14:ligatures w14:val="none"/>
        </w:rPr>
        <w:t xml:space="preserve">la compañía aseguradora habría negado de forma indebida la rehabilitación de la Póliza U-13857 del Seguro de Vida, pese a que la denunciante había realizado el pago de las primas pendientes de cobro por </w:t>
      </w:r>
      <w:r w:rsidR="00313344">
        <w:rPr>
          <w:rFonts w:ascii="Arial Narrow" w:eastAsia="Times New Roman" w:hAnsi="Arial Narrow" w:cs="Times New Roman"/>
          <w:color w:val="000000"/>
          <w:kern w:val="0"/>
          <w:shd w:val="clear" w:color="auto" w:fill="FFFFFF"/>
          <w:lang w:eastAsia="es-PE"/>
          <w14:ligatures w14:val="none"/>
        </w:rPr>
        <w:t>los</w:t>
      </w:r>
      <w:r w:rsidR="00CC1933" w:rsidRPr="00CC1933">
        <w:rPr>
          <w:rFonts w:ascii="Arial Narrow" w:eastAsia="Times New Roman" w:hAnsi="Arial Narrow" w:cs="Times New Roman"/>
          <w:color w:val="000000"/>
          <w:kern w:val="0"/>
          <w:shd w:val="clear" w:color="auto" w:fill="FFFFFF"/>
          <w:lang w:eastAsia="es-PE"/>
          <w14:ligatures w14:val="none"/>
        </w:rPr>
        <w:t xml:space="preserve"> año</w:t>
      </w:r>
      <w:r w:rsidR="00313344">
        <w:rPr>
          <w:rFonts w:ascii="Arial Narrow" w:eastAsia="Times New Roman" w:hAnsi="Arial Narrow" w:cs="Times New Roman"/>
          <w:color w:val="000000"/>
          <w:kern w:val="0"/>
          <w:shd w:val="clear" w:color="auto" w:fill="FFFFFF"/>
          <w:lang w:eastAsia="es-PE"/>
          <w14:ligatures w14:val="none"/>
        </w:rPr>
        <w:t>s</w:t>
      </w:r>
      <w:r w:rsidR="00CC1933" w:rsidRPr="00CC1933">
        <w:rPr>
          <w:rFonts w:ascii="Arial Narrow" w:eastAsia="Times New Roman" w:hAnsi="Arial Narrow" w:cs="Times New Roman"/>
          <w:color w:val="000000"/>
          <w:kern w:val="0"/>
          <w:shd w:val="clear" w:color="auto" w:fill="FFFFFF"/>
          <w:lang w:eastAsia="es-PE"/>
          <w14:ligatures w14:val="none"/>
        </w:rPr>
        <w:t xml:space="preserve"> 2024 y 2025</w:t>
      </w:r>
      <w:r w:rsidR="003E1609" w:rsidRPr="00CC19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CC1933">
        <w:rPr>
          <w:rFonts w:ascii="Arial Narrow" w:eastAsia="Arial Narrow" w:hAnsi="Arial Narrow" w:cs="Arial"/>
          <w:bCs/>
          <w:color w:val="000000"/>
          <w:kern w:val="0"/>
          <w:lang w:eastAsia="es-PE"/>
          <w14:ligatures w14:val="none"/>
        </w:rPr>
        <w:t xml:space="preserve">. </w:t>
      </w:r>
      <w:bookmarkEnd w:id="1"/>
      <w:bookmarkEnd w:id="6"/>
      <w:bookmarkEnd w:id="9"/>
    </w:p>
    <w:p w14:paraId="29B836CB" w14:textId="77777777" w:rsidR="003E1609" w:rsidRPr="00EB4D2D" w:rsidRDefault="003E1609" w:rsidP="003E1609">
      <w:pPr>
        <w:pStyle w:val="Prrafodelista"/>
        <w:spacing w:after="0" w:line="240" w:lineRule="auto"/>
        <w:ind w:left="567"/>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Style w:val="Refdenotaalpie"/>
          <w:rFonts w:ascii="Arial Narrow" w:eastAsia="Arial Narrow" w:hAnsi="Arial Narrow" w:cs="Arial Narrow"/>
          <w:kern w:val="0"/>
          <w:vertAlign w:val="superscript"/>
          <w14:ligatures w14:val="none"/>
        </w:rPr>
        <w:footnoteReference w:id="4"/>
      </w:r>
      <w:r w:rsidRPr="00EB4D2D">
        <w:rPr>
          <w:rFonts w:ascii="Arial Narrow" w:eastAsia="Arial" w:hAnsi="Arial Narrow" w:cs="Arial"/>
          <w:color w:val="000000"/>
          <w:kern w:val="0"/>
          <w:lang w:eastAsia="es-PE"/>
          <w14:ligatures w14:val="none"/>
        </w:rPr>
        <w:t>.</w:t>
      </w:r>
      <w:bookmarkStart w:id="12"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2C454ADB"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2"/>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FD79D7">
        <w:rPr>
          <w:rFonts w:ascii="Arial Narrow" w:eastAsia="Times New Roman" w:hAnsi="Arial Narrow" w:cs="Arial"/>
          <w:color w:val="000000"/>
          <w:kern w:val="0"/>
          <w:lang w:val="es-ES" w:eastAsia="es-ES"/>
          <w14:ligatures w14:val="none"/>
        </w:rPr>
        <w:t xml:space="preserve">conviene requerir </w:t>
      </w:r>
      <w:r w:rsidR="00FD79D7" w:rsidRPr="00FD79D7">
        <w:rPr>
          <w:rFonts w:ascii="Arial Narrow" w:eastAsia="Times New Roman" w:hAnsi="Arial Narrow" w:cs="Arial"/>
          <w:color w:val="000000"/>
          <w:kern w:val="0"/>
          <w:lang w:val="es-ES" w:eastAsia="es-ES"/>
          <w14:ligatures w14:val="none"/>
        </w:rPr>
        <w:t xml:space="preserve">a la compañía aseguradora </w:t>
      </w:r>
      <w:r w:rsidRPr="00FD79D7">
        <w:rPr>
          <w:rFonts w:ascii="Arial Narrow" w:eastAsia="Times New Roman" w:hAnsi="Arial Narrow" w:cs="Arial"/>
          <w:color w:val="000000"/>
          <w:kern w:val="0"/>
          <w:lang w:val="es-ES" w:eastAsia="es-ES"/>
          <w14:ligatures w14:val="none"/>
        </w:rPr>
        <w:t>que, en</w:t>
      </w:r>
      <w:r w:rsidRPr="00EB4D2D">
        <w:rPr>
          <w:rFonts w:ascii="Arial Narrow" w:eastAsia="Times New Roman" w:hAnsi="Arial Narrow" w:cs="Arial"/>
          <w:color w:val="000000"/>
          <w:kern w:val="0"/>
          <w:lang w:val="es-ES" w:eastAsia="es-ES"/>
          <w14:ligatures w14:val="none"/>
        </w:rPr>
        <w:t xml:space="preserve"> un plazo no mayor de cinco (5) días hábiles </w:t>
      </w:r>
      <w:r w:rsidRPr="003E1609">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(i) presentar una copia completa, legible y debidamente suscrita de la </w:t>
      </w:r>
      <w:r w:rsidR="003E1609" w:rsidRPr="003E1609">
        <w:rPr>
          <w:rFonts w:ascii="Arial Narrow" w:eastAsia="Times New Roman" w:hAnsi="Arial Narrow" w:cs="Arial"/>
          <w:color w:val="000000"/>
          <w:kern w:val="0"/>
          <w:lang w:val="es-ES" w:eastAsia="es-ES"/>
          <w14:ligatures w14:val="none"/>
        </w:rPr>
        <w:t>Póliza U-13857 del Seguro de Vida</w:t>
      </w:r>
      <w:r w:rsidRPr="003E1609">
        <w:rPr>
          <w:rFonts w:ascii="Arial Narrow" w:eastAsia="Times New Roman" w:hAnsi="Arial Narrow" w:cs="Arial"/>
          <w:color w:val="000000"/>
          <w:kern w:val="0"/>
          <w:lang w:val="es-ES" w:eastAsia="es-ES"/>
          <w14:ligatures w14:val="none"/>
        </w:rPr>
        <w:t xml:space="preserve">, </w:t>
      </w:r>
      <w:bookmarkStart w:id="14" w:name="_Hlk211877008"/>
      <w:r w:rsidRPr="003E1609">
        <w:rPr>
          <w:rFonts w:ascii="Arial Narrow" w:eastAsia="Times New Roman" w:hAnsi="Arial Narrow" w:cs="Arial"/>
          <w:color w:val="000000"/>
          <w:kern w:val="0"/>
          <w:lang w:val="es-ES" w:eastAsia="es-ES"/>
          <w14:ligatures w14:val="none"/>
        </w:rPr>
        <w:t>así como el cargo de remisión de la póliza</w:t>
      </w:r>
      <w:bookmarkEnd w:id="14"/>
      <w:r w:rsidRPr="003E1609">
        <w:rPr>
          <w:rFonts w:ascii="Arial Narrow" w:eastAsia="Times New Roman" w:hAnsi="Arial Narrow" w:cs="Arial"/>
          <w:color w:val="000000"/>
          <w:kern w:val="0"/>
          <w:lang w:val="es-ES" w:eastAsia="es-ES"/>
          <w14:ligatures w14:val="none"/>
        </w:rPr>
        <w:t>; (</w:t>
      </w:r>
      <w:proofErr w:type="spellStart"/>
      <w:r w:rsidRPr="003E1609">
        <w:rPr>
          <w:rFonts w:ascii="Arial Narrow" w:eastAsia="Times New Roman" w:hAnsi="Arial Narrow" w:cs="Arial"/>
          <w:color w:val="000000"/>
          <w:kern w:val="0"/>
          <w:lang w:val="es-ES" w:eastAsia="es-ES"/>
          <w14:ligatures w14:val="none"/>
        </w:rPr>
        <w:t>ii</w:t>
      </w:r>
      <w:proofErr w:type="spellEnd"/>
      <w:r w:rsidRPr="003E1609">
        <w:rPr>
          <w:rFonts w:ascii="Arial Narrow" w:eastAsia="Times New Roman" w:hAnsi="Arial Narrow" w:cs="Arial"/>
          <w:color w:val="000000"/>
          <w:kern w:val="0"/>
          <w:lang w:val="es-ES" w:eastAsia="es-ES"/>
          <w14:ligatures w14:val="none"/>
        </w:rPr>
        <w:t xml:space="preserve">) presentar los medios probatorios que acrediten </w:t>
      </w:r>
      <w:r w:rsidR="003E1609" w:rsidRPr="003E1609">
        <w:rPr>
          <w:rFonts w:ascii="Arial Narrow" w:eastAsia="Times New Roman" w:hAnsi="Arial Narrow" w:cs="Arial"/>
          <w:color w:val="000000"/>
          <w:kern w:val="0"/>
          <w:lang w:val="es-ES" w:eastAsia="es-ES"/>
          <w14:ligatures w14:val="none"/>
        </w:rPr>
        <w:t>que la anulación de la Póliza U-13857 del Seguro de Vida se hizo de manera justificada</w:t>
      </w:r>
      <w:r w:rsidRPr="003E1609">
        <w:rPr>
          <w:rFonts w:ascii="Arial Narrow" w:eastAsia="Times New Roman" w:hAnsi="Arial Narrow" w:cs="Arial"/>
          <w:color w:val="000000"/>
          <w:kern w:val="0"/>
          <w:lang w:val="es-ES" w:eastAsia="es-ES"/>
          <w14:ligatures w14:val="none"/>
        </w:rPr>
        <w:t>; y, (</w:t>
      </w:r>
      <w:proofErr w:type="spellStart"/>
      <w:r w:rsidRPr="003E1609">
        <w:rPr>
          <w:rFonts w:ascii="Arial Narrow" w:eastAsia="Times New Roman" w:hAnsi="Arial Narrow" w:cs="Arial"/>
          <w:color w:val="000000"/>
          <w:kern w:val="0"/>
          <w:lang w:val="es-ES" w:eastAsia="es-ES"/>
          <w14:ligatures w14:val="none"/>
        </w:rPr>
        <w:t>iii</w:t>
      </w:r>
      <w:proofErr w:type="spellEnd"/>
      <w:r w:rsidRPr="003E1609">
        <w:rPr>
          <w:rFonts w:ascii="Arial Narrow" w:eastAsia="Times New Roman" w:hAnsi="Arial Narrow" w:cs="Arial"/>
          <w:color w:val="000000"/>
          <w:kern w:val="0"/>
          <w:lang w:val="es-ES" w:eastAsia="es-ES"/>
          <w14:ligatures w14:val="none"/>
        </w:rPr>
        <w:t xml:space="preserve">) presentar todas las comunicaciones cursadas </w:t>
      </w:r>
      <w:r w:rsidR="00A87B9B" w:rsidRPr="003E1609">
        <w:rPr>
          <w:rFonts w:ascii="Arial Narrow" w:eastAsia="Times New Roman" w:hAnsi="Arial Narrow" w:cs="Arial"/>
          <w:color w:val="000000"/>
          <w:kern w:val="0"/>
          <w:lang w:val="es-ES" w:eastAsia="es-ES"/>
          <w14:ligatures w14:val="none"/>
        </w:rPr>
        <w:t xml:space="preserve">con la parte denunciante </w:t>
      </w:r>
      <w:r w:rsidRPr="003E1609">
        <w:rPr>
          <w:rFonts w:ascii="Arial Narrow" w:eastAsia="Times New Roman" w:hAnsi="Arial Narrow" w:cs="Arial"/>
          <w:color w:val="000000"/>
          <w:kern w:val="0"/>
          <w:lang w:val="es-ES" w:eastAsia="es-ES"/>
          <w14:ligatures w14:val="none"/>
        </w:rPr>
        <w:t xml:space="preserve">en virtud </w:t>
      </w:r>
      <w:r w:rsidR="00F01410" w:rsidRPr="003E1609">
        <w:rPr>
          <w:rFonts w:ascii="Arial Narrow" w:eastAsia="Times New Roman" w:hAnsi="Arial Narrow" w:cs="Arial"/>
          <w:color w:val="000000"/>
          <w:kern w:val="0"/>
          <w:lang w:val="es-ES" w:eastAsia="es-ES"/>
          <w14:ligatures w14:val="none"/>
        </w:rPr>
        <w:t xml:space="preserve">de los hechos materia </w:t>
      </w:r>
      <w:r w:rsidRPr="003E1609">
        <w:rPr>
          <w:rFonts w:ascii="Arial Narrow" w:eastAsia="Times New Roman" w:hAnsi="Arial Narrow" w:cs="Arial"/>
          <w:color w:val="000000"/>
          <w:kern w:val="0"/>
          <w:lang w:val="es-ES" w:eastAsia="es-ES"/>
          <w14:ligatures w14:val="none"/>
        </w:rPr>
        <w:t>de denuncia.</w:t>
      </w:r>
      <w:r w:rsidRPr="00EB4D2D">
        <w:rPr>
          <w:rFonts w:ascii="Arial Narrow" w:eastAsia="Times New Roman" w:hAnsi="Arial Narrow" w:cs="Arial"/>
          <w:color w:val="000000"/>
          <w:kern w:val="0"/>
          <w:lang w:eastAsia="es-ES"/>
          <w14:ligatures w14:val="none"/>
        </w:rPr>
        <w:t xml:space="preserve"> </w:t>
      </w:r>
    </w:p>
    <w:bookmarkEnd w:id="13"/>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104B3E2E" w:rsidR="00121544" w:rsidRPr="00CC1933"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13 de abril de 2026, complementado mediante escrito del 1 de junio de 2026 interpuesta por la señora [DENUNCIANTE] contra Rímac Seguros y Reaseguros S.A., por lo siguiente:</w:t>
      </w:r>
      <w:r w:rsidRPr="00EB4D2D">
        <w:rPr>
          <w:rFonts w:ascii="Arial Narrow" w:eastAsia="Times New Roman" w:hAnsi="Arial Narrow" w:cs="Times New Roman"/>
          <w:color w:val="000000"/>
          <w:kern w:val="0"/>
          <w:shd w:val="clear" w:color="auto" w:fill="FFFFFF"/>
          <w:lang w:eastAsia="es-PE"/>
          <w14:ligatures w14:val="none"/>
        </w:rPr>
        <w:t xml:space="preserve"/>
      </w:r>
      <w:r w:rsidR="00906988" w:rsidRPr="00906988">
        <w:rPr>
          <w:rFonts w:ascii="Arial Narrow" w:eastAsia="Times New Roman" w:hAnsi="Arial Narrow" w:cs="Times New Roman"/>
          <w:color w:val="000000"/>
          <w:kern w:val="0"/>
          <w:shd w:val="clear" w:color="auto" w:fill="FFFFFF"/>
          <w:lang w:eastAsia="es-PE"/>
          <w14:ligatures w14:val="none"/>
        </w:rPr>
        <w:t/>
      </w:r>
      <w:r w:rsidR="00906988">
        <w:rPr>
          <w:rFonts w:ascii="Arial Narrow" w:eastAsia="Times New Roman" w:hAnsi="Arial Narrow" w:cs="Times New Roman"/>
          <w:color w:val="000000"/>
          <w:kern w:val="0"/>
          <w:shd w:val="clear" w:color="auto" w:fill="FFFFFF"/>
          <w:lang w:eastAsia="es-PE"/>
          <w14:ligatures w14:val="none"/>
        </w:rPr>
        <w:t xml:space="preserve"/>
      </w:r>
      <w:r w:rsidRPr="00EB4D2D">
        <w:rPr>
          <w:rFonts w:ascii="Arial Narrow" w:eastAsia="Times New Roman" w:hAnsi="Arial Narrow" w:cs="Times New Roman"/>
          <w:color w:val="000000"/>
          <w:kern w:val="0"/>
          <w:shd w:val="clear" w:color="auto" w:fill="FFFFFF"/>
          <w:lang w:eastAsia="es-PE"/>
          <w14:ligatures w14:val="none"/>
        </w:rPr>
        <w:t xml:space="preserve"/>
      </w:r>
      <w:r w:rsidRPr="00FD79D7">
        <w:rPr>
          <w:rFonts w:ascii="Arial Narrow" w:eastAsia="Times New Roman" w:hAnsi="Arial Narrow" w:cs="Times New Roman"/>
          <w:color w:val="000000"/>
          <w:kern w:val="0"/>
          <w:shd w:val="clear" w:color="auto" w:fill="FFFFFF"/>
          <w:lang w:eastAsia="es-PE"/>
          <w14:ligatures w14:val="none"/>
        </w:rPr>
        <w:t xml:space="preserve"/>
      </w:r>
      <w:r w:rsidR="00FD79D7" w:rsidRPr="00FD79D7">
        <w:rPr>
          <w:rFonts w:ascii="Arial Narrow" w:eastAsia="Times New Roman" w:hAnsi="Arial Narrow" w:cs="Times New Roman"/>
          <w:color w:val="000000"/>
          <w:kern w:val="0"/>
          <w:shd w:val="clear" w:color="auto" w:fill="FFFFFF"/>
          <w:lang w:eastAsia="es-PE"/>
          <w14:ligatures w14:val="none"/>
        </w:rPr>
        <w:t/>
      </w:r>
      <w:r w:rsidRPr="00FD79D7">
        <w:rPr>
          <w:rFonts w:ascii="Arial Narrow" w:eastAsia="Times New Roman" w:hAnsi="Arial Narrow" w:cs="Times New Roman"/>
          <w:color w:val="000000"/>
          <w:kern w:val="0"/>
          <w:shd w:val="clear" w:color="auto" w:fill="FFFFFF"/>
          <w:lang w:eastAsia="es-PE"/>
          <w14:ligatures w14:val="none"/>
        </w:rPr>
        <w:t xml:space="preserve"/>
      </w:r>
      <w:r w:rsidR="00FD79D7" w:rsidRPr="00FD79D7">
        <w:rPr>
          <w:rFonts w:ascii="Arial Narrow" w:eastAsia="Times New Roman" w:hAnsi="Arial Narrow" w:cs="Times New Roman"/>
          <w:color w:val="000000"/>
          <w:kern w:val="0"/>
          <w:shd w:val="clear" w:color="auto" w:fill="FFFFFF"/>
          <w:lang w:eastAsia="es-PE"/>
          <w14:ligatures w14:val="none"/>
        </w:rPr>
        <w:t xml:space="preserve"/>
      </w:r>
      <w:r w:rsidRPr="00EB4D2D">
        <w:rPr>
          <w:rFonts w:ascii="Arial Narrow" w:eastAsia="Times New Roman" w:hAnsi="Arial Narrow" w:cs="Times New Roman"/>
          <w:color w:val="000000"/>
          <w:kern w:val="0"/>
          <w:shd w:val="clear" w:color="auto" w:fill="FFFFFF"/>
          <w:lang w:eastAsia="es-PE"/>
          <w14:ligatures w14:val="none"/>
        </w:rPr>
        <w:t xml:space="preserve"/>
      </w:r>
      <w:r w:rsidR="00FD79D7" w:rsidRPr="00FD79D7">
        <w:rPr>
          <w:rFonts w:ascii="Arial Narrow" w:eastAsia="Times New Roman" w:hAnsi="Arial Narrow" w:cs="Times New Roman"/>
          <w:color w:val="000000"/>
          <w:kern w:val="0"/>
          <w:shd w:val="clear" w:color="auto" w:fill="FFFFFF"/>
          <w:lang w:eastAsia="es-PE"/>
          <w14:ligatures w14:val="none"/>
        </w:rPr>
        <w:t/>
      </w:r>
      <w:r w:rsidRPr="00FD79D7">
        <w:rPr>
          <w:rFonts w:ascii="Arial Narrow" w:eastAsia="Times New Roman" w:hAnsi="Arial Narrow" w:cs="Times New Roman"/>
          <w:color w:val="000000"/>
          <w:kern w:val="0"/>
          <w:shd w:val="clear" w:color="auto" w:fill="FFFFFF"/>
          <w:lang w:eastAsia="es-PE"/>
          <w14:ligatures w14:val="none"/>
        </w:rPr>
        <w:t xml:space="preserve"/>
      </w:r>
      <w:bookmarkStart w:id="15" w:name="_Hlk215062067"/>
      <w:r w:rsidR="00121544" w:rsidRPr="00FD79D7">
        <w:rPr>
          <w:rFonts w:ascii="Arial Narrow" w:eastAsia="Times New Roman" w:hAnsi="Arial Narrow" w:cs="Times New Roman"/>
          <w:color w:val="000000"/>
          <w:kern w:val="0"/>
          <w:shd w:val="clear" w:color="auto" w:fill="FFFFFF"/>
          <w:lang w:eastAsia="es-PE"/>
          <w14:ligatures w14:val="none"/>
        </w:rPr>
        <w:t/>
      </w:r>
      <w:r w:rsidR="00121544" w:rsidRPr="00EB4D2D">
        <w:rPr>
          <w:rFonts w:ascii="Arial Narrow" w:eastAsia="Times New Roman" w:hAnsi="Arial Narrow" w:cs="Times New Roman"/>
          <w:color w:val="000000"/>
          <w:kern w:val="0"/>
          <w:shd w:val="clear" w:color="auto" w:fill="FFFFFF"/>
          <w:lang w:eastAsia="es-PE"/>
          <w14:ligatures w14:val="none"/>
        </w:rPr>
        <w:t xml:space="preserve"/>
      </w:r>
      <w:r w:rsidR="00121544" w:rsidRPr="00CC1933">
        <w:rPr>
          <w:rFonts w:ascii="Arial Narrow" w:eastAsia="Times New Roman" w:hAnsi="Arial Narrow" w:cs="Times New Roman"/>
          <w:color w:val="000000"/>
          <w:kern w:val="0"/>
          <w:shd w:val="clear" w:color="auto" w:fill="FFFFFF"/>
          <w:lang w:eastAsia="es-PE"/>
          <w14:ligatures w14:val="none"/>
        </w:rPr>
        <w:t/>
      </w:r>
    </w:p>
    <w:p w14:paraId="39215327" w14:textId="77777777" w:rsidR="00121544" w:rsidRPr="00CC1933" w:rsidRDefault="00121544" w:rsidP="00CC1933">
      <w:pPr>
        <w:spacing w:after="0" w:line="240" w:lineRule="auto"/>
        <w:jc w:val="both"/>
        <w:rPr>
          <w:rFonts w:ascii="Arial Narrow" w:eastAsia="Calibri" w:hAnsi="Arial Narrow" w:cs="Arial Narrow"/>
          <w:kern w:val="0"/>
          <w:lang w:eastAsia="es-PE"/>
          <w14:ligatures w14:val="none"/>
        </w:rPr>
      </w:pPr>
    </w:p>
    <w:p w14:paraId="4E7FC1DB" w14:textId="75BDE004" w:rsidR="00121544" w:rsidRPr="00CC1933" w:rsidRDefault="003E1609"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C1933">
        <w:rPr>
          <w:rFonts w:ascii="Arial Narrow" w:eastAsia="Calibri" w:hAnsi="Arial Narrow" w:cs="Arial Narrow"/>
          <w:color w:val="000000"/>
          <w:kern w:val="0"/>
          <w:lang w:eastAsia="es-PE"/>
          <w14:ligatures w14:val="none"/>
        </w:rPr>
        <w:t>Presunta</w:t>
      </w:r>
      <w:r w:rsidRPr="00CC1933">
        <w:rPr>
          <w:rFonts w:ascii="Arial Narrow" w:eastAsia="Times New Roman" w:hAnsi="Arial Narrow" w:cs="Times New Roman"/>
          <w:kern w:val="0"/>
          <w:shd w:val="clear" w:color="auto" w:fill="FFFFFF"/>
          <w:lang w:eastAsia="es-PE"/>
          <w14:ligatures w14:val="none"/>
        </w:rPr>
        <w:t xml:space="preserve"> infracción a los artículos 18 y 19</w:t>
      </w:r>
      <w:r w:rsidRPr="00CC1933">
        <w:rPr>
          <w:rFonts w:ascii="Arial Narrow" w:eastAsia="Calibri" w:hAnsi="Arial Narrow" w:cs="Arial Narrow"/>
          <w:kern w:val="0"/>
          <w:lang w:eastAsia="es-PE"/>
          <w14:ligatures w14:val="none"/>
        </w:rPr>
        <w:t xml:space="preserve"> de </w:t>
      </w:r>
      <w:r w:rsidRPr="00CC193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anulado de forma indebida la Póliza U-13857 del Seguro de Vida el 30 de setiembre de 2024, pese a que no se le advirtió </w:t>
      </w:r>
      <w:r w:rsidR="00CC1933">
        <w:rPr>
          <w:rFonts w:ascii="Arial Narrow" w:eastAsia="Times New Roman" w:hAnsi="Arial Narrow" w:cs="Times New Roman"/>
          <w:kern w:val="0"/>
          <w:shd w:val="clear" w:color="auto" w:fill="FFFFFF"/>
          <w:lang w:eastAsia="es-PE"/>
          <w14:ligatures w14:val="none"/>
        </w:rPr>
        <w:t xml:space="preserve">de ello </w:t>
      </w:r>
      <w:r w:rsidRPr="00CC1933">
        <w:rPr>
          <w:rFonts w:ascii="Arial Narrow" w:eastAsia="Times New Roman" w:hAnsi="Arial Narrow" w:cs="Times New Roman"/>
          <w:kern w:val="0"/>
          <w:shd w:val="clear" w:color="auto" w:fill="FFFFFF"/>
          <w:lang w:eastAsia="es-PE"/>
          <w14:ligatures w14:val="none"/>
        </w:rPr>
        <w:t>a la denunciante de forma previa.</w:t>
      </w:r>
    </w:p>
    <w:p w14:paraId="527F50CA" w14:textId="77777777" w:rsidR="00CC1933" w:rsidRPr="00CC1933" w:rsidRDefault="00CC1933" w:rsidP="00CC1933">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76101376" w14:textId="2C9A740F" w:rsidR="00CC1933" w:rsidRPr="00CC1933" w:rsidRDefault="00CC1933" w:rsidP="00CC193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C1933">
        <w:rPr>
          <w:rFonts w:ascii="Arial Narrow" w:eastAsia="Calibri" w:hAnsi="Arial Narrow" w:cs="Arial Narrow"/>
          <w:color w:val="000000"/>
          <w:kern w:val="0"/>
          <w:lang w:eastAsia="es-PE"/>
          <w14:ligatures w14:val="none"/>
        </w:rPr>
        <w:t>Presunta</w:t>
      </w:r>
      <w:r w:rsidRPr="00CC1933">
        <w:rPr>
          <w:rFonts w:ascii="Arial Narrow" w:eastAsia="Times New Roman" w:hAnsi="Arial Narrow" w:cs="Times New Roman"/>
          <w:kern w:val="0"/>
          <w:shd w:val="clear" w:color="auto" w:fill="FFFFFF"/>
          <w:lang w:eastAsia="es-PE"/>
          <w14:ligatures w14:val="none"/>
        </w:rPr>
        <w:t xml:space="preserve"> infracción a los artículos 18 y 19</w:t>
      </w:r>
      <w:r w:rsidRPr="00CC1933">
        <w:rPr>
          <w:rFonts w:ascii="Arial Narrow" w:eastAsia="Calibri" w:hAnsi="Arial Narrow" w:cs="Arial Narrow"/>
          <w:kern w:val="0"/>
          <w:lang w:eastAsia="es-PE"/>
          <w14:ligatures w14:val="none"/>
        </w:rPr>
        <w:t xml:space="preserve"> de </w:t>
      </w:r>
      <w:r w:rsidRPr="00CC193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de forma indebida la rehabilitación de la Póliza U-13857 del Seguro de Vida, pese a que la denunciante había realizado el pago de las primas pendientes de cobro por </w:t>
      </w:r>
      <w:r w:rsidR="00313344">
        <w:rPr>
          <w:rFonts w:ascii="Arial Narrow" w:eastAsia="Times New Roman" w:hAnsi="Arial Narrow" w:cs="Times New Roman"/>
          <w:kern w:val="0"/>
          <w:shd w:val="clear" w:color="auto" w:fill="FFFFFF"/>
          <w:lang w:eastAsia="es-PE"/>
          <w14:ligatures w14:val="none"/>
        </w:rPr>
        <w:t>los</w:t>
      </w:r>
      <w:r w:rsidRPr="00CC1933">
        <w:rPr>
          <w:rFonts w:ascii="Arial Narrow" w:eastAsia="Times New Roman" w:hAnsi="Arial Narrow" w:cs="Times New Roman"/>
          <w:kern w:val="0"/>
          <w:shd w:val="clear" w:color="auto" w:fill="FFFFFF"/>
          <w:lang w:eastAsia="es-PE"/>
          <w14:ligatures w14:val="none"/>
        </w:rPr>
        <w:t xml:space="preserve"> año</w:t>
      </w:r>
      <w:r w:rsidR="00313344">
        <w:rPr>
          <w:rFonts w:ascii="Arial Narrow" w:eastAsia="Times New Roman" w:hAnsi="Arial Narrow" w:cs="Times New Roman"/>
          <w:kern w:val="0"/>
          <w:shd w:val="clear" w:color="auto" w:fill="FFFFFF"/>
          <w:lang w:eastAsia="es-PE"/>
          <w14:ligatures w14:val="none"/>
        </w:rPr>
        <w:t>s</w:t>
      </w:r>
      <w:r w:rsidRPr="00CC1933">
        <w:rPr>
          <w:rFonts w:ascii="Arial Narrow" w:eastAsia="Times New Roman" w:hAnsi="Arial Narrow" w:cs="Times New Roman"/>
          <w:kern w:val="0"/>
          <w:shd w:val="clear" w:color="auto" w:fill="FFFFFF"/>
          <w:lang w:eastAsia="es-PE"/>
          <w14:ligatures w14:val="none"/>
        </w:rPr>
        <w:t xml:space="preserve"> 2024 y 2025. </w:t>
      </w:r>
    </w:p>
    <w:bookmarkEnd w:id="15"/>
    <w:p w14:paraId="042B3F54" w14:textId="777BBF33" w:rsidR="00CA59A2" w:rsidRPr="00CC1933" w:rsidRDefault="00CA59A2" w:rsidP="00EB4D2D">
      <w:pPr>
        <w:spacing w:after="0" w:line="240" w:lineRule="auto"/>
        <w:jc w:val="both"/>
        <w:rPr>
          <w:rFonts w:ascii="Arial Narrow" w:eastAsia="Arial Narrow" w:hAnsi="Arial Narrow" w:cs="Arial Narrow"/>
          <w:kern w:val="0"/>
          <w14:ligatures w14:val="none"/>
        </w:rPr>
      </w:pPr>
    </w:p>
    <w:p w14:paraId="0A292C9F" w14:textId="196B2CFC"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CC1933">
        <w:rPr>
          <w:rFonts w:ascii="Arial Narrow" w:eastAsia="Arial Narrow" w:hAnsi="Arial Narrow" w:cs="Arial Narrow"/>
          <w:b/>
          <w:color w:val="000000"/>
          <w:kern w:val="0"/>
          <w:lang w:eastAsia="es-PE"/>
          <w14:ligatures w14:val="none"/>
        </w:rPr>
        <w:t>SEGUNDO:</w:t>
      </w:r>
      <w:r w:rsidRPr="00CC1933">
        <w:rPr>
          <w:rFonts w:ascii="Arial Narrow" w:eastAsia="Arial Narrow" w:hAnsi="Arial Narrow" w:cs="Arial Narrow"/>
          <w:color w:val="000000"/>
          <w:kern w:val="0"/>
          <w:lang w:eastAsia="es-PE"/>
          <w14:ligatures w14:val="none"/>
        </w:rPr>
        <w:t xml:space="preserve"> tener por ofrecidos los medios</w:t>
      </w:r>
      <w:r w:rsidRPr="00EB4D2D">
        <w:rPr>
          <w:rFonts w:ascii="Arial Narrow" w:eastAsia="Arial Narrow" w:hAnsi="Arial Narrow" w:cs="Arial Narrow"/>
          <w:color w:val="000000"/>
          <w:kern w:val="0"/>
          <w:lang w:eastAsia="es-PE"/>
          <w14:ligatures w14:val="none"/>
        </w:rPr>
        <w:t xml:space="preserve">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906988" w:rsidRPr="00906988">
        <w:rPr>
          <w:rFonts w:ascii="Arial Narrow" w:eastAsia="Times New Roman" w:hAnsi="Arial Narrow" w:cs="Arial"/>
          <w:color w:val="000000"/>
          <w:kern w:val="0"/>
          <w:lang w:val="es-ES" w:eastAsia="es-ES"/>
          <w14:ligatures w14:val="none"/>
        </w:rPr>
        <w:t>13 de abril de 2026, complementado mediante escrito del 1 de junio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68D1BE3C"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FD79D7" w:rsidRPr="00FD79D7">
        <w:rPr>
          <w:rFonts w:ascii="Arial Narrow" w:eastAsia="Arial Narrow" w:hAnsi="Arial Narrow" w:cs="Arial Narrow"/>
          <w:color w:val="000000"/>
          <w:kern w:val="0"/>
          <w:lang w:eastAsia="es-PE"/>
          <w14:ligatures w14:val="none"/>
        </w:rPr>
        <w:t xml:space="preserve">Rímac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lastRenderedPageBreak/>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Style w:val="Refdenotaalpie"/>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02E459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6"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EB4D2D">
        <w:rPr>
          <w:rFonts w:ascii="Arial Narrow" w:eastAsia="Times New Roman" w:hAnsi="Arial Narrow" w:cs="Arial"/>
          <w:color w:val="000000"/>
          <w:kern w:val="0"/>
          <w:lang w:eastAsia="es-ES"/>
          <w14:ligatures w14:val="none"/>
        </w:rPr>
        <w:t xml:space="preserve">, </w:t>
      </w:r>
      <w:bookmarkStart w:id="17"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17"/>
      <w:r w:rsidRPr="00EB4D2D">
        <w:rPr>
          <w:rFonts w:ascii="Arial Narrow" w:eastAsia="Times New Roman" w:hAnsi="Arial Narrow" w:cs="Arial"/>
          <w:color w:val="000000"/>
          <w:kern w:val="0"/>
          <w:lang w:val="es-ES" w:eastAsia="es-ES"/>
          <w14:ligatures w14:val="none"/>
        </w:rPr>
        <w:t xml:space="preserve">cumpla con: </w:t>
      </w:r>
      <w:r w:rsidR="003E1609" w:rsidRPr="003E1609">
        <w:rPr>
          <w:rFonts w:ascii="Arial Narrow" w:eastAsia="Times New Roman" w:hAnsi="Arial Narrow" w:cs="Arial"/>
          <w:color w:val="000000"/>
          <w:kern w:val="0"/>
          <w:lang w:val="es-ES" w:eastAsia="es-ES"/>
          <w14:ligatures w14:val="none"/>
        </w:rPr>
        <w:t>(i) presentar una copia completa, legible y debidamente suscrita de la Póliza U-13857 del Seguro de Vida, así como el cargo de remisión de la póliza; (</w:t>
      </w:r>
      <w:proofErr w:type="spellStart"/>
      <w:r w:rsidR="003E1609" w:rsidRPr="003E1609">
        <w:rPr>
          <w:rFonts w:ascii="Arial Narrow" w:eastAsia="Times New Roman" w:hAnsi="Arial Narrow" w:cs="Arial"/>
          <w:color w:val="000000"/>
          <w:kern w:val="0"/>
          <w:lang w:val="es-ES" w:eastAsia="es-ES"/>
          <w14:ligatures w14:val="none"/>
        </w:rPr>
        <w:t>ii</w:t>
      </w:r>
      <w:proofErr w:type="spellEnd"/>
      <w:r w:rsidR="003E1609" w:rsidRPr="003E1609">
        <w:rPr>
          <w:rFonts w:ascii="Arial Narrow" w:eastAsia="Times New Roman" w:hAnsi="Arial Narrow" w:cs="Arial"/>
          <w:color w:val="000000"/>
          <w:kern w:val="0"/>
          <w:lang w:val="es-ES" w:eastAsia="es-ES"/>
          <w14:ligatures w14:val="none"/>
        </w:rPr>
        <w:t>) presentar los medios probatorios que acrediten que la anulación de la Póliza U-13857 del Seguro de Vida se hizo de manera justificada; y, (</w:t>
      </w:r>
      <w:proofErr w:type="spellStart"/>
      <w:r w:rsidR="003E1609" w:rsidRPr="003E1609">
        <w:rPr>
          <w:rFonts w:ascii="Arial Narrow" w:eastAsia="Times New Roman" w:hAnsi="Arial Narrow" w:cs="Arial"/>
          <w:color w:val="000000"/>
          <w:kern w:val="0"/>
          <w:lang w:val="es-ES" w:eastAsia="es-ES"/>
          <w14:ligatures w14:val="none"/>
        </w:rPr>
        <w:t>iii</w:t>
      </w:r>
      <w:proofErr w:type="spellEnd"/>
      <w:r w:rsidR="003E1609" w:rsidRPr="003E160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18"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EB4D2D">
        <w:rPr>
          <w:rFonts w:ascii="Arial Narrow" w:eastAsia="Arial Narrow" w:hAnsi="Arial Narrow" w:cs="Arial Narrow"/>
          <w:color w:val="000000"/>
          <w:kern w:val="0"/>
          <w:lang w:eastAsia="es-PE"/>
          <w14:ligatures w14:val="none"/>
        </w:rPr>
        <w:lastRenderedPageBreak/>
        <w:t>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8"/>
      <w:r w:rsidRPr="00EB4D2D">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EB4D2D">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Style w:val="Refdenotaalpie"/>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24EB99E6"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lastRenderedPageBreak/>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FD79D7">
        <w:rPr>
          <w:rFonts w:ascii="Arial Narrow" w:hAnsi="Arial Narrow" w:cs="Arial"/>
          <w:bCs/>
          <w:spacing w:val="-3"/>
          <w:kern w:val="0"/>
          <w14:ligatures w14:val="none"/>
        </w:rPr>
        <w:t xml:space="preserve"/>
      </w:r>
      <w:r w:rsidR="00FD79D7" w:rsidRPr="00FD79D7">
        <w:rPr>
          <w:rFonts w:ascii="Arial Narrow" w:eastAsia="Times New Roman" w:hAnsi="Arial Narrow" w:cs="Times New Roman"/>
          <w:color w:val="000000"/>
          <w:kern w:val="0"/>
          <w:shd w:val="clear" w:color="auto" w:fill="FFFFFF"/>
          <w:lang w:eastAsia="es-PE"/>
          <w14:ligatures w14:val="none"/>
        </w:rPr>
        <w:t xml:space="preserve"/>
      </w:r>
      <w:r w:rsidR="005B4857" w:rsidRPr="00FD79D7">
        <w:rPr>
          <w:rFonts w:ascii="Arial Narrow" w:hAnsi="Arial Narrow"/>
          <w:color w:val="000000"/>
        </w:rPr>
        <w:t/>
      </w:r>
      <w:r w:rsidR="00FD79D7" w:rsidRPr="00FD79D7">
        <w:rPr>
          <w:rFonts w:ascii="Arial Narrow" w:hAnsi="Arial Narrow"/>
          <w:color w:val="000000"/>
        </w:rPr>
        <w:t/>
      </w:r>
      <w:r w:rsidR="005B4857" w:rsidRPr="00FD79D7">
        <w:rPr>
          <w:rFonts w:ascii="Arial Narrow" w:hAnsi="Arial Narrow"/>
          <w:color w:val="000000"/>
        </w:rPr>
        <w:t xml:space="preserve"/>
      </w:r>
      <w:r w:rsidR="00FD79D7" w:rsidRPr="00FD79D7">
        <w:rPr>
          <w:rFonts w:ascii="Arial Narrow" w:hAnsi="Arial Narrow"/>
          <w:color w:val="000000"/>
        </w:rPr>
        <w:t/>
      </w:r>
      <w:r w:rsidR="005B4857" w:rsidRPr="00FD79D7">
        <w:rPr>
          <w:rFonts w:ascii="Arial Narrow" w:hAnsi="Arial Narrow"/>
          <w:color w:val="000000"/>
        </w:rPr>
        <w:t xml:space="preserve"/>
      </w:r>
      <w:r w:rsidR="00FD79D7" w:rsidRPr="00FD79D7">
        <w:rPr>
          <w:rFonts w:ascii="Arial Narrow" w:hAnsi="Arial Narrow"/>
          <w:color w:val="000000"/>
        </w:rPr>
        <w:t/>
      </w:r>
      <w:r w:rsidR="005B4857" w:rsidRPr="00FD79D7">
        <w:rPr>
          <w:rFonts w:ascii="Arial Narrow" w:hAnsi="Arial Narrow"/>
          <w:color w:val="000000"/>
        </w:rPr>
        <w:t xml:space="preserve"/>
      </w:r>
      <w:r w:rsidR="00FD79D7" w:rsidRPr="00FD79D7">
        <w:rPr>
          <w:rFonts w:ascii="Arial Narrow" w:hAnsi="Arial Narrow"/>
          <w:color w:val="000000"/>
        </w:rPr>
        <w:t/>
      </w:r>
      <w:r w:rsidR="005B4857" w:rsidRPr="00FD79D7">
        <w:rPr>
          <w:rFonts w:ascii="Arial Narrow" w:hAnsi="Arial Narrow"/>
          <w:color w:val="000000"/>
        </w:rPr>
        <w:t xml:space="preserve"/>
      </w:r>
      <w:r w:rsidR="00FD79D7" w:rsidRPr="00FD79D7">
        <w:rPr>
          <w:rFonts w:ascii="Arial Narrow" w:hAnsi="Arial Narrow"/>
          <w:color w:val="000000"/>
        </w:rPr>
        <w:t/>
      </w:r>
      <w:r w:rsidR="005B4857" w:rsidRPr="00FD79D7">
        <w:rPr>
          <w:rFonts w:ascii="Arial Narrow" w:hAnsi="Arial Narrow"/>
          <w:color w:val="000000"/>
        </w:rPr>
        <w:t xml:space="preserve"/>
      </w:r>
      <w:r w:rsidR="00FD79D7" w:rsidRPr="00FD79D7">
        <w:rPr>
          <w:rFonts w:ascii="Arial Narrow" w:hAnsi="Arial Narrow"/>
          <w:color w:val="000000"/>
        </w:rPr>
        <w:t/>
      </w:r>
      <w:r w:rsidR="005B4857" w:rsidRPr="00FD79D7">
        <w:rPr>
          <w:rFonts w:ascii="Arial Narrow" w:hAnsi="Arial Narrow"/>
          <w:color w:val="000000"/>
        </w:rPr>
        <w:t xml:space="preserve"/>
      </w:r>
      <w:r w:rsidR="00FD79D7" w:rsidRPr="00FD79D7">
        <w:rPr>
          <w:rFonts w:ascii="Arial Narrow" w:hAnsi="Arial Narrow"/>
          <w:color w:val="000000"/>
        </w:rPr>
        <w:t/>
      </w:r>
      <w:r w:rsidR="005B4857" w:rsidRPr="00FD79D7">
        <w:rPr>
          <w:rFonts w:ascii="Arial Narrow" w:hAnsi="Arial Narrow"/>
          <w:color w:val="000000"/>
        </w:rPr>
        <w:t/>
      </w:r>
      <w:r w:rsidR="005B4857" w:rsidRPr="00EB4D2D">
        <w:rPr>
          <w:rFonts w:ascii="Arial Narrow" w:hAnsi="Arial Narrow"/>
          <w:color w:val="000000"/>
        </w:rPr>
        <w:t xml:space="preserve"/>
      </w:r>
      <w:r w:rsidR="005B4857" w:rsidRPr="00FD79D7">
        <w:rPr>
          <w:rFonts w:ascii="Arial Narrow" w:hAnsi="Arial Narrow"/>
          <w:color w:val="000000"/>
        </w:rPr>
        <w:t/>
      </w:r>
      <w:r w:rsidR="00FD79D7" w:rsidRPr="00FD79D7">
        <w:rPr>
          <w:rFonts w:ascii="Arial Narrow" w:hAnsi="Arial Narrow"/>
          <w:color w:val="000000"/>
        </w:rPr>
        <w:t/>
      </w:r>
      <w:r w:rsidR="005B4857" w:rsidRPr="00FD79D7">
        <w:rPr>
          <w:rFonts w:ascii="Arial Narrow" w:hAnsi="Arial Narrow"/>
          <w:color w:val="000000"/>
        </w:rPr>
        <w:t xml:space="preserve"/>
      </w:r>
      <w:r w:rsidR="005B4857" w:rsidRPr="00FD79D7">
        <w:rPr>
          <w:rStyle w:val="Refdenotaalpie"/>
          <w:rFonts w:ascii="Arial Narrow" w:hAnsi="Arial Narrow"/>
          <w:vertAlign w:val="superscript"/>
        </w:rPr>
        <w:footnoteReference w:id="11"/>
      </w:r>
      <w:r w:rsidR="005B4857" w:rsidRPr="00FD79D7">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LUISA ANALÍ SILVA MALPARTIDA</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Secretaria Técnica Ad Hoc</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EF51157" w14:textId="77777777" w:rsidR="009E24AA" w:rsidRDefault="009E24AA" w:rsidP="00DA79A0">
      <w:pPr>
        <w:spacing w:after="0" w:line="240" w:lineRule="auto"/>
      </w:pPr>
      <w:r>
        <w:separator/>
      </w:r>
    </w:p>
  </w:endnote>
  <w:endnote w:type="continuationSeparator" w:id="0">
    <w:p w14:paraId="1DC8BF89" w14:textId="77777777" w:rsidR="009E24AA" w:rsidRDefault="009E24A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10D9A33" w14:textId="77777777" w:rsidR="009E24AA" w:rsidRDefault="009E24AA" w:rsidP="00DA79A0">
      <w:pPr>
        <w:spacing w:after="0" w:line="240" w:lineRule="auto"/>
      </w:pPr>
      <w:r>
        <w:separator/>
      </w:r>
    </w:p>
  </w:footnote>
  <w:footnote w:type="continuationSeparator" w:id="0">
    <w:p w14:paraId="7FF41F94" w14:textId="77777777" w:rsidR="009E24AA" w:rsidRDefault="009E24AA" w:rsidP="00DA79A0">
      <w:pPr>
        <w:spacing w:after="0" w:line="240" w:lineRule="auto"/>
      </w:pPr>
      <w:r>
        <w:continuationSeparator/>
      </w:r>
    </w:p>
  </w:footnote>
  <w:footnote w:id="1">
    <w:p w14:paraId="1A82CAE4" w14:textId="77777777" w:rsidR="00CA59A2" w:rsidRPr="00AB4D84" w:rsidRDefault="00CA59A2" w:rsidP="00EB4D2D">
      <w:pPr>
        <w:pStyle w:val="Textonotapie"/>
        <w:ind w:left="567" w:hanging="567"/>
        <w:jc w:val="both"/>
        <w:rPr>
          <w:rFonts w:ascii="Arial Narrow" w:hAnsi="Arial Narrow" w:cs="Arial"/>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t>Publicado</w:t>
      </w:r>
      <w:r w:rsidRPr="00AB4D84">
        <w:rPr>
          <w:rFonts w:ascii="Arial Narrow" w:hAnsi="Arial Narrow" w:cs="Arial"/>
          <w:b/>
          <w:sz w:val="17"/>
          <w:szCs w:val="17"/>
        </w:rPr>
        <w:t xml:space="preserve"> </w:t>
      </w:r>
      <w:r w:rsidRPr="00AB4D84">
        <w:rPr>
          <w:rFonts w:ascii="Arial Narrow" w:hAnsi="Arial Narrow" w:cs="Arial"/>
          <w:sz w:val="17"/>
          <w:szCs w:val="17"/>
        </w:rPr>
        <w:t xml:space="preserve">el 2 de setiembre de 2010 en el Diario Oficial El Peruano, vigente desde el 2 de octubre de 2010 y modificado por Decreto Legislativo 1308.</w:t>
      </w:r>
    </w:p>
    <w:p w14:paraId="26AE40E8" w14:textId="77777777" w:rsidR="00CA59A2" w:rsidRPr="00AB4D84" w:rsidRDefault="00CA59A2" w:rsidP="00EB4D2D">
      <w:pPr>
        <w:pStyle w:val="Textonotapie"/>
        <w:ind w:left="567" w:hanging="567"/>
        <w:jc w:val="both"/>
        <w:rPr>
          <w:rFonts w:ascii="Arial Narrow" w:hAnsi="Arial Narrow" w:cs="Arial"/>
          <w:sz w:val="17"/>
          <w:szCs w:val="17"/>
        </w:rPr>
      </w:pPr>
    </w:p>
  </w:footnote>
  <w:footnote w:id="2">
    <w:p w14:paraId="05FCC0FA" w14:textId="103300B9" w:rsidR="00CA59A2" w:rsidRPr="00AB4D84"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r>
      <w:r w:rsidRPr="00AB4D84">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4C83EF3E"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AB4D84">
        <w:rPr>
          <w:rFonts w:ascii="Arial Narrow" w:eastAsia="Arial Narrow" w:hAnsi="Arial Narrow" w:cs="Arial"/>
          <w:b/>
          <w:bCs/>
          <w:sz w:val="17"/>
          <w:szCs w:val="17"/>
        </w:rPr>
        <w:tab/>
        <w:t>Artículo 105.- Autoridad competente.</w:t>
      </w:r>
    </w:p>
    <w:p w14:paraId="7C7DEEBE" w14:textId="2459804D"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 xml:space="preserve">(…). </w:t>
      </w:r>
    </w:p>
    <w:p w14:paraId="6A1CDC8A"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p>
    <w:p w14:paraId="704590F7" w14:textId="189BC505" w:rsidR="00CA59A2" w:rsidRPr="00AB4D84"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AB4D84">
        <w:rPr>
          <w:rFonts w:ascii="Arial Narrow" w:eastAsia="Arial Narrow" w:hAnsi="Arial Narrow" w:cs="Arial"/>
          <w:sz w:val="17"/>
          <w:szCs w:val="17"/>
        </w:rPr>
        <w:tab/>
      </w:r>
      <w:r w:rsidRPr="00AB4D84">
        <w:rPr>
          <w:rFonts w:ascii="Arial Narrow" w:eastAsia="Arial Narrow" w:hAnsi="Arial Narrow" w:cs="Arial"/>
          <w:b/>
          <w:bCs/>
          <w:sz w:val="17"/>
          <w:szCs w:val="17"/>
        </w:rPr>
        <w:t xml:space="preserve">LEY DE ORGANIZACIÓN Y FUNCIONES DEL INDECOPI, APROBADA POR DECRETO LEGISLATIVO 1033 </w:t>
      </w:r>
    </w:p>
    <w:p w14:paraId="37D75715"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b/>
          <w:bCs/>
          <w:sz w:val="17"/>
          <w:szCs w:val="17"/>
        </w:rPr>
        <w:tab/>
        <w:t>Artículo 27.-</w:t>
      </w:r>
      <w:r w:rsidRPr="00AB4D84">
        <w:rPr>
          <w:rFonts w:ascii="Arial Narrow" w:eastAsia="Arial Narrow" w:hAnsi="Arial Narrow" w:cs="Arial"/>
          <w:sz w:val="17"/>
          <w:szCs w:val="17"/>
        </w:rPr>
        <w:t xml:space="preserve"> De la Comisión de Protección al Consumidor.- </w:t>
      </w:r>
    </w:p>
    <w:p w14:paraId="5B348423"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B4D84" w:rsidRDefault="00CA59A2" w:rsidP="00EB4D2D">
      <w:pPr>
        <w:pStyle w:val="Textonotapie"/>
        <w:tabs>
          <w:tab w:val="left" w:pos="567"/>
        </w:tabs>
        <w:ind w:right="-1"/>
        <w:jc w:val="both"/>
        <w:rPr>
          <w:rFonts w:ascii="Arial Narrow" w:eastAsia="Arial Narrow" w:hAnsi="Arial Narrow" w:cs="Arial"/>
          <w:sz w:val="17"/>
          <w:szCs w:val="17"/>
        </w:rPr>
      </w:pPr>
    </w:p>
  </w:footnote>
  <w:footnote w:id="3">
    <w:p w14:paraId="718762D2" w14:textId="6BA2AAB8" w:rsidR="00711750" w:rsidRPr="00AB4D84" w:rsidRDefault="00711750" w:rsidP="00EB4D2D">
      <w:pPr>
        <w:pStyle w:val="Textonotapie"/>
        <w:tabs>
          <w:tab w:val="left" w:pos="567"/>
        </w:tabs>
        <w:ind w:left="567" w:right="-1" w:hanging="567"/>
        <w:jc w:val="both"/>
        <w:rPr>
          <w:rFonts w:ascii="Arial Narrow" w:eastAsia="Arial Narrow" w:hAnsi="Arial Narrow" w:cs="Arial Narrow"/>
          <w:b/>
          <w:bCs/>
          <w:sz w:val="17"/>
          <w:szCs w:val="17"/>
        </w:rPr>
      </w:pPr>
      <w:r w:rsidRPr="00AB4D84">
        <w:rPr>
          <w:rStyle w:val="Refdenotaalpie"/>
          <w:rFonts w:ascii="Arial Narrow" w:hAnsi="Arial Narrow"/>
          <w:sz w:val="16"/>
          <w:szCs w:val="17"/>
          <w:vertAlign w:val="superscript"/>
        </w:rPr>
        <w:footnoteRef/>
      </w:r>
      <w:r w:rsidRPr="00AB4D84">
        <w:rPr>
          <w:rFonts w:ascii="Arial Narrow" w:hAnsi="Arial Narrow"/>
          <w:sz w:val="17"/>
          <w:szCs w:val="17"/>
        </w:rPr>
        <w:t xml:space="preserve"> </w:t>
      </w:r>
      <w:r w:rsidRPr="00AB4D84">
        <w:rPr>
          <w:rFonts w:ascii="Arial Narrow" w:hAnsi="Arial Narrow"/>
          <w:sz w:val="17"/>
          <w:szCs w:val="17"/>
        </w:rPr>
        <w:tab/>
      </w:r>
      <w:r w:rsidRPr="00AB4D84">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71E70A8C" w14:textId="77777777" w:rsidR="00711750" w:rsidRPr="00AB4D84" w:rsidRDefault="00711750" w:rsidP="00EB4D2D">
      <w:pPr>
        <w:pStyle w:val="Textonotapie"/>
        <w:ind w:left="567" w:right="-1"/>
        <w:jc w:val="both"/>
        <w:rPr>
          <w:rFonts w:ascii="Arial Narrow" w:eastAsia="Arial Narrow" w:hAnsi="Arial Narrow" w:cs="Arial Narrow"/>
          <w:b/>
          <w:bCs/>
          <w:sz w:val="17"/>
          <w:szCs w:val="17"/>
        </w:rPr>
      </w:pPr>
      <w:r w:rsidRPr="00AB4D84">
        <w:rPr>
          <w:rFonts w:ascii="Arial Narrow" w:eastAsia="Arial Narrow" w:hAnsi="Arial Narrow" w:cs="Arial Narrow"/>
          <w:b/>
          <w:bCs/>
          <w:sz w:val="17"/>
          <w:szCs w:val="17"/>
        </w:rPr>
        <w:t xml:space="preserve">Artículo 18.- Idoneidad </w:t>
      </w:r>
    </w:p>
    <w:p w14:paraId="478C8B3B" w14:textId="77777777" w:rsidR="00711750" w:rsidRPr="00AB4D84" w:rsidRDefault="00711750" w:rsidP="00EB4D2D">
      <w:pPr>
        <w:pStyle w:val="Textonotapie"/>
        <w:ind w:left="567" w:right="-1"/>
        <w:jc w:val="both"/>
        <w:rPr>
          <w:rFonts w:ascii="Arial Narrow" w:eastAsia="Arial Narrow" w:hAnsi="Arial Narrow" w:cs="Arial Narrow"/>
          <w:sz w:val="17"/>
          <w:szCs w:val="17"/>
        </w:rPr>
      </w:pPr>
      <w:r w:rsidRPr="00AB4D84">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B4D84" w:rsidRDefault="00711750" w:rsidP="00EB4D2D">
      <w:pPr>
        <w:pStyle w:val="Textonotapie"/>
        <w:ind w:left="567" w:right="-1"/>
        <w:jc w:val="both"/>
        <w:rPr>
          <w:rFonts w:ascii="Arial Narrow" w:eastAsia="Arial Narrow" w:hAnsi="Arial Narrow" w:cs="Arial Narrow"/>
          <w:sz w:val="17"/>
          <w:szCs w:val="17"/>
        </w:rPr>
      </w:pPr>
      <w:r w:rsidRPr="00AB4D84">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B4D84" w:rsidRDefault="00711750" w:rsidP="00EB4D2D">
      <w:pPr>
        <w:pStyle w:val="Textonotapie"/>
        <w:ind w:left="567" w:right="-1"/>
        <w:jc w:val="both"/>
        <w:rPr>
          <w:rFonts w:ascii="Arial Narrow" w:eastAsia="Arial Narrow" w:hAnsi="Arial Narrow" w:cs="Arial Narrow"/>
          <w:sz w:val="17"/>
          <w:szCs w:val="17"/>
        </w:rPr>
      </w:pPr>
    </w:p>
    <w:p w14:paraId="2824A68C" w14:textId="77777777" w:rsidR="00711750" w:rsidRPr="00AB4D84" w:rsidRDefault="00711750" w:rsidP="00EB4D2D">
      <w:pPr>
        <w:pStyle w:val="Textonotapie"/>
        <w:ind w:left="567" w:right="-1"/>
        <w:jc w:val="both"/>
        <w:rPr>
          <w:rFonts w:ascii="Arial Narrow" w:eastAsia="Arial Narrow" w:hAnsi="Arial Narrow" w:cs="Arial Narrow"/>
          <w:sz w:val="17"/>
          <w:szCs w:val="17"/>
        </w:rPr>
      </w:pPr>
      <w:r w:rsidRPr="00AB4D84">
        <w:rPr>
          <w:rFonts w:ascii="Arial Narrow" w:eastAsia="Arial Narrow" w:hAnsi="Arial Narrow" w:cs="Arial Narrow"/>
          <w:b/>
          <w:bCs/>
          <w:sz w:val="17"/>
          <w:szCs w:val="17"/>
        </w:rPr>
        <w:t xml:space="preserve">Artículo 19.- Obligación de los proveedores </w:t>
      </w:r>
    </w:p>
    <w:p w14:paraId="21160F25" w14:textId="77777777" w:rsidR="00711750" w:rsidRPr="00AB4D84" w:rsidRDefault="00711750" w:rsidP="00EB4D2D">
      <w:pPr>
        <w:pStyle w:val="Textonotapie"/>
        <w:ind w:left="567" w:right="-1"/>
        <w:jc w:val="both"/>
        <w:rPr>
          <w:rFonts w:ascii="Arial Narrow" w:eastAsia="Arial Narrow" w:hAnsi="Arial Narrow" w:cs="Arial Narrow"/>
          <w:sz w:val="17"/>
          <w:szCs w:val="17"/>
        </w:rPr>
      </w:pPr>
      <w:r w:rsidRPr="00AB4D84">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B4D84" w:rsidRDefault="00711750" w:rsidP="00EB4D2D">
      <w:pPr>
        <w:pStyle w:val="Textonotapie"/>
        <w:jc w:val="both"/>
        <w:rPr>
          <w:rFonts w:ascii="Arial Narrow" w:hAnsi="Arial Narrow"/>
          <w:sz w:val="17"/>
          <w:szCs w:val="17"/>
        </w:rPr>
      </w:pPr>
    </w:p>
  </w:footnote>
  <w:footnote w:id="4">
    <w:p w14:paraId="17A59CC5" w14:textId="1095E305"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r>
      <w:r w:rsidRPr="00AB4D84">
        <w:rPr>
          <w:rFonts w:ascii="Arial Narrow" w:eastAsia="Arial Narrow" w:hAnsi="Arial Narrow" w:cs="Arial"/>
          <w:b/>
          <w:bCs/>
          <w:sz w:val="17"/>
          <w:szCs w:val="17"/>
        </w:rPr>
        <w:t xml:space="preserve">LEY SOBRE FACULTADES, NORMAS Y ORGANIZACIÓN DEL INDECOPI, APROBADA POR DECRETO LEGISLATIVO 807 Artículo 24.-</w:t>
      </w:r>
      <w:r w:rsidRPr="00AB4D84">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 xml:space="preserve">(...) </w:t>
      </w:r>
    </w:p>
    <w:p w14:paraId="7B2AB955"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w:t>
      </w:r>
    </w:p>
    <w:p w14:paraId="09B4F71B"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 </w:t>
      </w:r>
    </w:p>
    <w:p w14:paraId="7E788299" w14:textId="77777777" w:rsidR="00CA59A2" w:rsidRPr="00AB4D84" w:rsidRDefault="00CA59A2" w:rsidP="00EB4D2D">
      <w:pPr>
        <w:pStyle w:val="Textonotapie"/>
        <w:tabs>
          <w:tab w:val="left" w:pos="567"/>
        </w:tabs>
        <w:ind w:left="567" w:right="-1" w:hanging="567"/>
        <w:jc w:val="both"/>
        <w:rPr>
          <w:rFonts w:ascii="Arial Narrow" w:eastAsia="Arial Narrow" w:hAnsi="Arial Narrow" w:cs="Arial"/>
          <w:sz w:val="17"/>
          <w:szCs w:val="17"/>
        </w:rPr>
      </w:pPr>
    </w:p>
  </w:footnote>
  <w:footnote w:id="5">
    <w:p w14:paraId="703725D5" w14:textId="77777777" w:rsidR="00CA59A2" w:rsidRPr="00AB4D84" w:rsidRDefault="00CA59A2" w:rsidP="00EB4D2D">
      <w:pPr>
        <w:pStyle w:val="Textonotapie"/>
        <w:ind w:left="567" w:hanging="567"/>
        <w:jc w:val="both"/>
        <w:rPr>
          <w:rFonts w:ascii="Arial Narrow" w:hAnsi="Arial Narrow" w:cs="Arial"/>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B4D84">
        <w:rPr>
          <w:rFonts w:ascii="Arial Narrow" w:hAnsi="Arial Narrow" w:cs="Arial"/>
          <w:sz w:val="17"/>
          <w:szCs w:val="17"/>
        </w:rPr>
        <w:t>entrada en vigencia</w:t>
      </w:r>
      <w:proofErr w:type="gramEnd"/>
      <w:r w:rsidRPr="00AB4D84">
        <w:rPr>
          <w:rFonts w:ascii="Arial Narrow" w:hAnsi="Arial Narrow" w:cs="Arial"/>
          <w:sz w:val="17"/>
          <w:szCs w:val="17"/>
        </w:rPr>
        <w:t xml:space="preserve"> de dicha Ley se rigen por los requisitos de acogimiento al régimen de las micro y pequeñas empresas regulados en el Decreto Legislativo 1086.</w:t>
      </w:r>
    </w:p>
    <w:p w14:paraId="0EB35F22" w14:textId="77777777" w:rsidR="00CA59A2" w:rsidRPr="00AB4D84" w:rsidRDefault="00CA59A2" w:rsidP="00EB4D2D">
      <w:pPr>
        <w:pStyle w:val="Textonotapie"/>
        <w:ind w:left="567" w:hanging="567"/>
        <w:jc w:val="both"/>
        <w:rPr>
          <w:rFonts w:ascii="Arial Narrow" w:hAnsi="Arial Narrow" w:cs="Arial"/>
          <w:sz w:val="17"/>
          <w:szCs w:val="17"/>
        </w:rPr>
      </w:pPr>
    </w:p>
  </w:footnote>
  <w:footnote w:id="6">
    <w:p w14:paraId="12554D7B" w14:textId="71A836F4" w:rsidR="00CA59A2" w:rsidRPr="00AB4D84" w:rsidRDefault="00CA59A2" w:rsidP="00EB4D2D">
      <w:pPr>
        <w:pStyle w:val="Textonotapie"/>
        <w:ind w:left="567" w:hanging="567"/>
        <w:jc w:val="both"/>
        <w:rPr>
          <w:rFonts w:ascii="Arial Narrow" w:hAnsi="Arial Narrow" w:cs="Arial"/>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r>
      <w:r w:rsidRPr="00AB4D84">
        <w:rPr>
          <w:rFonts w:ascii="Arial Narrow" w:eastAsia="Arial Narrow" w:hAnsi="Arial Narrow" w:cs="Arial"/>
          <w:b/>
          <w:sz w:val="17"/>
          <w:szCs w:val="17"/>
        </w:rPr>
        <w:t>LEY</w:t>
      </w:r>
      <w:r w:rsidR="003A71B1" w:rsidRPr="00AB4D84">
        <w:rPr>
          <w:rFonts w:ascii="Arial Narrow" w:eastAsia="Arial Narrow" w:hAnsi="Arial Narrow" w:cs="Arial"/>
          <w:b/>
          <w:sz w:val="17"/>
          <w:szCs w:val="17"/>
        </w:rPr>
        <w:t xml:space="preserve"> 29571</w:t>
      </w:r>
      <w:r w:rsidRPr="00AB4D84">
        <w:rPr>
          <w:rFonts w:ascii="Arial Narrow" w:eastAsia="Arial Narrow" w:hAnsi="Arial Narrow" w:cs="Arial"/>
          <w:b/>
          <w:sz w:val="17"/>
          <w:szCs w:val="17"/>
        </w:rPr>
        <w:t>, CÓDIGO DE PROTECCIÓN Y DEFENSA DEL CONSUMIDOR</w:t>
      </w:r>
      <w:r w:rsidRPr="00AB4D84">
        <w:rPr>
          <w:rFonts w:ascii="Arial Narrow" w:hAnsi="Arial Narrow" w:cs="Arial"/>
          <w:b/>
          <w:bCs/>
          <w:sz w:val="17"/>
          <w:szCs w:val="17"/>
        </w:rPr>
        <w:t xml:space="preserve">, </w:t>
      </w:r>
      <w:r w:rsidRPr="00AB4D84">
        <w:rPr>
          <w:rFonts w:ascii="Arial Narrow" w:hAnsi="Arial Narrow" w:cs="Arial"/>
          <w:b/>
          <w:sz w:val="17"/>
          <w:szCs w:val="17"/>
        </w:rPr>
        <w:t xml:space="preserve">publicado el 2 de setiembre de 2010 y modificado por Decreto Legislativo 1308</w:t>
      </w:r>
    </w:p>
    <w:p w14:paraId="6D8A2F03" w14:textId="77777777" w:rsidR="00CA59A2" w:rsidRPr="00AB4D84" w:rsidRDefault="00CA59A2" w:rsidP="00EB4D2D">
      <w:pPr>
        <w:pStyle w:val="Textonotapie"/>
        <w:ind w:left="567" w:hanging="567"/>
        <w:jc w:val="both"/>
        <w:rPr>
          <w:rFonts w:ascii="Arial Narrow" w:hAnsi="Arial Narrow" w:cs="Arial"/>
          <w:b/>
          <w:bCs/>
          <w:sz w:val="17"/>
          <w:szCs w:val="17"/>
        </w:rPr>
      </w:pPr>
      <w:r w:rsidRPr="00AB4D84">
        <w:rPr>
          <w:rFonts w:ascii="Arial Narrow" w:hAnsi="Arial Narrow" w:cs="Arial"/>
          <w:sz w:val="17"/>
          <w:szCs w:val="17"/>
        </w:rPr>
        <w:tab/>
      </w:r>
      <w:r w:rsidRPr="00AB4D84">
        <w:rPr>
          <w:rFonts w:ascii="Arial Narrow" w:hAnsi="Arial Narrow" w:cs="Arial"/>
          <w:b/>
          <w:bCs/>
          <w:sz w:val="17"/>
          <w:szCs w:val="17"/>
        </w:rPr>
        <w:t>Artículo 110.- Sanciones Administrativas</w:t>
      </w:r>
    </w:p>
    <w:p w14:paraId="693A834B" w14:textId="77777777" w:rsidR="00CA59A2" w:rsidRPr="00AB4D84"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AB4D84">
        <w:rPr>
          <w:rFonts w:ascii="Arial Narrow" w:hAnsi="Arial Narrow" w:cs="Arial"/>
          <w:sz w:val="17"/>
          <w:szCs w:val="17"/>
          <w:lang w:eastAsia="es-PE"/>
        </w:rPr>
        <w:t>(…)</w:t>
      </w:r>
    </w:p>
    <w:p w14:paraId="04CBC22B" w14:textId="77777777" w:rsidR="00CA59A2" w:rsidRPr="00AB4D84"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AB4D84">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B4D84"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AB4D84">
        <w:rPr>
          <w:rFonts w:ascii="Arial Narrow" w:hAnsi="Arial Narrow" w:cs="Arial"/>
          <w:sz w:val="17"/>
          <w:szCs w:val="17"/>
          <w:lang w:eastAsia="es-PE"/>
        </w:rPr>
        <w:t>(…).</w:t>
      </w:r>
    </w:p>
    <w:p w14:paraId="3B6754D8" w14:textId="77777777" w:rsidR="00CA59A2" w:rsidRPr="00AB4D84" w:rsidRDefault="00CA59A2" w:rsidP="00EB4D2D">
      <w:pPr>
        <w:pStyle w:val="Textonotapie"/>
        <w:tabs>
          <w:tab w:val="left" w:pos="284"/>
        </w:tabs>
        <w:ind w:left="567" w:hanging="567"/>
        <w:jc w:val="both"/>
        <w:rPr>
          <w:rFonts w:ascii="Arial Narrow" w:hAnsi="Arial Narrow" w:cs="Arial"/>
          <w:b/>
          <w:bCs/>
          <w:sz w:val="17"/>
          <w:szCs w:val="17"/>
        </w:rPr>
      </w:pPr>
    </w:p>
  </w:footnote>
  <w:footnote w:id="12">
    <w:p>
      <w:pPr>
        <w:pStyle w:val="Textonotapie"/>
        <w:ind w:left="567" w:hanging="567"/>
        <w:jc w:val="both"/>
      </w:pPr>
      <w:r w:rsidRPr="00AB4D84">
        <w:rPr>
          <w:rStyle w:val="Refdenotaalpie"/>
          <w:rFonts w:ascii="Arial Narrow" w:hAnsi="Arial Narrow" w:cs="Arial"/>
          <w:sz w:val="16"/>
          <w:szCs w:val="17"/>
          <w:vertAlign w:val="superscript"/>
        </w:rPr>
        <w:footnoteRef/>
      </w:r>
      <w:r>
        <w:rPr>
          <w:rFonts w:ascii="Arial Narrow" w:hAnsi="Arial Narrow" w:cs="Arial"/>
          <w:sz w:val="17"/>
          <w:szCs w:val="17"/>
        </w:rPr>
        <w:tab/>
      </w:r>
      <w:r>
        <w:rPr>
          <w:rFonts w:ascii="Arial Narrow" w:hAnsi="Arial Narrow" w:cs="Arial"/>
          <w:b/>
          <w:bCs/>
          <w:sz w:val="17"/>
          <w:szCs w:val="17"/>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7"/>
          <w:szCs w:val="17"/>
        </w:rPr>
        <w:tab/>
      </w:r>
      <w:r>
        <w:rPr>
          <w:rFonts w:ascii="Arial Narrow" w:hAnsi="Arial Narrow" w:cs="Arial"/>
          <w:b/>
          <w:bCs/>
          <w:sz w:val="17"/>
          <w:szCs w:val="17"/>
        </w:rPr>
        <w:t xml:space="preserve">Artículo 26.-</w:t>
      </w:r>
      <w:r>
        <w:rPr>
          <w:rFonts w:ascii="Arial Narrow" w:hAnsi="Arial Narrow" w:cs="Arial"/>
          <w:sz w:val="17"/>
          <w:szCs w:val="17"/>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AB4D84">
        <w:rPr>
          <w:rStyle w:val="Refdenotaalpie"/>
          <w:rFonts w:ascii="Arial Narrow" w:hAnsi="Arial Narrow" w:cs="Arial"/>
          <w:sz w:val="16"/>
          <w:szCs w:val="17"/>
          <w:vertAlign w:val="superscript"/>
        </w:rPr>
        <w:footnoteRef/>
      </w:r>
      <w:r>
        <w:rPr>
          <w:rFonts w:ascii="Arial Narrow" w:hAnsi="Arial Narrow" w:cs="Arial"/>
          <w:sz w:val="17"/>
          <w:szCs w:val="17"/>
        </w:rPr>
        <w:tab/>
      </w:r>
      <w:r>
        <w:rPr>
          <w:rFonts w:ascii="Arial Narrow" w:hAnsi="Arial Narrow" w:cs="Arial"/>
          <w:b/>
          <w:bCs/>
          <w:sz w:val="17"/>
          <w:szCs w:val="17"/>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7"/>
          <w:szCs w:val="17"/>
        </w:rPr>
        <w:tab/>
      </w:r>
      <w:r>
        <w:rPr>
          <w:rFonts w:ascii="Arial Narrow" w:hAnsi="Arial Narrow" w:cs="Arial"/>
          <w:b/>
          <w:bCs/>
          <w:sz w:val="17"/>
          <w:szCs w:val="17"/>
        </w:rPr>
        <w:t xml:space="preserve">Artículo 223.- Contestación de la reclamación</w:t>
      </w:r>
    </w:p>
    <w:p>
      <w:pPr>
        <w:pStyle w:val="Textonotapie"/>
        <w:ind w:left="567" w:hanging="567"/>
        <w:jc w:val="both"/>
      </w:pPr>
      <w:r>
        <w:rPr>
          <w:rFonts w:ascii="Arial Narrow" w:hAnsi="Arial Narrow" w:cs="Arial"/>
          <w:sz w:val="17"/>
          <w:szCs w:val="17"/>
        </w:rPr>
        <w:tab/>
      </w:r>
      <w:r>
        <w:rPr>
          <w:rFonts w:ascii="Arial Narrow" w:hAnsi="Arial Narrow" w:cs="Arial"/>
          <w:sz w:val="17"/>
          <w:szCs w:val="17"/>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0D9BD05C" w:rsidR="00CA59A2" w:rsidRPr="00AB4D84" w:rsidRDefault="00CA59A2" w:rsidP="00EB4D2D">
      <w:pPr>
        <w:spacing w:after="0" w:line="240" w:lineRule="auto"/>
        <w:ind w:left="567" w:hanging="567"/>
        <w:jc w:val="both"/>
        <w:rPr>
          <w:rFonts w:ascii="Arial Narrow" w:hAnsi="Arial Narrow" w:cs="Arial"/>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vertAlign w:val="superscript"/>
        </w:rPr>
        <w:t xml:space="preserve"> </w:t>
      </w:r>
      <w:r w:rsidRPr="00AB4D84">
        <w:rPr>
          <w:rFonts w:ascii="Arial Narrow" w:hAnsi="Arial Narrow" w:cs="Arial"/>
          <w:sz w:val="17"/>
          <w:szCs w:val="17"/>
        </w:rPr>
        <w:t xml:space="preserve"> </w:t>
      </w:r>
      <w:r w:rsidRPr="00AB4D84">
        <w:rPr>
          <w:rFonts w:ascii="Arial Narrow" w:hAnsi="Arial Narrow" w:cs="Arial"/>
          <w:sz w:val="17"/>
          <w:szCs w:val="17"/>
        </w:rPr>
        <w:tab/>
      </w:r>
      <w:r w:rsidRPr="00AB4D84">
        <w:rPr>
          <w:rFonts w:ascii="Arial Narrow" w:eastAsia="Arial Narrow" w:hAnsi="Arial Narrow" w:cs="Arial"/>
          <w:b/>
          <w:sz w:val="17"/>
          <w:szCs w:val="17"/>
        </w:rPr>
        <w:t>LEY</w:t>
      </w:r>
      <w:r w:rsidR="003A71B1" w:rsidRPr="00AB4D84">
        <w:rPr>
          <w:rFonts w:ascii="Arial Narrow" w:eastAsia="Arial Narrow" w:hAnsi="Arial Narrow" w:cs="Arial"/>
          <w:b/>
          <w:sz w:val="17"/>
          <w:szCs w:val="17"/>
        </w:rPr>
        <w:t xml:space="preserve"> 29571</w:t>
      </w:r>
      <w:r w:rsidRPr="00AB4D84">
        <w:rPr>
          <w:rFonts w:ascii="Arial Narrow" w:eastAsia="Arial Narrow" w:hAnsi="Arial Narrow" w:cs="Arial"/>
          <w:b/>
          <w:sz w:val="17"/>
          <w:szCs w:val="17"/>
        </w:rPr>
        <w:t>, CÓDIGO DE PROTECCIÓN Y DEFENSA DEL CONSUMIDOR</w:t>
      </w:r>
      <w:r w:rsidRPr="00AB4D84">
        <w:rPr>
          <w:rFonts w:ascii="Arial Narrow" w:hAnsi="Arial Narrow" w:cs="Arial"/>
          <w:b/>
          <w:bCs/>
          <w:sz w:val="17"/>
          <w:szCs w:val="17"/>
        </w:rPr>
        <w:t xml:space="preserve">, </w:t>
      </w:r>
      <w:r w:rsidRPr="00AB4D84">
        <w:rPr>
          <w:rFonts w:ascii="Arial Narrow" w:hAnsi="Arial Narrow" w:cs="Arial"/>
          <w:b/>
          <w:sz w:val="17"/>
          <w:szCs w:val="17"/>
        </w:rPr>
        <w:t xml:space="preserve">publicado el 2 de setiembre de 2010 y modificado por Decreto Legislativo 1308</w:t>
      </w:r>
    </w:p>
    <w:p w14:paraId="4BC9BF8D" w14:textId="77777777" w:rsidR="00CA59A2" w:rsidRPr="00AB4D84" w:rsidRDefault="00CA59A2" w:rsidP="00EB4D2D">
      <w:pPr>
        <w:spacing w:after="0" w:line="240" w:lineRule="auto"/>
        <w:ind w:left="567" w:hanging="567"/>
        <w:jc w:val="both"/>
        <w:rPr>
          <w:rFonts w:ascii="Arial Narrow" w:eastAsia="Arial Narrow" w:hAnsi="Arial Narrow" w:cs="Arial"/>
          <w:b/>
          <w:sz w:val="17"/>
          <w:szCs w:val="17"/>
        </w:rPr>
      </w:pPr>
      <w:r w:rsidRPr="00AB4D84">
        <w:rPr>
          <w:rFonts w:ascii="Arial Narrow" w:eastAsia="Arial Narrow" w:hAnsi="Arial Narrow" w:cs="Arial"/>
          <w:b/>
          <w:sz w:val="17"/>
          <w:szCs w:val="17"/>
        </w:rPr>
        <w:tab/>
        <w:t>Artículo 110.- Sanciones administrativas</w:t>
      </w:r>
    </w:p>
    <w:p w14:paraId="15C6524D" w14:textId="77777777" w:rsidR="00CA59A2" w:rsidRPr="00AB4D84" w:rsidRDefault="00CA59A2" w:rsidP="00EB4D2D">
      <w:pPr>
        <w:spacing w:after="0" w:line="240" w:lineRule="auto"/>
        <w:ind w:left="567"/>
        <w:jc w:val="both"/>
        <w:rPr>
          <w:rFonts w:ascii="Arial Narrow" w:hAnsi="Arial Narrow" w:cs="Arial"/>
          <w:sz w:val="17"/>
          <w:szCs w:val="17"/>
        </w:rPr>
      </w:pPr>
      <w:r w:rsidRPr="00AB4D84">
        <w:rPr>
          <w:rFonts w:ascii="Arial Narrow" w:eastAsia="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B4D84"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AB4D84">
        <w:rPr>
          <w:rFonts w:ascii="Arial Narrow" w:eastAsia="Arial Narrow" w:hAnsi="Arial Narrow" w:cs="Arial"/>
          <w:sz w:val="17"/>
          <w:szCs w:val="17"/>
        </w:rPr>
        <w:t>Infracciones leves, con una amonestación o con una multa de hasta cincuenta (50) UIT.</w:t>
      </w:r>
    </w:p>
    <w:p w14:paraId="3EC7469A" w14:textId="77777777" w:rsidR="00CA59A2" w:rsidRPr="00AB4D84"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AB4D84">
        <w:rPr>
          <w:rFonts w:ascii="Arial Narrow" w:eastAsia="Arial Narrow" w:hAnsi="Arial Narrow" w:cs="Arial"/>
          <w:sz w:val="17"/>
          <w:szCs w:val="17"/>
        </w:rPr>
        <w:t>Infracciones graves, con una multa de hasta ciento cincuenta (150) UIT.</w:t>
      </w:r>
    </w:p>
    <w:p w14:paraId="7DEC6213" w14:textId="77777777" w:rsidR="00CA59A2" w:rsidRPr="00AB4D84"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AB4D84">
        <w:rPr>
          <w:rFonts w:ascii="Arial Narrow" w:eastAsia="Arial Narrow" w:hAnsi="Arial Narrow" w:cs="Arial"/>
          <w:sz w:val="17"/>
          <w:szCs w:val="17"/>
        </w:rPr>
        <w:t>Infracciones muy graves, con una multa de hasta cuatrocientos cincuenta (450) UIT.</w:t>
      </w:r>
    </w:p>
    <w:p w14:paraId="707B74D3"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w:t>
      </w:r>
    </w:p>
  </w:footnote>
  <w:footnote w:id="8">
    <w:p w14:paraId="6DE82B39" w14:textId="4CD725CD" w:rsidR="00A008E2" w:rsidRPr="00AB4D84" w:rsidRDefault="00CA59A2" w:rsidP="00EB4D2D">
      <w:pPr>
        <w:spacing w:after="0" w:line="240" w:lineRule="auto"/>
        <w:ind w:left="567" w:hanging="567"/>
        <w:jc w:val="both"/>
        <w:rPr>
          <w:rFonts w:ascii="Arial Narrow" w:hAnsi="Arial Narrow" w:cs="Arial"/>
          <w:b/>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r>
      <w:r w:rsidR="00A008E2" w:rsidRPr="00AB4D84">
        <w:rPr>
          <w:rFonts w:ascii="Arial Narrow" w:eastAsia="Arial Narrow" w:hAnsi="Arial Narrow" w:cs="Arial"/>
          <w:b/>
          <w:sz w:val="17"/>
          <w:szCs w:val="17"/>
        </w:rPr>
        <w:t>LEY 29571, CÓDIGO DE PROTECCIÓN Y DEFENSA DEL CONSUMIDOR</w:t>
      </w:r>
      <w:r w:rsidR="00A008E2" w:rsidRPr="00AB4D84">
        <w:rPr>
          <w:rFonts w:ascii="Arial Narrow" w:hAnsi="Arial Narrow" w:cs="Arial"/>
          <w:b/>
          <w:bCs/>
          <w:sz w:val="17"/>
          <w:szCs w:val="17"/>
        </w:rPr>
        <w:t xml:space="preserve">, </w:t>
      </w:r>
      <w:r w:rsidR="00A008E2" w:rsidRPr="00AB4D84">
        <w:rPr>
          <w:rFonts w:ascii="Arial Narrow" w:hAnsi="Arial Narrow" w:cs="Arial"/>
          <w:b/>
          <w:sz w:val="17"/>
          <w:szCs w:val="17"/>
        </w:rPr>
        <w:t xml:space="preserve">publicado el 2 de setiembre de 2010 y modificado por Decreto Legislativo 1308</w:t>
      </w:r>
    </w:p>
    <w:p w14:paraId="4B3DC1A8" w14:textId="1F467AF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b/>
          <w:sz w:val="17"/>
          <w:szCs w:val="17"/>
        </w:rPr>
        <w:t>Artículo 114.- Medidas correctivas</w:t>
      </w:r>
    </w:p>
    <w:p w14:paraId="1B3B1F61"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B4D84" w:rsidRDefault="00CA59A2" w:rsidP="00EB4D2D">
      <w:pPr>
        <w:spacing w:after="0" w:line="240" w:lineRule="auto"/>
        <w:ind w:left="567"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B4D84" w:rsidRDefault="00CA59A2" w:rsidP="00EB4D2D">
      <w:pPr>
        <w:spacing w:after="0" w:line="240" w:lineRule="auto"/>
        <w:ind w:left="567" w:hanging="567"/>
        <w:jc w:val="both"/>
        <w:rPr>
          <w:rFonts w:ascii="Arial Narrow" w:eastAsia="Arial Narrow" w:hAnsi="Arial Narrow" w:cs="Arial"/>
          <w:sz w:val="17"/>
          <w:szCs w:val="17"/>
        </w:rPr>
      </w:pPr>
      <w:r w:rsidRPr="00AB4D84">
        <w:rPr>
          <w:rFonts w:ascii="Arial Narrow" w:eastAsia="Arial Narrow" w:hAnsi="Arial Narrow" w:cs="Arial"/>
          <w:sz w:val="17"/>
          <w:szCs w:val="17"/>
        </w:rPr>
        <w:tab/>
        <w:t>Las medidas correctivas complementarias pueden dictarse de oficio o a pedido de parte.</w:t>
      </w:r>
    </w:p>
    <w:p w14:paraId="51455ACA" w14:textId="77777777" w:rsidR="00CA59A2" w:rsidRPr="00AB4D84" w:rsidRDefault="00CA59A2" w:rsidP="00EB4D2D">
      <w:pPr>
        <w:spacing w:after="0" w:line="240" w:lineRule="auto"/>
        <w:ind w:left="567" w:hanging="567"/>
        <w:jc w:val="both"/>
        <w:rPr>
          <w:rFonts w:ascii="Arial Narrow" w:hAnsi="Arial Narrow" w:cs="Arial"/>
          <w:sz w:val="17"/>
          <w:szCs w:val="17"/>
        </w:rPr>
      </w:pPr>
    </w:p>
    <w:p w14:paraId="6CB8D69D" w14:textId="77777777" w:rsidR="00CA59A2" w:rsidRPr="00AB4D84" w:rsidRDefault="00CA59A2" w:rsidP="00EB4D2D">
      <w:pPr>
        <w:spacing w:after="0" w:line="240" w:lineRule="auto"/>
        <w:ind w:left="567" w:hanging="567"/>
        <w:jc w:val="both"/>
        <w:rPr>
          <w:rFonts w:ascii="Arial Narrow" w:hAnsi="Arial Narrow" w:cs="Arial"/>
          <w:sz w:val="17"/>
          <w:szCs w:val="17"/>
        </w:rPr>
      </w:pPr>
      <w:r w:rsidRPr="00AB4D84">
        <w:rPr>
          <w:rFonts w:ascii="Arial Narrow" w:eastAsia="Arial Narrow" w:hAnsi="Arial Narrow" w:cs="Arial"/>
          <w:b/>
          <w:sz w:val="17"/>
          <w:szCs w:val="17"/>
        </w:rPr>
        <w:tab/>
        <w:t>Artículo 115.- Medidas correctivas reparadoras</w:t>
      </w:r>
    </w:p>
    <w:p w14:paraId="0A0E4012" w14:textId="77777777" w:rsidR="00CA59A2" w:rsidRPr="00AB4D84" w:rsidRDefault="00CA59A2" w:rsidP="00EB4D2D">
      <w:pPr>
        <w:spacing w:after="0" w:line="240" w:lineRule="auto"/>
        <w:ind w:left="567" w:hanging="283"/>
        <w:jc w:val="both"/>
        <w:rPr>
          <w:rFonts w:ascii="Arial Narrow" w:eastAsia="Arial Narrow" w:hAnsi="Arial Narrow" w:cs="Arial"/>
          <w:sz w:val="17"/>
          <w:szCs w:val="17"/>
        </w:rPr>
      </w:pPr>
      <w:r w:rsidRPr="00AB4D84">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B4D84"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AB4D84">
        <w:rPr>
          <w:rFonts w:ascii="Arial Narrow" w:eastAsia="Arial Narrow" w:hAnsi="Arial Narrow" w:cs="Arial"/>
          <w:sz w:val="17"/>
          <w:szCs w:val="17"/>
        </w:rPr>
        <w:t>Reparar productos.</w:t>
      </w:r>
    </w:p>
    <w:p w14:paraId="64B5280D" w14:textId="77777777" w:rsidR="00CA59A2" w:rsidRPr="00AB4D84"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AB4D84">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AB4D84"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AB4D84">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B4D84"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AB4D84">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AB4D84"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AB4D84">
        <w:rPr>
          <w:rFonts w:ascii="Arial Narrow" w:eastAsia="Arial Narrow" w:hAnsi="Arial Narrow" w:cs="Arial"/>
          <w:sz w:val="17"/>
          <w:szCs w:val="17"/>
        </w:rPr>
        <w:t>Cumplir con ejecutar otras prestaciones u obligaciones legales o convencionales a su cargo.</w:t>
      </w:r>
    </w:p>
    <w:p w14:paraId="385F165C" w14:textId="77777777" w:rsidR="00CA59A2" w:rsidRPr="00AB4D84"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AB4D84">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B4D84"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AB4D84">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AB4D84" w:rsidRDefault="00CA59A2" w:rsidP="00EB4D2D">
      <w:pPr>
        <w:pStyle w:val="Sinespaciado"/>
        <w:ind w:firstLine="567"/>
        <w:jc w:val="both"/>
        <w:rPr>
          <w:rFonts w:ascii="Arial Narrow" w:hAnsi="Arial Narrow" w:cs="Arial"/>
          <w:sz w:val="17"/>
          <w:szCs w:val="17"/>
        </w:rPr>
      </w:pPr>
      <w:r w:rsidRPr="00AB4D84">
        <w:rPr>
          <w:rFonts w:ascii="Arial Narrow" w:hAnsi="Arial Narrow" w:cs="Arial"/>
          <w:sz w:val="17"/>
          <w:szCs w:val="17"/>
        </w:rPr>
        <w:t>Pagar los gastos incurridos por el consumidor para mitigar las consecuencias de la infracción administrativa.</w:t>
      </w:r>
    </w:p>
    <w:p w14:paraId="130D0A42" w14:textId="77777777" w:rsidR="00CA59A2" w:rsidRPr="00AB4D84" w:rsidRDefault="00CA59A2" w:rsidP="00EB4D2D">
      <w:pPr>
        <w:pStyle w:val="Sinespaciado"/>
        <w:ind w:firstLine="567"/>
        <w:jc w:val="both"/>
        <w:rPr>
          <w:rFonts w:ascii="Arial Narrow" w:hAnsi="Arial Narrow" w:cs="Arial"/>
          <w:sz w:val="17"/>
          <w:szCs w:val="17"/>
        </w:rPr>
      </w:pPr>
      <w:r w:rsidRPr="00AB4D84">
        <w:rPr>
          <w:rFonts w:ascii="Arial Narrow" w:hAnsi="Arial Narrow" w:cs="Arial"/>
          <w:sz w:val="17"/>
          <w:szCs w:val="17"/>
        </w:rPr>
        <w:t>Otras medidas reparadoras análogas de efectos equivalentes a las anteriores.</w:t>
      </w:r>
    </w:p>
    <w:p w14:paraId="764F3361" w14:textId="77777777" w:rsidR="00CA59A2" w:rsidRPr="00AB4D84" w:rsidRDefault="00CA59A2" w:rsidP="00EB4D2D">
      <w:pPr>
        <w:pStyle w:val="Sinespaciado"/>
        <w:ind w:left="567"/>
        <w:jc w:val="both"/>
        <w:rPr>
          <w:rFonts w:ascii="Arial Narrow" w:hAnsi="Arial Narrow" w:cs="Arial"/>
          <w:sz w:val="17"/>
          <w:szCs w:val="17"/>
        </w:rPr>
      </w:pPr>
      <w:r w:rsidRPr="00AB4D84">
        <w:rPr>
          <w:rFonts w:ascii="Arial Narrow" w:hAnsi="Arial Narrow" w:cs="Arial"/>
          <w:sz w:val="17"/>
          <w:szCs w:val="17"/>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B4D84">
        <w:rPr>
          <w:rFonts w:ascii="Arial Narrow" w:hAnsi="Arial Narrow" w:cs="Arial"/>
          <w:sz w:val="17"/>
          <w:szCs w:val="17"/>
        </w:rPr>
        <w:t>conjuntamente con</w:t>
      </w:r>
      <w:proofErr w:type="gramEnd"/>
      <w:r w:rsidRPr="00AB4D84">
        <w:rPr>
          <w:rFonts w:ascii="Arial Narrow" w:hAnsi="Arial Narrow" w:cs="Arial"/>
          <w:sz w:val="17"/>
          <w:szCs w:val="17"/>
        </w:rPr>
        <w:t xml:space="preserve"> otra medida correctiva. Cuando los órganos competentes del Indecopi se pronuncian respecto de una medida correctiva reparadora, aplican el principio de congruencia procesal.</w:t>
      </w:r>
    </w:p>
    <w:p w14:paraId="57731349" w14:textId="77777777" w:rsidR="00CA59A2" w:rsidRPr="00AB4D84" w:rsidRDefault="00CA59A2" w:rsidP="00EB4D2D">
      <w:pPr>
        <w:spacing w:after="0" w:line="240" w:lineRule="auto"/>
        <w:ind w:left="567"/>
        <w:jc w:val="both"/>
        <w:rPr>
          <w:rFonts w:ascii="Arial Narrow" w:hAnsi="Arial Narrow" w:cs="Arial"/>
          <w:sz w:val="17"/>
          <w:szCs w:val="17"/>
        </w:rPr>
      </w:pPr>
      <w:r w:rsidRPr="00AB4D84">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B4D84" w:rsidRDefault="00CA59A2" w:rsidP="00EB4D2D">
      <w:pPr>
        <w:spacing w:after="0" w:line="240" w:lineRule="auto"/>
        <w:ind w:left="567"/>
        <w:jc w:val="both"/>
        <w:rPr>
          <w:rFonts w:ascii="Arial Narrow" w:hAnsi="Arial Narrow" w:cs="Arial"/>
          <w:sz w:val="17"/>
          <w:szCs w:val="17"/>
        </w:rPr>
      </w:pPr>
      <w:r w:rsidRPr="00AB4D84">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B4D84" w:rsidRDefault="00CA59A2" w:rsidP="00EB4D2D">
      <w:pPr>
        <w:spacing w:after="0" w:line="240" w:lineRule="auto"/>
        <w:ind w:left="567"/>
        <w:jc w:val="both"/>
        <w:rPr>
          <w:rFonts w:ascii="Arial Narrow" w:eastAsia="Arial Narrow" w:hAnsi="Arial Narrow" w:cs="Arial"/>
          <w:sz w:val="17"/>
          <w:szCs w:val="17"/>
        </w:rPr>
      </w:pPr>
    </w:p>
    <w:p w14:paraId="579B3C0E" w14:textId="77777777" w:rsidR="00CA59A2" w:rsidRPr="00AB4D84" w:rsidRDefault="00CA59A2" w:rsidP="00EB4D2D">
      <w:pPr>
        <w:spacing w:after="0" w:line="240" w:lineRule="auto"/>
        <w:ind w:left="567"/>
        <w:jc w:val="both"/>
        <w:rPr>
          <w:rFonts w:ascii="Arial Narrow" w:eastAsia="Arial Narrow" w:hAnsi="Arial Narrow" w:cs="Arial"/>
          <w:b/>
          <w:bCs/>
          <w:sz w:val="17"/>
          <w:szCs w:val="17"/>
        </w:rPr>
      </w:pPr>
      <w:r w:rsidRPr="00AB4D84">
        <w:rPr>
          <w:rFonts w:ascii="Arial Narrow" w:eastAsia="Arial Narrow" w:hAnsi="Arial Narrow" w:cs="Arial"/>
          <w:b/>
          <w:bCs/>
          <w:sz w:val="17"/>
          <w:szCs w:val="17"/>
        </w:rPr>
        <w:t>Artículo 116.- Medidas correctivas complementarias</w:t>
      </w:r>
    </w:p>
    <w:p w14:paraId="795BD0E8"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d. En caso de infracciones muy graves y de reincidencia o </w:t>
      </w:r>
      <w:proofErr w:type="spellStart"/>
      <w:r w:rsidRPr="00AB4D84">
        <w:rPr>
          <w:rFonts w:ascii="Arial Narrow" w:eastAsia="Arial Narrow" w:hAnsi="Arial Narrow" w:cs="Arial"/>
          <w:sz w:val="17"/>
          <w:szCs w:val="17"/>
        </w:rPr>
        <w:t>reiterancia</w:t>
      </w:r>
      <w:proofErr w:type="spellEnd"/>
      <w:r w:rsidRPr="00AB4D84">
        <w:rPr>
          <w:rFonts w:ascii="Arial Narrow" w:eastAsia="Arial Narrow" w:hAnsi="Arial Narrow" w:cs="Arial"/>
          <w:sz w:val="17"/>
          <w:szCs w:val="17"/>
        </w:rPr>
        <w:t xml:space="preserve">: </w:t>
      </w:r>
    </w:p>
    <w:p w14:paraId="700F1C70"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w:t>
      </w:r>
      <w:proofErr w:type="spellStart"/>
      <w:r w:rsidRPr="00AB4D84">
        <w:rPr>
          <w:rFonts w:ascii="Arial Narrow" w:eastAsia="Arial Narrow" w:hAnsi="Arial Narrow" w:cs="Arial"/>
          <w:sz w:val="17"/>
          <w:szCs w:val="17"/>
        </w:rPr>
        <w:t>ii</w:t>
      </w:r>
      <w:proofErr w:type="spellEnd"/>
      <w:r w:rsidRPr="00AB4D84">
        <w:rPr>
          <w:rFonts w:ascii="Arial Narrow" w:eastAsia="Arial Narrow" w:hAnsi="Arial Narrow" w:cs="Arial"/>
          <w:sz w:val="17"/>
          <w:szCs w:val="17"/>
        </w:rPr>
        <w:t xml:space="preserve">) Solicitar a la autoridad competente la inhabilitación, temporal o permanente, del proveedor en función de los alcances de la infracción sancionada. </w:t>
      </w:r>
    </w:p>
    <w:p w14:paraId="67A70718"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e. Publicación de avisos </w:t>
      </w:r>
      <w:proofErr w:type="spellStart"/>
      <w:r w:rsidRPr="00AB4D84">
        <w:rPr>
          <w:rFonts w:ascii="Arial Narrow" w:eastAsia="Arial Narrow" w:hAnsi="Arial Narrow" w:cs="Arial"/>
          <w:sz w:val="17"/>
          <w:szCs w:val="17"/>
        </w:rPr>
        <w:t>rectificatorios</w:t>
      </w:r>
      <w:proofErr w:type="spellEnd"/>
      <w:r w:rsidRPr="00AB4D84">
        <w:rPr>
          <w:rFonts w:ascii="Arial Narrow" w:eastAsia="Arial Narrow" w:hAnsi="Arial Narrow" w:cs="Arial"/>
          <w:sz w:val="17"/>
          <w:szCs w:val="17"/>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AB4D84" w:rsidRDefault="00CA59A2" w:rsidP="00EB4D2D">
      <w:pPr>
        <w:spacing w:after="0" w:line="240" w:lineRule="auto"/>
        <w:ind w:left="567"/>
        <w:jc w:val="both"/>
        <w:rPr>
          <w:rFonts w:ascii="Arial Narrow" w:eastAsia="Arial Narrow" w:hAnsi="Arial Narrow" w:cs="Arial"/>
          <w:sz w:val="17"/>
          <w:szCs w:val="17"/>
        </w:rPr>
      </w:pPr>
      <w:r w:rsidRPr="00AB4D84">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AB4D84" w:rsidRDefault="00CA59A2" w:rsidP="00EB4D2D">
      <w:pPr>
        <w:spacing w:after="0" w:line="240" w:lineRule="auto"/>
        <w:ind w:left="567"/>
        <w:jc w:val="both"/>
        <w:rPr>
          <w:rFonts w:ascii="Arial Narrow" w:eastAsia="Arial Narrow" w:hAnsi="Arial Narrow" w:cs="Arial"/>
          <w:sz w:val="17"/>
          <w:szCs w:val="17"/>
        </w:rPr>
      </w:pPr>
    </w:p>
  </w:footnote>
  <w:footnote w:id="9">
    <w:p w14:paraId="1E48C7DB" w14:textId="372C4D5E" w:rsidR="00CA59A2" w:rsidRPr="00AB4D84" w:rsidRDefault="00CA59A2" w:rsidP="00EB4D2D">
      <w:pPr>
        <w:pStyle w:val="Textonotapie"/>
        <w:tabs>
          <w:tab w:val="left" w:pos="567"/>
        </w:tabs>
        <w:ind w:left="567" w:hanging="567"/>
        <w:jc w:val="both"/>
        <w:rPr>
          <w:rFonts w:ascii="Arial Narrow" w:hAnsi="Arial Narrow" w:cs="Arial"/>
          <w:b/>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r>
      <w:r w:rsidRPr="00AB4D84">
        <w:rPr>
          <w:rFonts w:ascii="Arial Narrow" w:eastAsia="Arial Narrow" w:hAnsi="Arial Narrow" w:cs="Arial"/>
          <w:b/>
          <w:sz w:val="17"/>
          <w:szCs w:val="17"/>
        </w:rPr>
        <w:t xml:space="preserve">LEY </w:t>
      </w:r>
      <w:r w:rsidR="003A71B1" w:rsidRPr="00AB4D84">
        <w:rPr>
          <w:rFonts w:ascii="Arial Narrow" w:eastAsia="Arial Narrow" w:hAnsi="Arial Narrow" w:cs="Arial"/>
          <w:b/>
          <w:sz w:val="17"/>
          <w:szCs w:val="17"/>
        </w:rPr>
        <w:t>29571</w:t>
      </w:r>
      <w:r w:rsidRPr="00AB4D84">
        <w:rPr>
          <w:rFonts w:ascii="Arial Narrow" w:eastAsia="Arial Narrow" w:hAnsi="Arial Narrow" w:cs="Arial"/>
          <w:b/>
          <w:sz w:val="17"/>
          <w:szCs w:val="17"/>
        </w:rPr>
        <w:t>, CÓDIGO DE PROTECCIÓN Y DEFENSA DEL CONSUMIDOR</w:t>
      </w:r>
      <w:r w:rsidRPr="00AB4D84">
        <w:rPr>
          <w:rFonts w:ascii="Arial Narrow" w:hAnsi="Arial Narrow" w:cs="Arial"/>
          <w:b/>
          <w:bCs/>
          <w:sz w:val="17"/>
          <w:szCs w:val="17"/>
        </w:rPr>
        <w:t xml:space="preserve">, </w:t>
      </w:r>
      <w:r w:rsidRPr="00AB4D84">
        <w:rPr>
          <w:rFonts w:ascii="Arial Narrow" w:hAnsi="Arial Narrow" w:cs="Arial"/>
          <w:b/>
          <w:sz w:val="17"/>
          <w:szCs w:val="17"/>
        </w:rPr>
        <w:t xml:space="preserve">publicado el 2 de setiembre de 2010 y modificado por Decreto Legislativo 1308</w:t>
      </w:r>
    </w:p>
    <w:p w14:paraId="6927EAA2" w14:textId="77777777" w:rsidR="00CA59A2" w:rsidRPr="00AB4D84" w:rsidRDefault="00CA59A2" w:rsidP="00EB4D2D">
      <w:pPr>
        <w:pStyle w:val="Textonotapie"/>
        <w:tabs>
          <w:tab w:val="left" w:pos="567"/>
        </w:tabs>
        <w:jc w:val="both"/>
        <w:rPr>
          <w:rFonts w:ascii="Arial Narrow" w:eastAsia="Arial Narrow" w:hAnsi="Arial Narrow" w:cs="Arial"/>
          <w:b/>
          <w:sz w:val="17"/>
          <w:szCs w:val="17"/>
        </w:rPr>
      </w:pPr>
      <w:r w:rsidRPr="00AB4D84">
        <w:rPr>
          <w:rFonts w:ascii="Arial Narrow" w:eastAsia="Arial Narrow" w:hAnsi="Arial Narrow" w:cs="Arial"/>
          <w:b/>
          <w:sz w:val="17"/>
          <w:szCs w:val="17"/>
        </w:rPr>
        <w:tab/>
        <w:t>Artículo 112.- Criterios de graduación de las sanciones administrativas</w:t>
      </w:r>
    </w:p>
    <w:p w14:paraId="3B612D08" w14:textId="77777777" w:rsidR="00CA59A2" w:rsidRPr="00AB4D84" w:rsidRDefault="00CA59A2" w:rsidP="00EB4D2D">
      <w:pPr>
        <w:pStyle w:val="Textonotapie"/>
        <w:tabs>
          <w:tab w:val="left" w:pos="567"/>
        </w:tabs>
        <w:jc w:val="both"/>
        <w:rPr>
          <w:rFonts w:ascii="Arial Narrow" w:eastAsia="Arial Narrow" w:hAnsi="Arial Narrow" w:cs="Arial"/>
          <w:sz w:val="17"/>
          <w:szCs w:val="17"/>
        </w:rPr>
      </w:pPr>
      <w:r w:rsidRPr="00AB4D84">
        <w:rPr>
          <w:rFonts w:ascii="Arial Narrow" w:eastAsia="Arial Narrow" w:hAnsi="Arial Narrow" w:cs="Arial"/>
          <w:sz w:val="17"/>
          <w:szCs w:val="17"/>
        </w:rPr>
        <w:tab/>
        <w:t>(…)</w:t>
      </w:r>
    </w:p>
    <w:p w14:paraId="1A096021" w14:textId="77777777" w:rsidR="00CA59A2" w:rsidRPr="00AB4D84" w:rsidRDefault="00CA59A2" w:rsidP="00EB4D2D">
      <w:pPr>
        <w:pStyle w:val="Textonotapie"/>
        <w:tabs>
          <w:tab w:val="left" w:pos="567"/>
        </w:tabs>
        <w:jc w:val="both"/>
        <w:rPr>
          <w:rFonts w:ascii="Arial Narrow" w:eastAsia="Arial Narrow" w:hAnsi="Arial Narrow" w:cs="Arial"/>
          <w:sz w:val="17"/>
          <w:szCs w:val="17"/>
        </w:rPr>
      </w:pPr>
      <w:r w:rsidRPr="00AB4D84">
        <w:rPr>
          <w:rFonts w:ascii="Arial Narrow" w:eastAsia="Arial Narrow" w:hAnsi="Arial Narrow" w:cs="Arial"/>
          <w:sz w:val="17"/>
          <w:szCs w:val="17"/>
        </w:rPr>
        <w:tab/>
        <w:t>Se consideran circunstancias atenuantes especiales, las siguientes:</w:t>
      </w:r>
    </w:p>
    <w:p w14:paraId="74B98BC1" w14:textId="77777777" w:rsidR="00CA59A2" w:rsidRPr="00AB4D84" w:rsidRDefault="00CA59A2" w:rsidP="00EB4D2D">
      <w:pPr>
        <w:pStyle w:val="Textonotapie"/>
        <w:tabs>
          <w:tab w:val="left" w:pos="567"/>
        </w:tabs>
        <w:jc w:val="both"/>
        <w:rPr>
          <w:rFonts w:ascii="Arial Narrow" w:eastAsia="Arial Narrow" w:hAnsi="Arial Narrow" w:cs="Arial"/>
          <w:sz w:val="17"/>
          <w:szCs w:val="17"/>
        </w:rPr>
      </w:pPr>
      <w:r w:rsidRPr="00AB4D84">
        <w:rPr>
          <w:rFonts w:ascii="Arial Narrow" w:eastAsia="Arial Narrow" w:hAnsi="Arial Narrow" w:cs="Arial"/>
          <w:sz w:val="17"/>
          <w:szCs w:val="17"/>
        </w:rPr>
        <w:tab/>
        <w:t>(…)</w:t>
      </w:r>
    </w:p>
    <w:p w14:paraId="0D336D0B" w14:textId="77777777" w:rsidR="00CA59A2" w:rsidRPr="00AB4D84" w:rsidRDefault="00CA59A2" w:rsidP="00EB4D2D">
      <w:pPr>
        <w:pStyle w:val="Textonotapie"/>
        <w:tabs>
          <w:tab w:val="left" w:pos="567"/>
        </w:tabs>
        <w:ind w:left="567"/>
        <w:jc w:val="both"/>
        <w:rPr>
          <w:rFonts w:ascii="Arial Narrow" w:eastAsia="Arial Narrow" w:hAnsi="Arial Narrow" w:cs="Arial"/>
          <w:sz w:val="17"/>
          <w:szCs w:val="17"/>
        </w:rPr>
      </w:pPr>
      <w:r w:rsidRPr="00AB4D84">
        <w:rPr>
          <w:rFonts w:ascii="Arial Narrow" w:eastAsia="Arial Narrow" w:hAnsi="Arial Narrow" w:cs="Arial"/>
          <w:sz w:val="17"/>
          <w:szCs w:val="17"/>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B4D84">
        <w:rPr>
          <w:rFonts w:ascii="Arial Narrow" w:eastAsia="Arial Narrow" w:hAnsi="Arial Narrow" w:cs="Arial"/>
          <w:sz w:val="17"/>
          <w:szCs w:val="17"/>
        </w:rPr>
        <w:t>liminarmente</w:t>
      </w:r>
      <w:proofErr w:type="spellEnd"/>
      <w:r w:rsidRPr="00AB4D84">
        <w:rPr>
          <w:rFonts w:ascii="Arial Narrow" w:eastAsia="Arial Narrow" w:hAnsi="Arial Narrow" w:cs="Arial"/>
          <w:sz w:val="17"/>
          <w:szCs w:val="17"/>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B4D84" w:rsidRDefault="00CA59A2" w:rsidP="00EB4D2D">
      <w:pPr>
        <w:pStyle w:val="Textonotapie"/>
        <w:jc w:val="both"/>
        <w:rPr>
          <w:rFonts w:ascii="Arial Narrow" w:hAnsi="Arial Narrow" w:cs="Arial"/>
          <w:sz w:val="17"/>
          <w:szCs w:val="17"/>
        </w:rPr>
      </w:pPr>
    </w:p>
  </w:footnote>
  <w:footnote w:id="10">
    <w:p w14:paraId="3836DFB3" w14:textId="77777777" w:rsidR="00CA59A2" w:rsidRPr="00AB4D84" w:rsidRDefault="00CA59A2" w:rsidP="00EB4D2D">
      <w:pPr>
        <w:autoSpaceDE w:val="0"/>
        <w:autoSpaceDN w:val="0"/>
        <w:adjustRightInd w:val="0"/>
        <w:spacing w:after="0" w:line="240" w:lineRule="auto"/>
        <w:ind w:left="567" w:hanging="567"/>
        <w:jc w:val="both"/>
        <w:rPr>
          <w:rFonts w:ascii="Arial Narrow" w:hAnsi="Arial Narrow" w:cs="Arial"/>
          <w:b/>
          <w:bCs/>
          <w:sz w:val="17"/>
          <w:szCs w:val="17"/>
        </w:rPr>
      </w:pPr>
      <w:r w:rsidRPr="00AB4D84">
        <w:rPr>
          <w:rStyle w:val="Refdenotaalpie"/>
          <w:rFonts w:ascii="Arial Narrow" w:hAnsi="Arial Narrow" w:cs="Arial"/>
          <w:b/>
          <w:bCs/>
          <w:sz w:val="16"/>
          <w:szCs w:val="17"/>
          <w:vertAlign w:val="superscript"/>
        </w:rPr>
        <w:footnoteRef/>
      </w:r>
      <w:r w:rsidRPr="00AB4D84">
        <w:rPr>
          <w:rFonts w:ascii="Arial Narrow" w:hAnsi="Arial Narrow" w:cs="Arial"/>
          <w:b/>
          <w:bCs/>
          <w:sz w:val="17"/>
          <w:szCs w:val="17"/>
        </w:rPr>
        <w:t xml:space="preserve"> </w:t>
      </w:r>
      <w:r w:rsidRPr="00AB4D84">
        <w:rPr>
          <w:rFonts w:ascii="Arial Narrow" w:hAnsi="Arial Narrow" w:cs="Arial"/>
          <w:b/>
          <w:bCs/>
          <w:sz w:val="17"/>
          <w:szCs w:val="17"/>
        </w:rPr>
        <w:tab/>
        <w:t>DECRETO LEGISLATIVO 807, LEY SOBRE FACULTADES, NORMAS Y ORGANIZACIÓN DEL INDECOPI FACULTADES DE LAS COMISIONES Y OFICINAS DEL INDECOPI</w:t>
      </w:r>
    </w:p>
    <w:p w14:paraId="2C30A4A1" w14:textId="77777777" w:rsidR="00CA59A2" w:rsidRPr="00AB4D84" w:rsidRDefault="00CA59A2" w:rsidP="00EB4D2D">
      <w:pPr>
        <w:pStyle w:val="NormalWeb"/>
        <w:spacing w:after="0" w:line="240" w:lineRule="auto"/>
        <w:ind w:left="567"/>
        <w:jc w:val="both"/>
        <w:rPr>
          <w:rFonts w:ascii="Arial Narrow" w:hAnsi="Arial Narrow" w:cs="Arial"/>
          <w:bCs/>
          <w:sz w:val="17"/>
          <w:szCs w:val="17"/>
        </w:rPr>
      </w:pPr>
      <w:r w:rsidRPr="00AB4D84">
        <w:rPr>
          <w:rFonts w:ascii="Arial Narrow" w:hAnsi="Arial Narrow" w:cs="Arial"/>
          <w:b/>
          <w:sz w:val="17"/>
          <w:szCs w:val="17"/>
        </w:rPr>
        <w:t xml:space="preserve">Artículo 29.- </w:t>
      </w:r>
      <w:r w:rsidRPr="00AB4D84">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B4D84" w:rsidRDefault="00CA59A2" w:rsidP="00EB4D2D">
      <w:pPr>
        <w:pStyle w:val="NormalWeb"/>
        <w:spacing w:after="0" w:line="240" w:lineRule="auto"/>
        <w:ind w:left="567"/>
        <w:jc w:val="both"/>
        <w:rPr>
          <w:rFonts w:ascii="Arial Narrow" w:hAnsi="Arial Narrow" w:cs="Arial"/>
          <w:sz w:val="17"/>
          <w:szCs w:val="17"/>
        </w:rPr>
      </w:pPr>
    </w:p>
  </w:footnote>
  <w:footnote w:id="11">
    <w:p w14:paraId="38ECAFCC" w14:textId="6D48723A" w:rsidR="005B4857" w:rsidRPr="00AB4D84" w:rsidRDefault="005B4857" w:rsidP="00EB4D2D">
      <w:pPr>
        <w:pStyle w:val="Textonotapie"/>
        <w:ind w:left="567" w:hanging="567"/>
        <w:jc w:val="both"/>
        <w:rPr>
          <w:rFonts w:ascii="Arial Narrow" w:hAnsi="Arial Narrow" w:cs="Arial"/>
          <w:sz w:val="17"/>
          <w:szCs w:val="17"/>
        </w:rPr>
      </w:pPr>
      <w:r w:rsidRPr="00AB4D84">
        <w:rPr>
          <w:rStyle w:val="Refdenotaalpie"/>
          <w:rFonts w:ascii="Arial Narrow" w:hAnsi="Arial Narrow" w:cs="Arial"/>
          <w:sz w:val="16"/>
          <w:szCs w:val="17"/>
          <w:vertAlign w:val="superscript"/>
        </w:rPr>
        <w:footnoteRef/>
      </w:r>
      <w:r w:rsidRPr="00AB4D84">
        <w:rPr>
          <w:rFonts w:ascii="Arial Narrow" w:hAnsi="Arial Narrow" w:cs="Arial"/>
          <w:sz w:val="17"/>
          <w:szCs w:val="17"/>
        </w:rPr>
        <w:t xml:space="preserve"> </w:t>
      </w:r>
      <w:r w:rsidRPr="00AB4D84">
        <w:rPr>
          <w:rFonts w:ascii="Arial Narrow" w:hAnsi="Arial Narrow" w:cs="Arial"/>
          <w:sz w:val="17"/>
          <w:szCs w:val="17"/>
        </w:rPr>
        <w:tab/>
      </w:r>
      <w:r w:rsidRPr="00AB4D84">
        <w:rPr>
          <w:rFonts w:ascii="Arial Narrow" w:eastAsia="Arial" w:hAnsi="Arial Narrow" w:cs="Arial"/>
          <w:b/>
          <w:sz w:val="17"/>
          <w:szCs w:val="17"/>
        </w:rPr>
        <w:t>TEXTO ÚNICO ORDENADO DE LA LEY DEL PROCEDIMIENTO ADMINISTRATIVO GENERAL, aprobado mediante DECRETO SUPREMO 006-2026-JUS y publicado el 30 de abril de 2026</w:t>
      </w:r>
    </w:p>
    <w:p w14:paraId="6B20F5A8" w14:textId="77777777" w:rsidR="005B4857" w:rsidRPr="00AB4D84" w:rsidRDefault="005B4857" w:rsidP="00EB4D2D">
      <w:pPr>
        <w:pStyle w:val="Textonotapie"/>
        <w:ind w:left="1134" w:hanging="567"/>
        <w:jc w:val="both"/>
        <w:rPr>
          <w:rFonts w:ascii="Arial Narrow" w:hAnsi="Arial Narrow" w:cs="Arial"/>
          <w:b/>
          <w:bCs/>
          <w:sz w:val="17"/>
          <w:szCs w:val="17"/>
        </w:rPr>
      </w:pPr>
      <w:r w:rsidRPr="00AB4D84">
        <w:rPr>
          <w:rFonts w:ascii="Arial Narrow" w:hAnsi="Arial Narrow" w:cs="Arial"/>
          <w:b/>
          <w:bCs/>
          <w:sz w:val="17"/>
          <w:szCs w:val="17"/>
        </w:rPr>
        <w:t>Artículo 20.- Modalidades de notificación</w:t>
      </w:r>
    </w:p>
    <w:p w14:paraId="6A7D11FC" w14:textId="77777777" w:rsidR="005B4857" w:rsidRPr="00AB4D84" w:rsidRDefault="005B4857" w:rsidP="00EB4D2D">
      <w:pPr>
        <w:pStyle w:val="Textonotapie"/>
        <w:ind w:left="567"/>
        <w:jc w:val="both"/>
        <w:rPr>
          <w:rFonts w:ascii="Arial Narrow" w:hAnsi="Arial Narrow" w:cs="Arial"/>
          <w:sz w:val="17"/>
          <w:szCs w:val="17"/>
          <w:lang w:val="es-ES"/>
        </w:rPr>
      </w:pPr>
      <w:r w:rsidRPr="00AB4D84">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AB4D84" w:rsidRDefault="005B4857" w:rsidP="00EB4D2D">
      <w:pPr>
        <w:pStyle w:val="Textonotapie"/>
        <w:ind w:left="567"/>
        <w:jc w:val="both"/>
        <w:rPr>
          <w:rFonts w:ascii="Arial Narrow" w:hAnsi="Arial Narrow" w:cs="Arial"/>
          <w:sz w:val="17"/>
          <w:szCs w:val="17"/>
          <w:lang w:val="es-ES"/>
        </w:rPr>
      </w:pPr>
      <w:r w:rsidRPr="00AB4D84">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AB4D84" w:rsidRDefault="005B4857" w:rsidP="00EB4D2D">
      <w:pPr>
        <w:pStyle w:val="Textonotapie"/>
        <w:ind w:left="567"/>
        <w:jc w:val="both"/>
        <w:rPr>
          <w:rFonts w:ascii="Arial Narrow" w:hAnsi="Arial Narrow" w:cs="Arial"/>
          <w:sz w:val="17"/>
          <w:szCs w:val="17"/>
          <w:lang w:val="es-ES"/>
        </w:rPr>
      </w:pPr>
      <w:r w:rsidRPr="00AB4D84">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D6A05"/>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3344"/>
    <w:rsid w:val="003246B7"/>
    <w:rsid w:val="003266C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E1609"/>
    <w:rsid w:val="003F416B"/>
    <w:rsid w:val="004251B6"/>
    <w:rsid w:val="00453840"/>
    <w:rsid w:val="004551D0"/>
    <w:rsid w:val="00466DFF"/>
    <w:rsid w:val="0047310F"/>
    <w:rsid w:val="00487837"/>
    <w:rsid w:val="004A45A4"/>
    <w:rsid w:val="004B0B44"/>
    <w:rsid w:val="004B1E5F"/>
    <w:rsid w:val="004B6816"/>
    <w:rsid w:val="004C1015"/>
    <w:rsid w:val="004C2AC8"/>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4947"/>
    <w:rsid w:val="006A6044"/>
    <w:rsid w:val="006B5D9E"/>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6988"/>
    <w:rsid w:val="00924F24"/>
    <w:rsid w:val="00947FE2"/>
    <w:rsid w:val="009510D2"/>
    <w:rsid w:val="009606E6"/>
    <w:rsid w:val="00967D93"/>
    <w:rsid w:val="009805B9"/>
    <w:rsid w:val="00985114"/>
    <w:rsid w:val="00987623"/>
    <w:rsid w:val="00996DC2"/>
    <w:rsid w:val="009B0B00"/>
    <w:rsid w:val="009B2027"/>
    <w:rsid w:val="009C3228"/>
    <w:rsid w:val="009D2900"/>
    <w:rsid w:val="009D4278"/>
    <w:rsid w:val="009D66A2"/>
    <w:rsid w:val="009D7D45"/>
    <w:rsid w:val="009E24AA"/>
    <w:rsid w:val="00A008E2"/>
    <w:rsid w:val="00A034B1"/>
    <w:rsid w:val="00A0361F"/>
    <w:rsid w:val="00A04DB7"/>
    <w:rsid w:val="00A17FC8"/>
    <w:rsid w:val="00A23703"/>
    <w:rsid w:val="00A37879"/>
    <w:rsid w:val="00A50683"/>
    <w:rsid w:val="00A54BBE"/>
    <w:rsid w:val="00A66205"/>
    <w:rsid w:val="00A66BF2"/>
    <w:rsid w:val="00A66DE0"/>
    <w:rsid w:val="00A675FC"/>
    <w:rsid w:val="00A7053E"/>
    <w:rsid w:val="00A75CE6"/>
    <w:rsid w:val="00A760AA"/>
    <w:rsid w:val="00A84194"/>
    <w:rsid w:val="00A87B9B"/>
    <w:rsid w:val="00A91613"/>
    <w:rsid w:val="00AA1996"/>
    <w:rsid w:val="00AA3309"/>
    <w:rsid w:val="00AA61D3"/>
    <w:rsid w:val="00AB0626"/>
    <w:rsid w:val="00AB4D84"/>
    <w:rsid w:val="00AC5DF4"/>
    <w:rsid w:val="00AC634C"/>
    <w:rsid w:val="00AE2D20"/>
    <w:rsid w:val="00AE45DC"/>
    <w:rsid w:val="00B07D5F"/>
    <w:rsid w:val="00B20DDF"/>
    <w:rsid w:val="00B27062"/>
    <w:rsid w:val="00B3607D"/>
    <w:rsid w:val="00B37A7A"/>
    <w:rsid w:val="00B42367"/>
    <w:rsid w:val="00B45EBC"/>
    <w:rsid w:val="00B64BEA"/>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4714"/>
    <w:rsid w:val="00C03E0B"/>
    <w:rsid w:val="00C04498"/>
    <w:rsid w:val="00C2093C"/>
    <w:rsid w:val="00C20DB0"/>
    <w:rsid w:val="00C30CCD"/>
    <w:rsid w:val="00C42825"/>
    <w:rsid w:val="00C472DA"/>
    <w:rsid w:val="00C55101"/>
    <w:rsid w:val="00C56FC4"/>
    <w:rsid w:val="00C6431E"/>
    <w:rsid w:val="00C72EFF"/>
    <w:rsid w:val="00C77DFA"/>
    <w:rsid w:val="00C803D9"/>
    <w:rsid w:val="00C87C08"/>
    <w:rsid w:val="00C93C33"/>
    <w:rsid w:val="00C95E59"/>
    <w:rsid w:val="00CA59A2"/>
    <w:rsid w:val="00CB098D"/>
    <w:rsid w:val="00CC1933"/>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1E05"/>
    <w:rsid w:val="00E2296F"/>
    <w:rsid w:val="00E500B6"/>
    <w:rsid w:val="00E55AB3"/>
    <w:rsid w:val="00E55D8D"/>
    <w:rsid w:val="00E6140E"/>
    <w:rsid w:val="00E67D34"/>
    <w:rsid w:val="00E83F88"/>
    <w:rsid w:val="00EA78F9"/>
    <w:rsid w:val="00EB4D2D"/>
    <w:rsid w:val="00EC4780"/>
    <w:rsid w:val="00ED4B2D"/>
    <w:rsid w:val="00ED5D86"/>
    <w:rsid w:val="00ED6393"/>
    <w:rsid w:val="00EE3204"/>
    <w:rsid w:val="00EE57A6"/>
    <w:rsid w:val="00EF478C"/>
    <w:rsid w:val="00F01410"/>
    <w:rsid w:val="00F14BCC"/>
    <w:rsid w:val="00F3683E"/>
    <w:rsid w:val="00F37E66"/>
    <w:rsid w:val="00F54F2D"/>
    <w:rsid w:val="00F55528"/>
    <w:rsid w:val="00F709C5"/>
    <w:rsid w:val="00F71384"/>
    <w:rsid w:val="00F754DE"/>
    <w:rsid w:val="00F779CE"/>
    <w:rsid w:val="00F85C52"/>
    <w:rsid w:val="00F954C6"/>
    <w:rsid w:val="00FB44B8"/>
    <w:rsid w:val="00FB6AAD"/>
    <w:rsid w:val="00FD79D7"/>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7</Pages>
  <Words>1783</Words>
  <Characters>9811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151</cp:revision>
  <dcterms:created xsi:type="dcterms:W3CDTF">2024-06-18T08:44:00Z</dcterms:created>
  <dcterms:modified xsi:type="dcterms:W3CDTF">2026-06-08T21:00:00Z</dcterms:modified>
</cp:coreProperties>
</file>