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CF7976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80553" w:rsidRPr="00880553">
        <w:rPr>
          <w:rFonts w:ascii="Arial Narrow" w:eastAsia="Times New Roman" w:hAnsi="Arial Narrow" w:cs="Times New Roman"/>
          <w:b/>
          <w:bCs/>
          <w:color w:val="000000"/>
          <w:kern w:val="0"/>
          <w:shd w:val="clear" w:color="auto" w:fill="FFFFFF"/>
          <w:lang w:eastAsia="es-PE"/>
          <w14:ligatures w14:val="none"/>
        </w:rPr>
        <w:t>2062-2025/CC1</w:t>
      </w:r>
    </w:p>
    <w:p w14:paraId="7E5DC22B" w14:textId="5F112C7D"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80553" w:rsidRPr="00880553">
        <w:rPr>
          <w:rFonts w:ascii="Arial Narrow" w:eastAsia="Arial Narrow" w:hAnsi="Arial Narrow" w:cs="Arial Narrow"/>
          <w:b/>
          <w:color w:val="000000"/>
          <w:kern w:val="0"/>
          <w:lang w:eastAsia="es-PE"/>
          <w14:ligatures w14:val="none"/>
        </w:rPr>
        <w:t xml:space="preserve"/>
      </w:r>
      <w:r w:rsidRPr="00880553">
        <w:rPr>
          <w:rFonts w:ascii="Arial Narrow" w:eastAsia="Arial Narrow" w:hAnsi="Arial Narrow" w:cs="Arial Narrow"/>
          <w:b/>
          <w:color w:val="000000"/>
          <w:kern w:val="0"/>
          <w:lang w:eastAsia="es-PE"/>
          <w14:ligatures w14:val="none"/>
        </w:rPr>
        <w:t xml:space="preserve"/>
      </w:r>
      <w:r w:rsidR="00880553" w:rsidRPr="00880553">
        <w:rPr>
          <w:rFonts w:ascii="Arial Narrow" w:eastAsia="Arial Narrow" w:hAnsi="Arial Narrow" w:cs="Arial Narrow"/>
          <w:b/>
          <w:color w:val="000000"/>
          <w:kern w:val="0"/>
          <w:lang w:eastAsia="es-PE"/>
          <w14:ligatures w14:val="none"/>
        </w:rPr>
        <w:t/>
      </w:r>
      <w:r w:rsidRPr="00880553">
        <w:rPr>
          <w:rFonts w:ascii="Arial Narrow" w:eastAsia="Arial Narrow" w:hAnsi="Arial Narrow" w:cs="Arial Narrow"/>
          <w:b/>
          <w:color w:val="000000"/>
          <w:kern w:val="0"/>
          <w:lang w:eastAsia="es-PE"/>
          <w14:ligatures w14:val="none"/>
        </w:rPr>
        <w:t/>
      </w:r>
    </w:p>
    <w:p w14:paraId="6DEEEDFE" w14:textId="77777777"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DENUNCIADO</w:t>
      </w:r>
      <w:r w:rsidRPr="00880553">
        <w:rPr>
          <w:rFonts w:ascii="Arial Narrow" w:eastAsia="Arial Narrow" w:hAnsi="Arial Narrow" w:cs="Arial Narrow"/>
          <w:b/>
          <w:color w:val="000000"/>
          <w:kern w:val="0"/>
          <w:lang w:eastAsia="es-PE"/>
          <w14:ligatures w14:val="none"/>
        </w:rPr>
        <w:tab/>
        <w:t>:</w:t>
      </w:r>
      <w:r w:rsidRPr="0088055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MATERIAS</w:t>
      </w:r>
      <w:r w:rsidRPr="00880553">
        <w:rPr>
          <w:rFonts w:ascii="Arial Narrow" w:eastAsia="Arial Narrow" w:hAnsi="Arial Narrow" w:cs="Arial Narrow"/>
          <w:b/>
          <w:color w:val="000000"/>
          <w:kern w:val="0"/>
          <w:lang w:eastAsia="es-PE"/>
          <w14:ligatures w14:val="none"/>
        </w:rPr>
        <w:tab/>
        <w:t xml:space="preserve">: </w:t>
      </w:r>
      <w:r w:rsidRPr="00880553">
        <w:rPr>
          <w:rFonts w:ascii="Arial Narrow" w:eastAsia="Arial Narrow" w:hAnsi="Arial Narrow" w:cs="Arial Narrow"/>
          <w:b/>
          <w:color w:val="000000"/>
          <w:kern w:val="0"/>
          <w:lang w:eastAsia="es-PE"/>
          <w14:ligatures w14:val="none"/>
        </w:rPr>
        <w:tab/>
        <w:t>ADMISIÓN A TRÁMITE</w:t>
      </w:r>
    </w:p>
    <w:p w14:paraId="19ED7B73" w14:textId="77777777" w:rsidR="00CA59A2" w:rsidRPr="0088055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0553"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 xml:space="preserve">RESOLUCIÓN </w:t>
      </w:r>
      <w:r w:rsidRPr="00880553">
        <w:rPr>
          <w:rFonts w:ascii="Arial Narrow" w:eastAsia="Arial Narrow" w:hAnsi="Arial Narrow" w:cs="Arial Narrow"/>
          <w:b/>
          <w:color w:val="000000"/>
          <w:kern w:val="0"/>
          <w:lang w:eastAsia="es-PE"/>
          <w14:ligatures w14:val="none"/>
        </w:rPr>
        <w:tab/>
        <w:t>:</w:t>
      </w:r>
      <w:r w:rsidRPr="00880553">
        <w:rPr>
          <w:rFonts w:ascii="Arial Narrow" w:eastAsia="Arial Narrow" w:hAnsi="Arial Narrow" w:cs="Arial Narrow"/>
          <w:b/>
          <w:color w:val="000000"/>
          <w:kern w:val="0"/>
          <w:lang w:eastAsia="es-PE"/>
          <w14:ligatures w14:val="none"/>
        </w:rPr>
        <w:tab/>
        <w:t>2</w:t>
      </w:r>
    </w:p>
    <w:p w14:paraId="5BA3A18D" w14:textId="77777777" w:rsidR="00CA59A2" w:rsidRPr="00880553"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30A31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0553">
        <w:rPr>
          <w:rFonts w:ascii="Arial Narrow" w:eastAsia="Times New Roman" w:hAnsi="Arial Narrow" w:cs="Times New Roman"/>
          <w:color w:val="000000"/>
          <w:kern w:val="0"/>
          <w:shd w:val="clear" w:color="auto" w:fill="FFFFFF"/>
          <w:lang w:eastAsia="es-PE"/>
          <w14:ligatures w14:val="none"/>
        </w:rPr>
        <w:t xml:space="preserve">Lima, </w:t>
      </w:r>
      <w:r w:rsidR="00E1132E">
        <w:rPr>
          <w:rFonts w:ascii="Arial Narrow" w:eastAsia="Times New Roman" w:hAnsi="Arial Narrow" w:cs="Times New Roman"/>
          <w:color w:val="000000"/>
          <w:kern w:val="0"/>
          <w:shd w:val="clear" w:color="auto" w:fill="FFFFFF"/>
          <w:lang w:eastAsia="es-PE"/>
          <w14:ligatures w14:val="none"/>
        </w:rPr>
        <w:t>1</w:t>
      </w:r>
      <w:r w:rsidRPr="00880553">
        <w:rPr>
          <w:rFonts w:ascii="Arial Narrow" w:eastAsia="Times New Roman" w:hAnsi="Arial Narrow" w:cs="Times New Roman"/>
          <w:color w:val="000000"/>
          <w:kern w:val="0"/>
          <w:shd w:val="clear" w:color="auto" w:fill="FFFFFF"/>
          <w:lang w:eastAsia="es-PE"/>
          <w14:ligatures w14:val="none"/>
        </w:rPr>
        <w:t xml:space="preserve"> de </w:t>
      </w:r>
      <w:r w:rsidR="00E1132E">
        <w:rPr>
          <w:rFonts w:ascii="Arial Narrow" w:eastAsia="Times New Roman" w:hAnsi="Arial Narrow" w:cs="Times New Roman"/>
          <w:color w:val="000000"/>
          <w:kern w:val="0"/>
          <w:shd w:val="clear" w:color="auto" w:fill="FFFFFF"/>
          <w:lang w:eastAsia="es-PE"/>
          <w14:ligatures w14:val="none"/>
        </w:rPr>
        <w:t>octubre</w:t>
      </w:r>
      <w:r w:rsidRPr="00880553">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0549F08A" w:rsidR="00CA59A2" w:rsidRPr="009D1C6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46AD4">
        <w:rPr>
          <w:rFonts w:ascii="Arial Narrow" w:eastAsia="Times New Roman" w:hAnsi="Arial Narrow" w:cs="Arial"/>
          <w:color w:val="000000"/>
          <w:kern w:val="0"/>
          <w:lang w:val="es-ES" w:eastAsia="es-ES"/>
          <w14:ligatures w14:val="none"/>
        </w:rPr>
        <w:t xml:space="preserve">Mediante el escrito del 26 de agosto de 2025, la señora [APELLIDO] denunció a Rímac por presuntas infracciones a la Ley 29571, Código de Protección y Defensa del Consumidor (en adelante, Código), señalando lo siguiente:</w:t>
      </w:r>
      <w:r w:rsidR="00146AD4" w:rsidRPr="00146AD4">
        <w:rPr>
          <w:rFonts w:ascii="Arial Narrow" w:eastAsia="Times New Roman" w:hAnsi="Arial Narrow" w:cs="Arial"/>
          <w:color w:val="000000"/>
          <w:kern w:val="0"/>
          <w:lang w:val="es-ES" w:eastAsia="es-ES"/>
          <w14:ligatures w14:val="none"/>
        </w:rPr>
        <w:t/>
      </w:r>
      <w:r w:rsidR="00996DC2" w:rsidRPr="00146AD4">
        <w:rPr>
          <w:rFonts w:ascii="Arial Narrow" w:eastAsia="Calibri" w:hAnsi="Arial Narrow" w:cs="Arial"/>
          <w:kern w:val="0"/>
          <w14:ligatures w14:val="none"/>
        </w:rPr>
        <w:t/>
      </w:r>
      <w:r w:rsidRPr="00146AD4">
        <w:rPr>
          <w:rFonts w:ascii="Arial Narrow" w:eastAsia="Calibri" w:hAnsi="Arial Narrow" w:cs="Arial"/>
          <w:kern w:val="0"/>
          <w14:ligatures w14:val="none"/>
        </w:rPr>
        <w:t xml:space="preserve"/>
      </w:r>
      <w:r w:rsidR="00146AD4" w:rsidRPr="00146AD4">
        <w:rPr>
          <w:rFonts w:ascii="Arial Narrow" w:eastAsia="Calibri" w:hAnsi="Arial Narrow" w:cs="Arial"/>
          <w:kern w:val="0"/>
          <w14:ligatures w14:val="none"/>
        </w:rPr>
        <w:t xml:space="preserve"/>
      </w:r>
      <w:r w:rsidRPr="00146AD4">
        <w:rPr>
          <w:rFonts w:ascii="Arial Narrow" w:eastAsia="Calibri" w:hAnsi="Arial Narrow" w:cs="Arial"/>
          <w:kern w:val="0"/>
          <w14:ligatures w14:val="none"/>
        </w:rPr>
        <w:t/>
      </w:r>
      <w:r w:rsidRPr="00146AD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9D1C6E">
        <w:rPr>
          <w:rFonts w:ascii="Arial Narrow" w:eastAsia="Times New Roman" w:hAnsi="Arial Narrow" w:cs="Arial"/>
          <w:color w:val="000000"/>
          <w:kern w:val="0"/>
          <w:lang w:val="es-ES" w:eastAsia="es-ES"/>
          <w14:ligatures w14:val="none"/>
        </w:rPr>
        <w:t/>
      </w:r>
      <w:r w:rsidRPr="009D1C6E">
        <w:rPr>
          <w:rStyle w:val="Refdenotaalpie"/>
          <w:rFonts w:ascii="Arial Narrow" w:eastAsia="Times New Roman" w:hAnsi="Arial Narrow" w:cs="Times New Roman"/>
          <w:color w:val="000000"/>
          <w:kern w:val="0"/>
          <w:vertAlign w:val="superscript"/>
          <w:lang w:val="es-ES" w:eastAsia="es-ES"/>
          <w14:ligatures w14:val="none"/>
        </w:rPr>
        <w:footnoteReference w:id="1"/>
      </w:r>
      <w:r w:rsidRPr="009D1C6E">
        <w:rPr>
          <w:rFonts w:ascii="Arial Narrow" w:eastAsia="Times New Roman" w:hAnsi="Arial Narrow" w:cs="Arial"/>
          <w:color w:val="000000"/>
          <w:kern w:val="0"/>
          <w:lang w:val="es-ES" w:eastAsia="es-ES"/>
          <w14:ligatures w14:val="none"/>
        </w:rPr>
        <w:t xml:space="preserve"/>
      </w:r>
      <w:r w:rsidRPr="009D1C6E">
        <w:rPr>
          <w:rFonts w:ascii="Arial Narrow" w:eastAsia="Times New Roman" w:hAnsi="Arial Narrow" w:cs="Arial"/>
          <w:bCs/>
          <w:color w:val="000000"/>
          <w:kern w:val="0"/>
          <w:lang w:val="es-ES" w:eastAsia="es-ES"/>
          <w14:ligatures w14:val="none"/>
        </w:rPr>
        <w:t/>
      </w:r>
    </w:p>
    <w:p w14:paraId="3AD3B7C6" w14:textId="77777777" w:rsidR="00CA59A2" w:rsidRPr="009D1C6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FE3AEA" w14:textId="31007FF9"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El 20 de junio de 2025, a las 06:40</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sufrió un accidente vehicular al momento de retirar su vehículo con Placa de Rodaje CSR-265 de la cochera de su domicilio.</w:t>
      </w:r>
      <w:r w:rsidR="00541E94" w:rsidRPr="009D1C6E">
        <w:rPr>
          <w:rFonts w:ascii="Arial Narrow" w:eastAsia="Times New Roman" w:hAnsi="Arial Narrow" w:cs="Arial"/>
          <w:color w:val="000000"/>
          <w:kern w:val="0"/>
          <w:lang w:eastAsia="es-ES"/>
          <w14:ligatures w14:val="none"/>
        </w:rPr>
        <w:t xml:space="preserve"> Debido a su jornada laboral, tomó fotografías del siniestro y postergó el aviso hasta culminar su turno</w:t>
      </w:r>
      <w:r w:rsidR="006116D7">
        <w:rPr>
          <w:rFonts w:ascii="Arial Narrow" w:eastAsia="Times New Roman" w:hAnsi="Arial Narrow" w:cs="Arial"/>
          <w:color w:val="000000"/>
          <w:kern w:val="0"/>
          <w:lang w:eastAsia="es-ES"/>
          <w14:ligatures w14:val="none"/>
        </w:rPr>
        <w:t xml:space="preserve"> </w:t>
      </w:r>
      <w:r w:rsidR="00BC52DE">
        <w:rPr>
          <w:rFonts w:ascii="Arial Narrow" w:eastAsia="Times New Roman" w:hAnsi="Arial Narrow" w:cs="Arial"/>
          <w:color w:val="000000"/>
          <w:kern w:val="0"/>
          <w:lang w:eastAsia="es-ES"/>
          <w14:ligatures w14:val="none"/>
        </w:rPr>
        <w:t>de trabajo</w:t>
      </w:r>
      <w:r w:rsidR="00541E94" w:rsidRPr="009D1C6E">
        <w:rPr>
          <w:rFonts w:ascii="Arial Narrow" w:eastAsia="Times New Roman" w:hAnsi="Arial Narrow" w:cs="Arial"/>
          <w:color w:val="000000"/>
          <w:kern w:val="0"/>
          <w:lang w:eastAsia="es-ES"/>
          <w14:ligatures w14:val="none"/>
        </w:rPr>
        <w:t>.</w:t>
      </w:r>
    </w:p>
    <w:p w14:paraId="6726F80D"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6EAC7" w14:textId="550E3746"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Ese mismo día, a las 10:38</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xml:space="preserve">, recibió por primera vez la Póliza 2101 – 1528717 del </w:t>
      </w:r>
      <w:r w:rsidR="00541E94" w:rsidRPr="009D1C6E">
        <w:rPr>
          <w:rFonts w:ascii="Arial Narrow" w:eastAsia="Times New Roman" w:hAnsi="Arial Narrow" w:cs="Arial"/>
          <w:color w:val="000000"/>
          <w:kern w:val="0"/>
          <w:lang w:eastAsia="es-ES"/>
          <w14:ligatures w14:val="none"/>
        </w:rPr>
        <w:t>Seguro Vehicular adquirida para su vehículo</w:t>
      </w:r>
      <w:r w:rsidR="009437E9" w:rsidRPr="009D1C6E">
        <w:rPr>
          <w:rFonts w:ascii="Arial Narrow" w:eastAsia="Times New Roman" w:hAnsi="Arial Narrow" w:cs="Arial"/>
          <w:color w:val="000000"/>
          <w:kern w:val="0"/>
          <w:lang w:eastAsia="es-ES"/>
          <w14:ligatures w14:val="none"/>
        </w:rPr>
        <w:t xml:space="preserve"> y emitida por </w:t>
      </w:r>
      <w:r w:rsidRPr="009D1C6E">
        <w:rPr>
          <w:rFonts w:ascii="Arial Narrow" w:eastAsia="Times New Roman" w:hAnsi="Arial Narrow" w:cs="Arial"/>
          <w:color w:val="000000"/>
          <w:kern w:val="0"/>
          <w:lang w:eastAsia="es-ES"/>
          <w14:ligatures w14:val="none"/>
        </w:rPr>
        <w:t>Rímac.</w:t>
      </w:r>
    </w:p>
    <w:p w14:paraId="6D69CF3F"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40A6DD" w14:textId="3B16874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A las 15:15</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se comunicó con Rímac para reportar el siniestro. El asesor telefónico le indicó únicamente que tomara fotografías del daño y las remitiera al finalizar su jornada laboral, sin informarle sobre la obligación de comunicar el siniestro dentro de un plazo de cuatro (4) horas ni sobre la necesidad de someterse a un dosaje etílico.</w:t>
      </w:r>
    </w:p>
    <w:p w14:paraId="3E4E333E"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10ABE3" w14:textId="02CD78E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A las 19:30</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xml:space="preserve">, cumplió con la solicitud de </w:t>
      </w:r>
      <w:r w:rsidR="009437E9" w:rsidRPr="009D1C6E">
        <w:rPr>
          <w:rFonts w:ascii="Arial Narrow" w:eastAsia="Times New Roman" w:hAnsi="Arial Narrow" w:cs="Arial"/>
          <w:color w:val="000000"/>
          <w:kern w:val="0"/>
          <w:lang w:eastAsia="es-ES"/>
          <w14:ligatures w14:val="none"/>
        </w:rPr>
        <w:t>Rímac</w:t>
      </w:r>
      <w:r w:rsidRPr="009D1C6E">
        <w:rPr>
          <w:rFonts w:ascii="Arial Narrow" w:eastAsia="Times New Roman" w:hAnsi="Arial Narrow" w:cs="Arial"/>
          <w:color w:val="000000"/>
          <w:kern w:val="0"/>
          <w:lang w:eastAsia="es-ES"/>
          <w14:ligatures w14:val="none"/>
        </w:rPr>
        <w:t>, remitiendo las fotografías. Posteriormente, mediante llamada telefónica, se le indicó que el siniestro correspondía a “dos eventos distintos”, pese a que se trataba de un solo accidente, lo cual fue corroborado por el testimonio del vigilante del edificio.</w:t>
      </w:r>
      <w:r w:rsidR="009437E9" w:rsidRPr="009D1C6E">
        <w:rPr>
          <w:rFonts w:ascii="Arial Narrow" w:eastAsia="Times New Roman" w:hAnsi="Arial Narrow" w:cs="Arial"/>
          <w:color w:val="000000"/>
          <w:kern w:val="0"/>
          <w:lang w:eastAsia="es-ES"/>
          <w14:ligatures w14:val="none"/>
        </w:rPr>
        <w:t xml:space="preserve"> </w:t>
      </w:r>
    </w:p>
    <w:p w14:paraId="6F9EFF8D"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BEA721" w14:textId="7F6699A5"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 xml:space="preserve">El 23 de junio de 2025, </w:t>
      </w:r>
      <w:r w:rsidR="009D1C6E">
        <w:rPr>
          <w:rFonts w:ascii="Arial Narrow" w:eastAsia="Times New Roman" w:hAnsi="Arial Narrow" w:cs="Arial"/>
          <w:color w:val="000000"/>
          <w:kern w:val="0"/>
          <w:lang w:eastAsia="es-ES"/>
          <w14:ligatures w14:val="none"/>
        </w:rPr>
        <w:t>Rímac le remitió</w:t>
      </w:r>
      <w:r w:rsidRPr="009D1C6E">
        <w:rPr>
          <w:rFonts w:ascii="Arial Narrow" w:eastAsia="Times New Roman" w:hAnsi="Arial Narrow" w:cs="Arial"/>
          <w:color w:val="000000"/>
          <w:kern w:val="0"/>
          <w:lang w:eastAsia="es-ES"/>
          <w14:ligatures w14:val="none"/>
        </w:rPr>
        <w:t xml:space="preserve"> una carta de rechazo de cobertura </w:t>
      </w:r>
      <w:r w:rsidR="00C06218" w:rsidRPr="009D1C6E">
        <w:rPr>
          <w:rFonts w:ascii="Arial Narrow" w:eastAsia="Times New Roman" w:hAnsi="Arial Narrow" w:cs="Arial"/>
          <w:color w:val="000000"/>
          <w:kern w:val="0"/>
          <w:lang w:eastAsia="es-ES"/>
          <w14:ligatures w14:val="none"/>
        </w:rPr>
        <w:t>debido a que</w:t>
      </w:r>
      <w:r w:rsidRPr="009D1C6E">
        <w:rPr>
          <w:rFonts w:ascii="Arial Narrow" w:eastAsia="Times New Roman" w:hAnsi="Arial Narrow" w:cs="Arial"/>
          <w:color w:val="000000"/>
          <w:kern w:val="0"/>
          <w:lang w:eastAsia="es-ES"/>
          <w14:ligatures w14:val="none"/>
        </w:rPr>
        <w:t xml:space="preserve"> </w:t>
      </w:r>
      <w:r w:rsidR="00C06218" w:rsidRPr="009D1C6E">
        <w:rPr>
          <w:rFonts w:ascii="Arial Narrow" w:eastAsia="Times New Roman" w:hAnsi="Arial Narrow" w:cs="Arial"/>
          <w:color w:val="000000"/>
          <w:kern w:val="0"/>
          <w:lang w:eastAsia="es-ES"/>
          <w14:ligatures w14:val="none"/>
        </w:rPr>
        <w:t>no habría</w:t>
      </w:r>
      <w:r w:rsidRPr="009D1C6E">
        <w:rPr>
          <w:rFonts w:ascii="Arial Narrow" w:eastAsia="Times New Roman" w:hAnsi="Arial Narrow" w:cs="Arial"/>
          <w:color w:val="000000"/>
          <w:kern w:val="0"/>
          <w:lang w:eastAsia="es-ES"/>
          <w14:ligatures w14:val="none"/>
        </w:rPr>
        <w:t xml:space="preserve"> reportado el siniestro dentro del plazo y de no haberse sometido a un dosaje etílico.</w:t>
      </w:r>
    </w:p>
    <w:p w14:paraId="4A1E6DD6"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688436" w14:textId="5E0D18BF"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El 3 de julio de 2025, presentó una reconsideración a Rímac, acompañando pruebas adicionales (partes de asistencia laboral, fotos y videos del siniestro</w:t>
      </w:r>
      <w:r w:rsidR="00C06218" w:rsidRPr="009D1C6E">
        <w:rPr>
          <w:rFonts w:ascii="Arial Narrow" w:eastAsia="Times New Roman" w:hAnsi="Arial Narrow" w:cs="Arial"/>
          <w:color w:val="000000"/>
          <w:kern w:val="0"/>
          <w:lang w:eastAsia="es-ES"/>
          <w14:ligatures w14:val="none"/>
        </w:rPr>
        <w:t xml:space="preserve"> y </w:t>
      </w:r>
      <w:r w:rsidRPr="009D1C6E">
        <w:rPr>
          <w:rFonts w:ascii="Arial Narrow" w:eastAsia="Times New Roman" w:hAnsi="Arial Narrow" w:cs="Arial"/>
          <w:color w:val="000000"/>
          <w:kern w:val="0"/>
          <w:lang w:eastAsia="es-ES"/>
          <w14:ligatures w14:val="none"/>
        </w:rPr>
        <w:t>registro de llamadas). El 11 de julio, Rímac rechazó nuevamente su solicitud sin valorar adecuadamente los medios probatorios presentados.</w:t>
      </w:r>
    </w:p>
    <w:p w14:paraId="20A4BA73"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4ABFD82B" w:rsidR="00CA59A2" w:rsidRPr="009D1C6E" w:rsidRDefault="002C1A8C" w:rsidP="002C1A8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En comunicaciones posteriores a través de WhatsApp, Rímac le informó que para futuros siniestros debería reportar dentro de un plazo de cuatro (4) horas y someterse a un dosaje etílico, lo que confirmaba que tales condiciones no fueron informadas previamente ni de manera oportuna.</w:t>
      </w:r>
    </w:p>
    <w:p w14:paraId="0AF0729E" w14:textId="77777777" w:rsidR="002C1A8C" w:rsidRPr="002C1A8C" w:rsidRDefault="002C1A8C" w:rsidP="002C1A8C">
      <w:pPr>
        <w:spacing w:after="0" w:line="240" w:lineRule="auto"/>
        <w:jc w:val="both"/>
        <w:rPr>
          <w:rFonts w:ascii="Arial Narrow" w:eastAsia="Times New Roman" w:hAnsi="Arial Narrow" w:cs="Arial"/>
          <w:color w:val="000000"/>
          <w:kern w:val="0"/>
          <w:lang w:eastAsia="es-ES"/>
          <w14:ligatures w14:val="none"/>
        </w:rPr>
      </w:pPr>
    </w:p>
    <w:p w14:paraId="65C58807" w14:textId="37B3D462" w:rsidR="00CA59A2" w:rsidRPr="00B976BD"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7328">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Rímac cumpla con otorgar la cobertura total de la Póliza 2101 – 1528717 del Seguro Vehicular por el siniestro del 20 de junio de 2025. Asimismo, requirió el reembolso de costos y costas del presente procedimiento.</w:t>
      </w:r>
      <w:r w:rsidR="00146AD4" w:rsidRPr="00FA3356">
        <w:rPr>
          <w:rFonts w:ascii="Arial Narrow" w:eastAsia="Calibri" w:hAnsi="Arial Narrow" w:cs="Arial"/>
          <w:kern w:val="0"/>
          <w14:ligatures w14:val="none"/>
        </w:rPr>
        <w:t xml:space="preserve"/>
      </w:r>
      <w:r w:rsidRPr="00FA3356">
        <w:rPr>
          <w:rFonts w:ascii="Arial Narrow" w:eastAsia="Times New Roman" w:hAnsi="Arial Narrow" w:cs="Arial"/>
          <w:color w:val="000000"/>
          <w:kern w:val="0"/>
          <w:lang w:val="es-ES" w:eastAsia="es-ES"/>
          <w14:ligatures w14:val="none"/>
        </w:rPr>
        <w:t xml:space="preserve"/>
      </w:r>
      <w:r w:rsidR="00FA3356" w:rsidRPr="00FA3356">
        <w:rPr>
          <w:rFonts w:ascii="Arial Narrow" w:eastAsia="Times New Roman" w:hAnsi="Arial Narrow" w:cs="Arial"/>
          <w:color w:val="000000"/>
          <w:kern w:val="0"/>
          <w:lang w:val="es-ES" w:eastAsia="es-ES"/>
          <w14:ligatures w14:val="none"/>
        </w:rPr>
        <w:t xml:space="preserve"/>
      </w:r>
      <w:r w:rsidRPr="00FA3356">
        <w:rPr>
          <w:rFonts w:ascii="Arial Narrow" w:eastAsia="Times New Roman" w:hAnsi="Arial Narrow" w:cs="Arial"/>
          <w:color w:val="000000"/>
          <w:kern w:val="0"/>
          <w:lang w:val="es-ES" w:eastAsia="es-ES"/>
          <w14:ligatures w14:val="none"/>
        </w:rPr>
        <w:t xml:space="preserve"/>
      </w:r>
      <w:r w:rsidR="00FA3356" w:rsidRPr="00FA3356">
        <w:rPr>
          <w:rFonts w:ascii="Arial Narrow" w:eastAsia="Times New Roman" w:hAnsi="Arial Narrow" w:cs="Arial"/>
          <w:color w:val="000000"/>
          <w:kern w:val="0"/>
          <w:lang w:val="es-ES" w:eastAsia="es-ES"/>
          <w14:ligatures w14:val="none"/>
        </w:rPr>
        <w:t xml:space="preserve"/>
      </w:r>
      <w:r w:rsidR="004F788A">
        <w:rPr>
          <w:rFonts w:ascii="Arial Narrow" w:eastAsia="Times New Roman" w:hAnsi="Arial Narrow" w:cs="Arial"/>
          <w:color w:val="000000"/>
          <w:kern w:val="0"/>
          <w:lang w:val="es-ES" w:eastAsia="es-ES"/>
          <w14:ligatures w14:val="none"/>
        </w:rPr>
        <w:t xml:space="preserve"/>
      </w:r>
      <w:r w:rsidR="004F788A" w:rsidRPr="009D1C6E">
        <w:rPr>
          <w:rFonts w:ascii="Arial Narrow" w:eastAsia="Times New Roman" w:hAnsi="Arial Narrow" w:cs="Arial"/>
          <w:color w:val="000000"/>
          <w:kern w:val="0"/>
          <w:lang w:eastAsia="es-ES"/>
          <w14:ligatures w14:val="none"/>
        </w:rPr>
        <w:t/>
      </w:r>
      <w:r w:rsidR="004F788A">
        <w:rPr>
          <w:rFonts w:ascii="Arial Narrow" w:eastAsia="Times New Roman" w:hAnsi="Arial Narrow" w:cs="Arial"/>
          <w:color w:val="000000"/>
          <w:kern w:val="0"/>
          <w:lang w:eastAsia="es-ES"/>
          <w14:ligatures w14:val="none"/>
        </w:rPr>
        <w:t xml:space="preserve"/>
      </w:r>
      <w:r w:rsidR="00FA3356" w:rsidRPr="00FA3356">
        <w:rPr>
          <w:rFonts w:ascii="Arial Narrow" w:eastAsia="Times New Roman" w:hAnsi="Arial Narrow" w:cs="Arial"/>
          <w:color w:val="000000"/>
          <w:kern w:val="0"/>
          <w:lang w:val="es-ES" w:eastAsia="es-ES"/>
          <w14:ligatures w14:val="none"/>
        </w:rPr>
        <w:t xml:space="preserve"/>
      </w:r>
      <w:r w:rsidR="004F788A">
        <w:rPr>
          <w:rFonts w:ascii="Arial Narrow" w:eastAsia="Times New Roman" w:hAnsi="Arial Narrow" w:cs="Arial"/>
          <w:color w:val="000000"/>
          <w:kern w:val="0"/>
          <w:lang w:val="es-ES" w:eastAsia="es-ES"/>
          <w14:ligatures w14:val="none"/>
        </w:rPr>
        <w:t/>
      </w:r>
      <w:r w:rsidR="00FA3356" w:rsidRPr="00FA3356">
        <w:rPr>
          <w:rFonts w:ascii="Arial Narrow" w:eastAsia="Times New Roman" w:hAnsi="Arial Narrow" w:cs="Arial"/>
          <w:color w:val="000000"/>
          <w:kern w:val="0"/>
          <w:lang w:val="es-ES" w:eastAsia="es-ES"/>
          <w14:ligatures w14:val="none"/>
        </w:rPr>
        <w:t/>
      </w:r>
      <w:r w:rsidRPr="00FA3356">
        <w:rPr>
          <w:rFonts w:ascii="Arial Narrow" w:eastAsia="Times New Roman" w:hAnsi="Arial Narrow" w:cs="Arial"/>
          <w:color w:val="000000"/>
          <w:kern w:val="0"/>
          <w:lang w:val="es-ES" w:eastAsia="es-ES"/>
          <w14:ligatures w14:val="none"/>
        </w:rPr>
        <w:t xml:space="preserve"/>
      </w:r>
      <w:r w:rsidRPr="00B976BD">
        <w:rPr>
          <w:rFonts w:ascii="Arial Narrow" w:eastAsia="Times New Roman" w:hAnsi="Arial Narrow" w:cs="Arial"/>
          <w:color w:val="000000"/>
          <w:kern w:val="0"/>
          <w:lang w:val="es-ES" w:eastAsia="es-ES"/>
          <w14:ligatures w14:val="none"/>
        </w:rPr>
        <w:t/>
      </w:r>
    </w:p>
    <w:p w14:paraId="66005174" w14:textId="77777777" w:rsidR="00CA59A2" w:rsidRPr="00B976BD"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76B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76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76B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AA4AF94" w:rsidR="00121544" w:rsidRPr="00293AAB"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76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B976BD">
        <w:rPr>
          <w:rStyle w:val="Refdenotaalpie"/>
          <w:rFonts w:ascii="Arial Narrow" w:eastAsia="Arial Narrow" w:hAnsi="Arial Narrow" w:cs="Arial Narrow"/>
          <w:kern w:val="0"/>
          <w:vertAlign w:val="superscript"/>
          <w14:ligatures w14:val="none"/>
        </w:rPr>
        <w:footnoteReference w:id="2"/>
      </w:r>
      <w:r w:rsidRPr="00B976BD">
        <w:rPr>
          <w:rFonts w:ascii="Arial Narrow" w:eastAsia="Times New Roman" w:hAnsi="Arial Narrow" w:cs="Segoe UI"/>
          <w:color w:val="000000"/>
          <w:kern w:val="0"/>
          <w:lang w:eastAsia="es-PE"/>
          <w14:ligatures w14:val="none"/>
        </w:rPr>
        <w:t xml:space="preserve">, </w:t>
      </w:r>
      <w:r w:rsidR="00121544" w:rsidRPr="00B976BD">
        <w:rPr>
          <w:rFonts w:ascii="Arial Narrow" w:eastAsia="Times New Roman" w:hAnsi="Arial Narrow" w:cs="Segoe UI"/>
          <w:color w:val="000000"/>
          <w:kern w:val="0"/>
          <w:lang w:eastAsia="es-PE"/>
          <w14:ligatures w14:val="none"/>
        </w:rPr>
        <w:t xml:space="preserve">considera </w:t>
      </w:r>
      <w:r w:rsidR="00121544" w:rsidRPr="00B976BD">
        <w:rPr>
          <w:rFonts w:ascii="Arial Narrow" w:eastAsia="Arial Narrow" w:hAnsi="Arial Narrow" w:cs="Arial Narrow"/>
          <w:kern w:val="0"/>
          <w14:ligatures w14:val="none"/>
        </w:rPr>
        <w:t xml:space="preserve">que el hecho denunciado, consistente en que </w:t>
      </w:r>
      <w:r w:rsidR="00F363A5" w:rsidRPr="00F363A5">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 la Póliza 2101–1528717 del Seguro Vehicular, en virtud del siniestro ocurrido el 20 de junio de 2025</w:t>
      </w:r>
      <w:r w:rsidR="00711750" w:rsidRPr="00B976B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293AAB">
        <w:rPr>
          <w:rFonts w:ascii="Arial Narrow" w:eastAsia="Arial Narrow" w:hAnsi="Arial Narrow" w:cs="Arial Narrow"/>
          <w:kern w:val="0"/>
          <w14:ligatures w14:val="none"/>
        </w:rPr>
        <w:t>denuncia como una presunta infracción al deber de idoneidad, tipificado en los artículos 18</w:t>
      </w:r>
      <w:r w:rsidR="00711750" w:rsidRPr="00293AAB">
        <w:rPr>
          <w:rFonts w:ascii="Arial Narrow" w:eastAsia="Times New Roman" w:hAnsi="Arial Narrow" w:cs="Segoe UI"/>
          <w:color w:val="000000"/>
          <w:kern w:val="0"/>
          <w:lang w:eastAsia="es-PE"/>
          <w14:ligatures w14:val="none"/>
        </w:rPr>
        <w:t/>
      </w:r>
      <w:r w:rsidR="00711750" w:rsidRPr="00293AAB">
        <w:rPr>
          <w:rFonts w:ascii="Arial Narrow" w:eastAsia="Arial Narrow" w:hAnsi="Arial Narrow" w:cs="Arial Narrow"/>
          <w:kern w:val="0"/>
          <w14:ligatures w14:val="none"/>
        </w:rPr>
        <w:t xml:space="preserve"> y 19</w:t>
      </w:r>
      <w:r w:rsidR="00711750" w:rsidRPr="00293AAB">
        <w:rPr>
          <w:rFonts w:ascii="Arial Narrow" w:eastAsia="Times New Roman" w:hAnsi="Arial Narrow" w:cs="Segoe UI"/>
          <w:color w:val="000000"/>
          <w:kern w:val="0"/>
          <w:lang w:eastAsia="es-PE"/>
          <w14:ligatures w14:val="none"/>
        </w:rPr>
        <w:t/>
      </w:r>
      <w:r w:rsidR="00711750" w:rsidRPr="00293AAB">
        <w:rPr>
          <w:rFonts w:ascii="Arial Narrow" w:eastAsia="Arial Narrow" w:hAnsi="Arial Narrow" w:cs="Arial Narrow"/>
          <w:kern w:val="0"/>
          <w14:ligatures w14:val="none"/>
        </w:rPr>
        <w:t xml:space="preserve"> del Código</w:t>
      </w:r>
      <w:r w:rsidR="00711750" w:rsidRPr="00293AAB">
        <w:rPr>
          <w:rStyle w:val="Refdenotaalpie"/>
          <w:rFonts w:ascii="Arial Narrow" w:eastAsia="Arial Narrow" w:hAnsi="Arial Narrow" w:cs="Arial"/>
          <w:kern w:val="0"/>
          <w:vertAlign w:val="superscript"/>
          <w14:ligatures w14:val="none"/>
        </w:rPr>
        <w:footnoteReference w:id="3"/>
      </w:r>
      <w:r w:rsidR="00711750" w:rsidRPr="00293AAB">
        <w:rPr>
          <w:rFonts w:ascii="Arial Narrow" w:eastAsia="Arial Narrow" w:hAnsi="Arial Narrow" w:cs="Arial Narrow"/>
          <w:kern w:val="0"/>
          <w14:ligatures w14:val="none"/>
        </w:rPr>
        <w:t>.</w:t>
      </w:r>
    </w:p>
    <w:p w14:paraId="116891C0" w14:textId="77777777" w:rsidR="00121544" w:rsidRPr="00293AAB"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73FFFBDF" w:rsidR="00121544" w:rsidRPr="00293AA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93AAB">
        <w:rPr>
          <w:rFonts w:ascii="Arial Narrow" w:eastAsia="Arial Narrow" w:hAnsi="Arial Narrow" w:cs="Arial Narrow"/>
          <w:kern w:val="0"/>
          <w14:ligatures w14:val="none"/>
        </w:rPr>
        <w:t xml:space="preserve">Así también, la Secretaría Técnica, en ejercicio de sus facultades, </w:t>
      </w:r>
      <w:r w:rsidRPr="00293AAB">
        <w:rPr>
          <w:rFonts w:ascii="Arial Narrow" w:eastAsia="Times New Roman" w:hAnsi="Arial Narrow" w:cs="Segoe UI"/>
          <w:color w:val="000000"/>
          <w:kern w:val="0"/>
          <w:lang w:eastAsia="es-PE"/>
          <w14:ligatures w14:val="none"/>
        </w:rPr>
        <w:t xml:space="preserve">considera </w:t>
      </w:r>
      <w:r w:rsidRPr="00293AAB">
        <w:rPr>
          <w:rFonts w:ascii="Arial Narrow" w:eastAsia="Arial Narrow" w:hAnsi="Arial Narrow" w:cs="Arial Narrow"/>
          <w:kern w:val="0"/>
          <w14:ligatures w14:val="none"/>
        </w:rPr>
        <w:t xml:space="preserve">que el hecho denunciado, consistente en que </w:t>
      </w:r>
      <w:r w:rsidR="00F363A5" w:rsidRPr="00F363A5">
        <w:rPr>
          <w:rFonts w:ascii="Arial Narrow" w:eastAsia="Arial Narrow" w:hAnsi="Arial Narrow" w:cs="Arial Narrow"/>
          <w:kern w:val="0"/>
          <w14:ligatures w14:val="none"/>
        </w:rPr>
        <w:t>la compañía aseguradora habría calificado indebidamente el siniestro ocurrido el 20 de junio de 2025 como dos eventos distintos, pese a que se trataba de uno solo</w:t>
      </w:r>
      <w:r w:rsidR="00626981" w:rsidRPr="00293AA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293AAB">
        <w:rPr>
          <w:rFonts w:ascii="Arial Narrow" w:eastAsia="Arial Narrow" w:hAnsi="Arial Narrow" w:cs="Arial"/>
          <w:bCs/>
          <w:color w:val="000000"/>
          <w:kern w:val="0"/>
          <w:lang w:eastAsia="es-PE"/>
          <w14:ligatures w14:val="none"/>
        </w:rPr>
        <w:t xml:space="preserve">. </w:t>
      </w:r>
    </w:p>
    <w:p w14:paraId="2DC7B64E" w14:textId="77777777" w:rsidR="00121544" w:rsidRPr="00CA50CD" w:rsidRDefault="00121544" w:rsidP="00121544">
      <w:pPr>
        <w:spacing w:after="0" w:line="240" w:lineRule="auto"/>
        <w:jc w:val="both"/>
        <w:rPr>
          <w:rFonts w:ascii="Arial Narrow" w:eastAsia="Arial Narrow" w:hAnsi="Arial Narrow" w:cs="Arial Narrow"/>
          <w:kern w:val="0"/>
          <w14:ligatures w14:val="none"/>
        </w:rPr>
      </w:pPr>
    </w:p>
    <w:p w14:paraId="61A99930" w14:textId="601AAAC6" w:rsidR="00121544" w:rsidRPr="007578C0"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720C">
        <w:rPr>
          <w:rFonts w:ascii="Arial Narrow" w:eastAsia="Arial Narrow" w:hAnsi="Arial Narrow" w:cs="Arial Narrow"/>
          <w:kern w:val="0"/>
          <w14:ligatures w14:val="none"/>
        </w:rPr>
        <w:t xml:space="preserve">Asimismo, </w:t>
      </w:r>
      <w:r w:rsidRPr="009B720C">
        <w:rPr>
          <w:rFonts w:ascii="Arial Narrow" w:eastAsia="Times New Roman" w:hAnsi="Arial Narrow" w:cs="Arial"/>
          <w:color w:val="000000"/>
          <w:kern w:val="0"/>
          <w:lang w:eastAsia="es-PE"/>
          <w14:ligatures w14:val="none"/>
        </w:rPr>
        <w:t xml:space="preserve">la Secretaría Técnica, en ejercicio de sus facultades, considera </w:t>
      </w:r>
      <w:r w:rsidRPr="009B720C">
        <w:rPr>
          <w:rFonts w:ascii="Arial Narrow" w:eastAsia="Arial Narrow" w:hAnsi="Arial Narrow" w:cs="Arial"/>
          <w:kern w:val="0"/>
          <w14:ligatures w14:val="none"/>
        </w:rPr>
        <w:t xml:space="preserve">que el hecho denunciado, consistente en que </w:t>
      </w:r>
      <w:r w:rsidR="00F363A5" w:rsidRPr="00F363A5">
        <w:rPr>
          <w:rFonts w:ascii="Arial Narrow" w:eastAsia="Arial Narrow" w:hAnsi="Arial Narrow" w:cs="Arial Narrow"/>
          <w:kern w:val="0"/>
          <w14:ligatures w14:val="none"/>
        </w:rPr>
        <w:t>la compañía aseguradora no habría cumplido con entregar oportunamente a la denunciante los documentos contractuales de la Póliza 2101–1528717 del Seguro Vehicular</w:t>
      </w:r>
      <w:r w:rsidRPr="009B720C">
        <w:rPr>
          <w:rFonts w:ascii="Arial Narrow" w:eastAsia="Arial Narrow" w:hAnsi="Arial Narrow" w:cs="Arial"/>
          <w:kern w:val="0"/>
          <w14:ligatures w14:val="none"/>
        </w:rPr>
        <w:t xml:space="preserve">. Por consiguiente, corresponde calificar el hecho materia de denuncia como una presunta infracción al </w:t>
      </w:r>
      <w:r w:rsidRPr="009B720C">
        <w:rPr>
          <w:rFonts w:ascii="Arial Narrow" w:eastAsia="Arial Narrow" w:hAnsi="Arial Narrow" w:cs="Arial"/>
          <w:kern w:val="0"/>
          <w14:ligatures w14:val="none"/>
        </w:rPr>
        <w:lastRenderedPageBreak/>
        <w:t xml:space="preserve">deber de entregar a los usuarios copia de los contratos y demás documentación relacionada con dichos actos </w:t>
      </w:r>
      <w:r w:rsidRPr="007578C0">
        <w:rPr>
          <w:rFonts w:ascii="Arial Narrow" w:eastAsia="Arial Narrow" w:hAnsi="Arial Narrow" w:cs="Arial"/>
          <w:kern w:val="0"/>
          <w14:ligatures w14:val="none"/>
        </w:rPr>
        <w:t>jurídicos, tipificado en el literal e) del artículo 47 del Código</w:t>
      </w:r>
      <w:r w:rsidRPr="007578C0">
        <w:rPr>
          <w:rStyle w:val="Refdenotaalpie"/>
          <w:rFonts w:ascii="Arial Narrow" w:eastAsia="Arial Narrow" w:hAnsi="Arial Narrow" w:cs="Arial"/>
          <w:kern w:val="0"/>
          <w:vertAlign w:val="superscript"/>
          <w14:ligatures w14:val="none"/>
        </w:rPr>
        <w:footnoteReference w:id="4"/>
      </w:r>
      <w:r w:rsidRPr="007578C0">
        <w:rPr>
          <w:rFonts w:ascii="Arial Narrow" w:eastAsia="Arial Narrow" w:hAnsi="Arial Narrow" w:cs="Arial"/>
          <w:kern w:val="0"/>
          <w14:ligatures w14:val="none"/>
        </w:rPr>
        <w:t>.</w:t>
      </w:r>
    </w:p>
    <w:p w14:paraId="4266B1E3" w14:textId="77777777" w:rsidR="00121544" w:rsidRPr="007578C0" w:rsidRDefault="00121544" w:rsidP="00121544">
      <w:pPr>
        <w:spacing w:after="0" w:line="240" w:lineRule="auto"/>
        <w:jc w:val="both"/>
        <w:rPr>
          <w:rFonts w:ascii="Arial Narrow" w:eastAsia="Arial Narrow" w:hAnsi="Arial Narrow" w:cs="Arial Narrow"/>
          <w:kern w:val="0"/>
          <w14:ligatures w14:val="none"/>
        </w:rPr>
      </w:pPr>
    </w:p>
    <w:p w14:paraId="6F5903EC" w14:textId="19488D60" w:rsidR="00121544" w:rsidRPr="007578C0" w:rsidRDefault="00121544" w:rsidP="007578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578C0">
        <w:rPr>
          <w:rFonts w:ascii="Arial Narrow" w:eastAsia="Times New Roman" w:hAnsi="Arial Narrow" w:cs="Arial"/>
          <w:color w:val="000000"/>
          <w:kern w:val="0"/>
          <w:lang w:eastAsia="es-PE"/>
          <w14:ligatures w14:val="none"/>
        </w:rPr>
        <w:t xml:space="preserve">Además, la Secretaría Técnica, en ejercicio de sus facultades, considera </w:t>
      </w:r>
      <w:r w:rsidRPr="007578C0">
        <w:rPr>
          <w:rFonts w:ascii="Arial Narrow" w:eastAsia="Arial Narrow" w:hAnsi="Arial Narrow" w:cs="Arial"/>
          <w:kern w:val="0"/>
          <w14:ligatures w14:val="none"/>
        </w:rPr>
        <w:t xml:space="preserve">que el hecho denunciado, consistente en que </w:t>
      </w:r>
      <w:r w:rsidR="00C57390" w:rsidRPr="00C57390">
        <w:rPr>
          <w:rFonts w:ascii="Arial Narrow" w:eastAsia="Arial Narrow" w:hAnsi="Arial Narrow" w:cs="Arial Narrow"/>
          <w:kern w:val="0"/>
          <w14:ligatures w14:val="none"/>
        </w:rPr>
        <w:t>la compañía aseguradora no habría cumplido con informarle oportunamente a la denunciante el 20 de junio de 2025 el requisito de reportar el siniestro dentro del plazo de cuatro (4) horas ni la exigencia del dosaje etílico como condiciones para otorgar la cobertura de la Póliza 2101–1528717 del Seguro Vehicular</w:t>
      </w:r>
      <w:r w:rsidRPr="007578C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7578C0">
        <w:rPr>
          <w:rFonts w:ascii="Arial Narrow" w:eastAsia="Arial Narrow" w:hAnsi="Arial Narrow" w:cs="Arial"/>
          <w:bCs/>
          <w:color w:val="000000"/>
          <w:kern w:val="0"/>
          <w:lang w:eastAsia="es-PE"/>
          <w14:ligatures w14:val="none"/>
        </w:rPr>
        <w:t xml:space="preserve">artículo 1, numeral 1, literal b) </w:t>
      </w:r>
      <w:bookmarkEnd w:id="4"/>
      <w:r w:rsidRPr="007578C0">
        <w:rPr>
          <w:rFonts w:ascii="Arial Narrow" w:eastAsia="Arial Narrow" w:hAnsi="Arial Narrow" w:cs="Arial"/>
          <w:bCs/>
          <w:color w:val="000000"/>
          <w:kern w:val="0"/>
          <w:lang w:eastAsia="es-PE"/>
          <w14:ligatures w14:val="none"/>
        </w:rPr>
        <w:t>y al artículo 2 del Código</w:t>
      </w:r>
      <w:r w:rsidRPr="007578C0">
        <w:rPr>
          <w:rStyle w:val="Refdenotaalpie"/>
          <w:rFonts w:ascii="Arial Narrow" w:eastAsia="Arial Narrow" w:hAnsi="Arial Narrow" w:cs="Arial"/>
          <w:bCs/>
          <w:color w:val="000000"/>
          <w:kern w:val="0"/>
          <w:vertAlign w:val="superscript"/>
          <w:lang w:eastAsia="es-PE"/>
          <w14:ligatures w14:val="none"/>
        </w:rPr>
        <w:footnoteReference w:id="5"/>
      </w:r>
      <w:r w:rsidRPr="007578C0">
        <w:rPr>
          <w:rFonts w:ascii="Arial Narrow" w:eastAsia="Arial Narrow" w:hAnsi="Arial Narrow" w:cs="Arial"/>
          <w:bCs/>
          <w:color w:val="000000"/>
          <w:kern w:val="0"/>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03B352C7"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E22AF4">
        <w:rPr>
          <w:rFonts w:ascii="Arial Narrow" w:eastAsia="Times New Roman" w:hAnsi="Arial Narrow" w:cs="Arial"/>
          <w:color w:val="000000"/>
          <w:kern w:val="0"/>
          <w:lang w:val="es-ES" w:eastAsia="es-ES"/>
          <w14:ligatures w14:val="none"/>
        </w:rPr>
        <w:t xml:space="preserve">ley le confiere, conviene requerir </w:t>
      </w:r>
      <w:r w:rsidR="00EA399A" w:rsidRPr="00E22AF4">
        <w:rPr>
          <w:rFonts w:ascii="Arial Narrow" w:eastAsia="Times New Roman" w:hAnsi="Arial Narrow" w:cs="Arial"/>
          <w:color w:val="000000"/>
          <w:kern w:val="0"/>
          <w:lang w:val="es-ES" w:eastAsia="es-ES"/>
          <w14:ligatures w14:val="none"/>
        </w:rPr>
        <w:t>a la compañía aseguradora</w:t>
      </w:r>
      <w:r w:rsidRPr="00E22AF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C7786" w:rsidRPr="00E22AF4">
        <w:rPr>
          <w:rFonts w:ascii="Arial Narrow" w:eastAsia="Times New Roman" w:hAnsi="Arial Narrow" w:cs="Arial"/>
          <w:color w:val="000000"/>
          <w:kern w:val="0"/>
          <w:lang w:val="es-ES" w:eastAsia="es-ES"/>
          <w14:ligatures w14:val="none"/>
        </w:rPr>
        <w:t>Póliza 2101 – 1528717 del Seguro Vehicular</w:t>
      </w:r>
      <w:r w:rsidRPr="00E22AF4">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2C7786" w:rsidRPr="00E22AF4">
        <w:rPr>
          <w:rFonts w:ascii="Arial Narrow" w:eastAsia="Times New Roman" w:hAnsi="Arial Narrow" w:cs="Arial"/>
          <w:color w:val="000000"/>
          <w:kern w:val="0"/>
          <w:lang w:val="es-ES" w:eastAsia="es-ES"/>
          <w14:ligatures w14:val="none"/>
        </w:rPr>
        <w:t>que el rechazo fue justificado</w:t>
      </w:r>
      <w:r w:rsidRPr="00E22AF4">
        <w:rPr>
          <w:rFonts w:ascii="Arial Narrow" w:eastAsia="Times New Roman" w:hAnsi="Arial Narrow" w:cs="Arial"/>
          <w:color w:val="000000"/>
          <w:kern w:val="0"/>
          <w:lang w:val="es-ES" w:eastAsia="es-ES"/>
          <w14:ligatures w14:val="none"/>
        </w:rPr>
        <w:t xml:space="preserve">; y, (iii) presentar todas las comunicaciones cursadas </w:t>
      </w:r>
      <w:r w:rsidR="00A87B9B" w:rsidRPr="00E22AF4">
        <w:rPr>
          <w:rFonts w:ascii="Arial Narrow" w:eastAsia="Times New Roman" w:hAnsi="Arial Narrow" w:cs="Arial"/>
          <w:color w:val="000000"/>
          <w:kern w:val="0"/>
          <w:lang w:val="es-ES" w:eastAsia="es-ES"/>
          <w14:ligatures w14:val="none"/>
        </w:rPr>
        <w:t xml:space="preserve">con la parte </w:t>
      </w:r>
      <w:r w:rsidR="00A87B9B" w:rsidRPr="00E22AF4">
        <w:rPr>
          <w:rFonts w:ascii="Arial Narrow" w:eastAsia="Times New Roman" w:hAnsi="Arial Narrow" w:cs="Arial"/>
          <w:color w:val="000000"/>
          <w:kern w:val="0"/>
          <w:lang w:val="es-ES" w:eastAsia="es-ES"/>
          <w14:ligatures w14:val="none"/>
        </w:rPr>
        <w:lastRenderedPageBreak/>
        <w:t>denunciante</w:t>
      </w:r>
      <w:r w:rsidR="002C7786" w:rsidRPr="00E22AF4">
        <w:rPr>
          <w:rFonts w:ascii="Arial Narrow" w:eastAsia="Times New Roman" w:hAnsi="Arial Narrow" w:cs="Arial"/>
          <w:color w:val="000000"/>
          <w:kern w:val="0"/>
          <w:lang w:val="es-ES" w:eastAsia="es-ES"/>
          <w14:ligatures w14:val="none"/>
        </w:rPr>
        <w:t xml:space="preserve">; incluyendo la grabación de </w:t>
      </w:r>
      <w:r w:rsidR="00E22AF4" w:rsidRPr="00E22AF4">
        <w:rPr>
          <w:rFonts w:ascii="Arial Narrow" w:eastAsia="Times New Roman" w:hAnsi="Arial Narrow" w:cs="Arial"/>
          <w:color w:val="000000"/>
          <w:kern w:val="0"/>
          <w:lang w:val="es-ES" w:eastAsia="es-ES"/>
          <w14:ligatures w14:val="none"/>
        </w:rPr>
        <w:t>todas las</w:t>
      </w:r>
      <w:r w:rsidR="002C7786" w:rsidRPr="00E22AF4">
        <w:rPr>
          <w:rFonts w:ascii="Arial Narrow" w:eastAsia="Times New Roman" w:hAnsi="Arial Narrow" w:cs="Arial"/>
          <w:color w:val="000000"/>
          <w:kern w:val="0"/>
          <w:lang w:val="es-ES" w:eastAsia="es-ES"/>
          <w14:ligatures w14:val="none"/>
        </w:rPr>
        <w:t xml:space="preserve"> llamada</w:t>
      </w:r>
      <w:r w:rsidR="00E22AF4" w:rsidRPr="00E22AF4">
        <w:rPr>
          <w:rFonts w:ascii="Arial Narrow" w:eastAsia="Times New Roman" w:hAnsi="Arial Narrow" w:cs="Arial"/>
          <w:color w:val="000000"/>
          <w:kern w:val="0"/>
          <w:lang w:val="es-ES" w:eastAsia="es-ES"/>
          <w14:ligatures w14:val="none"/>
        </w:rPr>
        <w:t>s</w:t>
      </w:r>
      <w:r w:rsidR="002C7786" w:rsidRPr="00E22AF4">
        <w:rPr>
          <w:rFonts w:ascii="Arial Narrow" w:eastAsia="Times New Roman" w:hAnsi="Arial Narrow" w:cs="Arial"/>
          <w:color w:val="000000"/>
          <w:kern w:val="0"/>
          <w:lang w:val="es-ES" w:eastAsia="es-ES"/>
          <w14:ligatures w14:val="none"/>
        </w:rPr>
        <w:t xml:space="preserve"> telefónica</w:t>
      </w:r>
      <w:r w:rsidR="00E22AF4" w:rsidRPr="00E22AF4">
        <w:rPr>
          <w:rFonts w:ascii="Arial Narrow" w:eastAsia="Times New Roman" w:hAnsi="Arial Narrow" w:cs="Arial"/>
          <w:color w:val="000000"/>
          <w:kern w:val="0"/>
          <w:lang w:val="es-ES" w:eastAsia="es-ES"/>
          <w14:ligatures w14:val="none"/>
        </w:rPr>
        <w:t>s</w:t>
      </w:r>
      <w:r w:rsidR="002C7786" w:rsidRPr="00E22AF4">
        <w:rPr>
          <w:rFonts w:ascii="Arial Narrow" w:eastAsia="Times New Roman" w:hAnsi="Arial Narrow" w:cs="Arial"/>
          <w:color w:val="000000"/>
          <w:kern w:val="0"/>
          <w:lang w:val="es-ES" w:eastAsia="es-ES"/>
          <w14:ligatures w14:val="none"/>
        </w:rPr>
        <w:t xml:space="preserve"> realizada</w:t>
      </w:r>
      <w:r w:rsidR="00E22AF4" w:rsidRPr="00E22AF4">
        <w:rPr>
          <w:rFonts w:ascii="Arial Narrow" w:eastAsia="Times New Roman" w:hAnsi="Arial Narrow" w:cs="Arial"/>
          <w:color w:val="000000"/>
          <w:kern w:val="0"/>
          <w:lang w:val="es-ES" w:eastAsia="es-ES"/>
          <w14:ligatures w14:val="none"/>
        </w:rPr>
        <w:t>s</w:t>
      </w:r>
      <w:r w:rsidR="002C7786" w:rsidRPr="00E22AF4">
        <w:rPr>
          <w:rFonts w:ascii="Arial Narrow" w:eastAsia="Times New Roman" w:hAnsi="Arial Narrow" w:cs="Arial"/>
          <w:color w:val="000000"/>
          <w:kern w:val="0"/>
          <w:lang w:val="es-ES" w:eastAsia="es-ES"/>
          <w14:ligatures w14:val="none"/>
        </w:rPr>
        <w:t xml:space="preserve"> </w:t>
      </w:r>
      <w:r w:rsidR="00E22AF4" w:rsidRPr="00E22AF4">
        <w:rPr>
          <w:rFonts w:ascii="Arial Narrow" w:eastAsia="Times New Roman" w:hAnsi="Arial Narrow" w:cs="Arial"/>
          <w:color w:val="000000"/>
          <w:kern w:val="0"/>
          <w:lang w:val="es-ES" w:eastAsia="es-ES"/>
          <w14:ligatures w14:val="none"/>
        </w:rPr>
        <w:t xml:space="preserve">con el denunciante el </w:t>
      </w:r>
      <w:r w:rsidR="00E22AF4" w:rsidRPr="00E22AF4">
        <w:rPr>
          <w:rFonts w:ascii="Arial Narrow" w:eastAsia="Times New Roman" w:hAnsi="Arial Narrow" w:cs="Arial"/>
          <w:color w:val="000000"/>
          <w:kern w:val="0"/>
          <w:lang w:eastAsia="es-ES"/>
          <w14:ligatures w14:val="none"/>
        </w:rPr>
        <w:t>20 de junio de 2025,</w:t>
      </w:r>
      <w:r w:rsidR="002C7786" w:rsidRPr="00E22AF4">
        <w:rPr>
          <w:rFonts w:ascii="Arial Narrow" w:eastAsia="Times New Roman" w:hAnsi="Arial Narrow" w:cs="Arial"/>
          <w:color w:val="000000"/>
          <w:kern w:val="0"/>
          <w:lang w:val="es-ES" w:eastAsia="es-ES"/>
          <w14:ligatures w14:val="none"/>
        </w:rPr>
        <w:t xml:space="preserve"> </w:t>
      </w:r>
      <w:r w:rsidR="00A87B9B" w:rsidRPr="00E22AF4">
        <w:rPr>
          <w:rFonts w:ascii="Arial Narrow" w:eastAsia="Times New Roman" w:hAnsi="Arial Narrow" w:cs="Arial"/>
          <w:color w:val="000000"/>
          <w:kern w:val="0"/>
          <w:lang w:val="es-ES" w:eastAsia="es-ES"/>
          <w14:ligatures w14:val="none"/>
        </w:rPr>
        <w:t xml:space="preserve"> </w:t>
      </w:r>
      <w:r w:rsidRPr="00E22AF4">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25997D0A" w:rsidR="00121544" w:rsidRPr="00B976BD"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agosto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37620" w:rsidRPr="00C37620">
        <w:rPr>
          <w:rFonts w:ascii="Arial Narrow" w:eastAsia="Times New Roman" w:hAnsi="Arial Narrow" w:cs="Times New Roman"/>
          <w:color w:val="000000"/>
          <w:kern w:val="0"/>
          <w:shd w:val="clear" w:color="auto" w:fill="FFFFFF"/>
          <w:lang w:eastAsia="es-PE"/>
          <w14:ligatures w14:val="none"/>
        </w:rPr>
        <w:t/>
      </w:r>
      <w:r w:rsidR="00C37620">
        <w:rPr>
          <w:rFonts w:ascii="Arial Narrow" w:eastAsia="Times New Roman" w:hAnsi="Arial Narrow" w:cs="Times New Roman"/>
          <w:color w:val="000000"/>
          <w:kern w:val="0"/>
          <w:shd w:val="clear" w:color="auto" w:fill="FFFFFF"/>
          <w:lang w:eastAsia="es-PE"/>
          <w14:ligatures w14:val="none"/>
        </w:rPr>
        <w:t xml:space="preserve"/>
      </w:r>
      <w:r w:rsidRPr="007A2C20">
        <w:rPr>
          <w:rFonts w:ascii="Arial Narrow" w:eastAsia="Times New Roman" w:hAnsi="Arial Narrow" w:cs="Times New Roman"/>
          <w:color w:val="000000"/>
          <w:kern w:val="0"/>
          <w:shd w:val="clear" w:color="auto" w:fill="FFFFFF"/>
          <w:lang w:eastAsia="es-PE"/>
          <w14:ligatures w14:val="none"/>
        </w:rPr>
        <w:t xml:space="preserve"/>
      </w:r>
      <w:r w:rsidR="007A2C20" w:rsidRPr="007A2C20">
        <w:rPr>
          <w:rFonts w:ascii="Arial Narrow" w:eastAsia="Times New Roman" w:hAnsi="Arial Narrow" w:cs="Times New Roman"/>
          <w:color w:val="000000"/>
          <w:kern w:val="0"/>
          <w:shd w:val="clear" w:color="auto" w:fill="FFFFFF"/>
          <w:lang w:eastAsia="es-PE"/>
          <w14:ligatures w14:val="none"/>
        </w:rPr>
        <w:t/>
      </w:r>
      <w:r w:rsidR="007A2C20">
        <w:rPr>
          <w:rFonts w:ascii="Arial Narrow" w:eastAsia="Times New Roman" w:hAnsi="Arial Narrow" w:cs="Times New Roman"/>
          <w:color w:val="000000"/>
          <w:kern w:val="0"/>
          <w:shd w:val="clear" w:color="auto" w:fill="FFFFFF"/>
          <w:lang w:eastAsia="es-PE"/>
          <w14:ligatures w14:val="none"/>
        </w:rPr>
        <w:t xml:space="preserve"/>
      </w:r>
      <w:r w:rsidR="007A2C20" w:rsidRPr="007A2C2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C37620" w:rsidRPr="00B976BD">
        <w:rPr>
          <w:rFonts w:ascii="Arial Narrow" w:eastAsia="Times New Roman" w:hAnsi="Arial Narrow" w:cs="Times New Roman"/>
          <w:color w:val="000000"/>
          <w:kern w:val="0"/>
          <w:shd w:val="clear" w:color="auto" w:fill="FFFFFF"/>
          <w:lang w:eastAsia="es-PE"/>
          <w14:ligatures w14:val="none"/>
        </w:rPr>
        <w:t/>
      </w:r>
      <w:r w:rsidRPr="00B976BD">
        <w:rPr>
          <w:rFonts w:ascii="Arial Narrow" w:eastAsia="Times New Roman" w:hAnsi="Arial Narrow" w:cs="Times New Roman"/>
          <w:color w:val="000000"/>
          <w:kern w:val="0"/>
          <w:shd w:val="clear" w:color="auto" w:fill="FFFFFF"/>
          <w:lang w:eastAsia="es-PE"/>
          <w14:ligatures w14:val="none"/>
        </w:rPr>
        <w:t xml:space="preserve"/>
      </w:r>
      <w:r w:rsidR="00121544" w:rsidRPr="00B976B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976BD"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31160B84" w:rsidR="00121544" w:rsidRPr="00293AAB"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76BD">
        <w:rPr>
          <w:rFonts w:ascii="Arial Narrow" w:eastAsia="Calibri" w:hAnsi="Arial Narrow" w:cs="Arial Narrow"/>
          <w:color w:val="000000"/>
          <w:kern w:val="0"/>
          <w:lang w:eastAsia="es-PE"/>
          <w14:ligatures w14:val="none"/>
        </w:rPr>
        <w:t>Presunta</w:t>
      </w:r>
      <w:r w:rsidRPr="00B976BD">
        <w:rPr>
          <w:rFonts w:ascii="Arial Narrow" w:eastAsia="Times New Roman" w:hAnsi="Arial Narrow" w:cs="Times New Roman"/>
          <w:kern w:val="0"/>
          <w:shd w:val="clear" w:color="auto" w:fill="FFFFFF"/>
          <w:lang w:eastAsia="es-PE"/>
          <w14:ligatures w14:val="none"/>
        </w:rPr>
        <w:t xml:space="preserve"> infracción a los artículos 18 y 19</w:t>
      </w:r>
      <w:r w:rsidRPr="00B976BD">
        <w:rPr>
          <w:rFonts w:ascii="Arial Narrow" w:eastAsia="Calibri" w:hAnsi="Arial Narrow" w:cs="Arial Narrow"/>
          <w:kern w:val="0"/>
          <w:lang w:eastAsia="es-PE"/>
          <w14:ligatures w14:val="none"/>
        </w:rPr>
        <w:t xml:space="preserve"> de </w:t>
      </w:r>
      <w:r w:rsidRPr="00B976BD">
        <w:rPr>
          <w:rFonts w:ascii="Arial Narrow" w:eastAsia="Times New Roman" w:hAnsi="Arial Narrow" w:cs="Times New Roman"/>
          <w:kern w:val="0"/>
          <w:shd w:val="clear" w:color="auto" w:fill="FFFFFF"/>
          <w:lang w:eastAsia="es-PE"/>
          <w14:ligatures w14:val="none"/>
        </w:rPr>
        <w:t>la Ley</w:t>
      </w:r>
      <w:r w:rsidR="008E23B5">
        <w:rPr>
          <w:rFonts w:ascii="Arial Narrow" w:eastAsia="Times New Roman" w:hAnsi="Arial Narrow" w:cs="Times New Roman"/>
          <w:kern w:val="0"/>
          <w:shd w:val="clear" w:color="auto" w:fill="FFFFFF"/>
          <w:lang w:eastAsia="es-PE"/>
          <w14:ligatures w14:val="none"/>
        </w:rPr>
        <w:t xml:space="preserve"> </w:t>
      </w:r>
      <w:r w:rsidRPr="00B976BD">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626981" w:rsidRPr="00B976BD">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w:t>
      </w:r>
      <w:r w:rsidR="00B976BD" w:rsidRPr="00B976BD">
        <w:rPr>
          <w:rFonts w:ascii="Arial Narrow" w:eastAsia="Times New Roman" w:hAnsi="Arial Narrow" w:cs="Times New Roman"/>
          <w:kern w:val="0"/>
          <w:shd w:val="clear" w:color="auto" w:fill="FFFFFF"/>
          <w:lang w:eastAsia="es-PE"/>
          <w14:ligatures w14:val="none"/>
        </w:rPr>
        <w:t xml:space="preserve">a </w:t>
      </w:r>
      <w:r w:rsidR="00626981" w:rsidRPr="00B976BD">
        <w:rPr>
          <w:rFonts w:ascii="Arial Narrow" w:eastAsia="Times New Roman" w:hAnsi="Arial Narrow" w:cs="Times New Roman"/>
          <w:kern w:val="0"/>
          <w:shd w:val="clear" w:color="auto" w:fill="FFFFFF"/>
          <w:lang w:eastAsia="es-PE"/>
          <w14:ligatures w14:val="none"/>
        </w:rPr>
        <w:t>la</w:t>
      </w:r>
      <w:r w:rsidR="00B976BD" w:rsidRPr="00B976BD">
        <w:rPr>
          <w:rFonts w:ascii="Arial Narrow" w:eastAsia="Times New Roman" w:hAnsi="Arial Narrow" w:cs="Times New Roman"/>
          <w:kern w:val="0"/>
          <w:shd w:val="clear" w:color="auto" w:fill="FFFFFF"/>
          <w:lang w:eastAsia="es-PE"/>
          <w14:ligatures w14:val="none"/>
        </w:rPr>
        <w:t xml:space="preserve"> denunciante la</w:t>
      </w:r>
      <w:r w:rsidR="00626981" w:rsidRPr="00B976BD">
        <w:rPr>
          <w:rFonts w:ascii="Arial Narrow" w:eastAsia="Times New Roman" w:hAnsi="Arial Narrow" w:cs="Times New Roman"/>
          <w:kern w:val="0"/>
          <w:shd w:val="clear" w:color="auto" w:fill="FFFFFF"/>
          <w:lang w:eastAsia="es-PE"/>
          <w14:ligatures w14:val="none"/>
        </w:rPr>
        <w:t xml:space="preserve"> cobertura de </w:t>
      </w:r>
      <w:r w:rsidR="00626981" w:rsidRPr="00B976BD">
        <w:rPr>
          <w:rFonts w:ascii="Arial Narrow" w:eastAsia="Arial Narrow" w:hAnsi="Arial Narrow" w:cs="Arial Narrow"/>
          <w:kern w:val="0"/>
          <w14:ligatures w14:val="none"/>
        </w:rPr>
        <w:t xml:space="preserve">la </w:t>
      </w:r>
      <w:r w:rsidR="00626981" w:rsidRPr="00293AAB">
        <w:rPr>
          <w:rFonts w:ascii="Arial Narrow" w:eastAsia="Arial Narrow" w:hAnsi="Arial Narrow" w:cs="Arial Narrow"/>
          <w:kern w:val="0"/>
          <w14:ligatures w14:val="none"/>
        </w:rPr>
        <w:t>Póliza 2101–1528717 del Seguro Vehicular</w:t>
      </w:r>
      <w:r w:rsidR="00B976BD" w:rsidRPr="00293AAB">
        <w:rPr>
          <w:rFonts w:ascii="Arial Narrow" w:eastAsia="Arial Narrow" w:hAnsi="Arial Narrow" w:cs="Arial Narrow"/>
          <w:kern w:val="0"/>
          <w14:ligatures w14:val="none"/>
        </w:rPr>
        <w:t>, en virtud del siniestro ocurrido el 20 de junio de 2025</w:t>
      </w:r>
      <w:r w:rsidR="00121544" w:rsidRPr="00293AAB">
        <w:rPr>
          <w:rFonts w:ascii="Arial Narrow" w:eastAsia="Arial Narrow" w:hAnsi="Arial Narrow" w:cs="Arial Narrow"/>
          <w:kern w:val="0"/>
          <w14:ligatures w14:val="none"/>
        </w:rPr>
        <w:t>.</w:t>
      </w:r>
    </w:p>
    <w:p w14:paraId="39215327" w14:textId="77777777" w:rsidR="00121544" w:rsidRPr="00293AAB"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DCCB4B7" w:rsidR="00121544" w:rsidRPr="00293AAB" w:rsidRDefault="0062698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93AAB">
        <w:rPr>
          <w:rFonts w:ascii="Arial Narrow" w:eastAsia="Calibri" w:hAnsi="Arial Narrow" w:cs="Arial Narrow"/>
          <w:color w:val="000000"/>
          <w:kern w:val="0"/>
          <w:lang w:eastAsia="es-PE"/>
          <w14:ligatures w14:val="none"/>
        </w:rPr>
        <w:t>Presunta</w:t>
      </w:r>
      <w:r w:rsidRPr="00293AAB">
        <w:rPr>
          <w:rFonts w:ascii="Arial Narrow" w:eastAsia="Times New Roman" w:hAnsi="Arial Narrow" w:cs="Times New Roman"/>
          <w:kern w:val="0"/>
          <w:shd w:val="clear" w:color="auto" w:fill="FFFFFF"/>
          <w:lang w:eastAsia="es-PE"/>
          <w14:ligatures w14:val="none"/>
        </w:rPr>
        <w:t xml:space="preserve"> infracción a los artículos 18 y 19</w:t>
      </w:r>
      <w:r w:rsidRPr="00293AAB">
        <w:rPr>
          <w:rFonts w:ascii="Arial Narrow" w:eastAsia="Calibri" w:hAnsi="Arial Narrow" w:cs="Arial Narrow"/>
          <w:kern w:val="0"/>
          <w:lang w:eastAsia="es-PE"/>
          <w14:ligatures w14:val="none"/>
        </w:rPr>
        <w:t xml:space="preserve"> de </w:t>
      </w:r>
      <w:r w:rsidRPr="00293AAB">
        <w:rPr>
          <w:rFonts w:ascii="Arial Narrow" w:eastAsia="Times New Roman" w:hAnsi="Arial Narrow" w:cs="Times New Roman"/>
          <w:kern w:val="0"/>
          <w:shd w:val="clear" w:color="auto" w:fill="FFFFFF"/>
          <w:lang w:eastAsia="es-PE"/>
          <w14:ligatures w14:val="none"/>
        </w:rPr>
        <w:t>la Ley</w:t>
      </w:r>
      <w:r w:rsidR="008E23B5">
        <w:rPr>
          <w:rFonts w:ascii="Arial Narrow" w:eastAsia="Times New Roman" w:hAnsi="Arial Narrow" w:cs="Times New Roman"/>
          <w:kern w:val="0"/>
          <w:shd w:val="clear" w:color="auto" w:fill="FFFFFF"/>
          <w:lang w:eastAsia="es-PE"/>
          <w14:ligatures w14:val="none"/>
        </w:rPr>
        <w:t xml:space="preserve"> </w:t>
      </w:r>
      <w:r w:rsidRPr="00293AA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A516E" w:rsidRPr="00293AAB">
        <w:rPr>
          <w:rFonts w:ascii="Arial Narrow" w:eastAsia="Times New Roman" w:hAnsi="Arial Narrow" w:cs="Times New Roman"/>
          <w:kern w:val="0"/>
          <w:shd w:val="clear" w:color="auto" w:fill="FFFFFF"/>
          <w:lang w:eastAsia="es-PE"/>
          <w14:ligatures w14:val="none"/>
        </w:rPr>
        <w:t xml:space="preserve">la compañía aseguradora habría calificado </w:t>
      </w:r>
      <w:r w:rsidR="00293AAB" w:rsidRPr="00293AAB">
        <w:rPr>
          <w:rFonts w:ascii="Arial Narrow" w:eastAsia="Times New Roman" w:hAnsi="Arial Narrow" w:cs="Times New Roman"/>
          <w:kern w:val="0"/>
          <w:shd w:val="clear" w:color="auto" w:fill="FFFFFF"/>
          <w:lang w:eastAsia="es-PE"/>
          <w14:ligatures w14:val="none"/>
        </w:rPr>
        <w:t xml:space="preserve">indebidamente el siniestro ocurrido el </w:t>
      </w:r>
      <w:r w:rsidR="00293AAB" w:rsidRPr="00293AAB">
        <w:rPr>
          <w:rFonts w:ascii="Arial Narrow" w:eastAsia="Arial Narrow" w:hAnsi="Arial Narrow" w:cs="Arial Narrow"/>
          <w:kern w:val="0"/>
          <w14:ligatures w14:val="none"/>
        </w:rPr>
        <w:t>20 de junio de 2025 como</w:t>
      </w:r>
      <w:r w:rsidR="00293AAB" w:rsidRPr="00293AAB">
        <w:rPr>
          <w:rFonts w:ascii="Arial Narrow" w:eastAsia="Times New Roman" w:hAnsi="Arial Narrow" w:cs="Times New Roman"/>
          <w:kern w:val="0"/>
          <w:shd w:val="clear" w:color="auto" w:fill="FFFFFF"/>
          <w:lang w:eastAsia="es-PE"/>
          <w14:ligatures w14:val="none"/>
        </w:rPr>
        <w:t xml:space="preserve"> dos eventos distintos, pese a que se trataba de un</w:t>
      </w:r>
      <w:r w:rsidR="008E23B5">
        <w:rPr>
          <w:rFonts w:ascii="Arial Narrow" w:eastAsia="Times New Roman" w:hAnsi="Arial Narrow" w:cs="Times New Roman"/>
          <w:kern w:val="0"/>
          <w:shd w:val="clear" w:color="auto" w:fill="FFFFFF"/>
          <w:lang w:eastAsia="es-PE"/>
          <w14:ligatures w14:val="none"/>
        </w:rPr>
        <w:t>o</w:t>
      </w:r>
      <w:r w:rsidR="00293AAB" w:rsidRPr="00293AAB">
        <w:rPr>
          <w:rFonts w:ascii="Arial Narrow" w:eastAsia="Times New Roman" w:hAnsi="Arial Narrow" w:cs="Times New Roman"/>
          <w:kern w:val="0"/>
          <w:shd w:val="clear" w:color="auto" w:fill="FFFFFF"/>
          <w:lang w:eastAsia="es-PE"/>
          <w14:ligatures w14:val="none"/>
        </w:rPr>
        <w:t xml:space="preserve"> solo</w:t>
      </w:r>
      <w:r w:rsidR="001A516E" w:rsidRPr="00293AAB">
        <w:rPr>
          <w:rFonts w:ascii="Arial Narrow" w:eastAsia="Times New Roman" w:hAnsi="Arial Narrow" w:cs="Times New Roman"/>
          <w:kern w:val="0"/>
          <w:shd w:val="clear" w:color="auto" w:fill="FFFFFF"/>
          <w:lang w:eastAsia="es-PE"/>
          <w14:ligatures w14:val="none"/>
        </w:rPr>
        <w:t>.</w:t>
      </w:r>
    </w:p>
    <w:p w14:paraId="163CBB5D" w14:textId="77777777" w:rsidR="00121544" w:rsidRPr="00293AAB" w:rsidRDefault="00121544" w:rsidP="00121544">
      <w:pPr>
        <w:spacing w:after="0" w:line="240" w:lineRule="auto"/>
        <w:jc w:val="both"/>
        <w:rPr>
          <w:rFonts w:ascii="Arial Narrow" w:eastAsia="Calibri" w:hAnsi="Arial Narrow" w:cs="Arial Narrow"/>
          <w:kern w:val="0"/>
          <w:lang w:eastAsia="es-PE"/>
          <w14:ligatures w14:val="none"/>
        </w:rPr>
      </w:pPr>
    </w:p>
    <w:p w14:paraId="32EC993B" w14:textId="50A1D3B8" w:rsidR="00121544" w:rsidRPr="004E703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93AAB">
        <w:rPr>
          <w:rFonts w:ascii="Arial Narrow" w:eastAsia="Arial Narrow" w:hAnsi="Arial Narrow" w:cs="Arial Narrow"/>
          <w:kern w:val="0"/>
          <w14:ligatures w14:val="none"/>
        </w:rPr>
        <w:t xml:space="preserve">Presunta </w:t>
      </w:r>
      <w:r w:rsidRPr="00293AAB">
        <w:rPr>
          <w:rFonts w:ascii="Arial Narrow" w:eastAsia="Times New Roman" w:hAnsi="Arial Narrow" w:cs="Arial"/>
          <w:kern w:val="0"/>
          <w:shd w:val="clear" w:color="auto" w:fill="FFFFFF"/>
          <w:lang w:eastAsia="es-PE"/>
          <w14:ligatures w14:val="none"/>
        </w:rPr>
        <w:t>infracción al literal e)</w:t>
      </w:r>
      <w:r w:rsidRPr="009B720C">
        <w:rPr>
          <w:rFonts w:ascii="Arial Narrow" w:eastAsia="Times New Roman" w:hAnsi="Arial Narrow" w:cs="Arial"/>
          <w:kern w:val="0"/>
          <w:shd w:val="clear" w:color="auto" w:fill="FFFFFF"/>
          <w:lang w:eastAsia="es-PE"/>
          <w14:ligatures w14:val="none"/>
        </w:rPr>
        <w:t xml:space="preserve"> del artículo 47</w:t>
      </w:r>
      <w:r w:rsidRPr="009B720C">
        <w:rPr>
          <w:rFonts w:ascii="Arial Narrow" w:eastAsia="Arial Narrow" w:hAnsi="Arial Narrow" w:cs="Arial"/>
          <w:bCs/>
          <w:color w:val="000000"/>
          <w:kern w:val="0"/>
          <w:lang w:eastAsia="es-PE"/>
          <w14:ligatures w14:val="none"/>
        </w:rPr>
        <w:t/>
      </w:r>
      <w:r w:rsidRPr="009B720C">
        <w:rPr>
          <w:rFonts w:ascii="Arial Narrow" w:eastAsia="Times New Roman" w:hAnsi="Arial Narrow" w:cs="Arial"/>
          <w:kern w:val="0"/>
          <w:shd w:val="clear" w:color="auto" w:fill="FFFFFF"/>
          <w:lang w:eastAsia="es-PE"/>
          <w14:ligatures w14:val="none"/>
        </w:rPr>
        <w:t xml:space="preserve"> </w:t>
      </w:r>
      <w:r w:rsidRPr="009B720C">
        <w:rPr>
          <w:rFonts w:ascii="Arial Narrow" w:eastAsia="Calibri" w:hAnsi="Arial Narrow" w:cs="Arial"/>
          <w:kern w:val="0"/>
          <w14:ligatures w14:val="none"/>
        </w:rPr>
        <w:t>de</w:t>
      </w:r>
      <w:r w:rsidRPr="009B720C">
        <w:rPr>
          <w:rFonts w:ascii="Arial Narrow" w:eastAsia="Times New Roman" w:hAnsi="Arial Narrow" w:cs="Arial"/>
          <w:kern w:val="0"/>
          <w:shd w:val="clear" w:color="auto" w:fill="FFFFFF"/>
          <w:lang w:eastAsia="es-PE"/>
          <w14:ligatures w14:val="none"/>
        </w:rPr>
        <w:t xml:space="preserve"> la Ley</w:t>
      </w:r>
      <w:r w:rsidR="008E23B5">
        <w:rPr>
          <w:rFonts w:ascii="Arial Narrow" w:eastAsia="Times New Roman" w:hAnsi="Arial Narrow" w:cs="Arial"/>
          <w:kern w:val="0"/>
          <w:shd w:val="clear" w:color="auto" w:fill="FFFFFF"/>
          <w:lang w:eastAsia="es-PE"/>
          <w14:ligatures w14:val="none"/>
        </w:rPr>
        <w:t xml:space="preserve"> </w:t>
      </w:r>
      <w:r w:rsidRPr="009B720C">
        <w:rPr>
          <w:rFonts w:ascii="Arial Narrow" w:eastAsia="Times New Roman" w:hAnsi="Arial Narrow" w:cs="Arial"/>
          <w:kern w:val="0"/>
          <w:shd w:val="clear" w:color="auto" w:fill="FFFFFF"/>
          <w:lang w:eastAsia="es-PE"/>
          <w14:ligatures w14:val="none"/>
        </w:rPr>
        <w:t xml:space="preserve"> 29571, Código de Protección y Defensa del Consumidor, </w:t>
      </w:r>
      <w:r w:rsidRPr="009B720C">
        <w:rPr>
          <w:rFonts w:ascii="Arial Narrow" w:eastAsia="Arial Narrow" w:hAnsi="Arial Narrow" w:cs="Arial"/>
          <w:bCs/>
          <w:color w:val="000000"/>
          <w:kern w:val="0"/>
          <w:lang w:eastAsia="es-PE"/>
          <w14:ligatures w14:val="none"/>
        </w:rPr>
        <w:t xml:space="preserve">en tanto </w:t>
      </w:r>
      <w:r w:rsidR="004E703E" w:rsidRPr="004E703E">
        <w:rPr>
          <w:rFonts w:ascii="Arial Narrow" w:eastAsia="Arial Narrow" w:hAnsi="Arial Narrow" w:cs="Arial Narrow"/>
          <w:kern w:val="0"/>
          <w14:ligatures w14:val="none"/>
        </w:rPr>
        <w:t>la compañía aseguradora no habría cumplido con entregar oportunamente a la denunciante los documentos contractuales de la Póliza 2101–1528717 del Seguro Vehicular</w:t>
      </w:r>
      <w:r w:rsidRPr="004E703E">
        <w:rPr>
          <w:rFonts w:ascii="Arial Narrow" w:eastAsia="Times New Roman" w:hAnsi="Arial Narrow" w:cs="Arial"/>
          <w:color w:val="000000"/>
          <w:kern w:val="0"/>
          <w:lang w:eastAsia="es-ES"/>
          <w14:ligatures w14:val="none"/>
        </w:rPr>
        <w:t>.</w:t>
      </w:r>
    </w:p>
    <w:p w14:paraId="39BF39FC" w14:textId="77777777" w:rsidR="00121544" w:rsidRPr="004E703E" w:rsidRDefault="00121544" w:rsidP="00121544">
      <w:pPr>
        <w:spacing w:after="0" w:line="240" w:lineRule="auto"/>
        <w:jc w:val="both"/>
        <w:rPr>
          <w:rFonts w:ascii="Arial Narrow" w:eastAsia="Calibri" w:hAnsi="Arial Narrow" w:cs="Arial Narrow"/>
          <w:kern w:val="0"/>
          <w:lang w:eastAsia="es-PE"/>
          <w14:ligatures w14:val="none"/>
        </w:rPr>
      </w:pPr>
    </w:p>
    <w:p w14:paraId="0B0291C5" w14:textId="700605E6" w:rsidR="00121544" w:rsidRPr="00B64069" w:rsidRDefault="00121544" w:rsidP="00B640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E703E">
        <w:rPr>
          <w:rFonts w:ascii="Arial Narrow" w:eastAsia="Arial Narrow" w:hAnsi="Arial Narrow" w:cs="Arial Narrow"/>
          <w:kern w:val="0"/>
          <w14:ligatures w14:val="none"/>
        </w:rPr>
        <w:t>Presunta infracción al artículo 1, numeral 1, literal b) y al artículo 2 de la Ley</w:t>
      </w:r>
      <w:r w:rsidR="008E23B5">
        <w:rPr>
          <w:rFonts w:ascii="Arial Narrow" w:eastAsia="Arial Narrow" w:hAnsi="Arial Narrow" w:cs="Arial Narrow"/>
          <w:kern w:val="0"/>
          <w14:ligatures w14:val="none"/>
        </w:rPr>
        <w:t xml:space="preserve"> </w:t>
      </w:r>
      <w:r w:rsidRPr="004E703E">
        <w:rPr>
          <w:rFonts w:ascii="Arial Narrow" w:eastAsia="Arial Narrow" w:hAnsi="Arial Narrow" w:cs="Arial Narrow"/>
          <w:kern w:val="0"/>
          <w14:ligatures w14:val="none"/>
        </w:rPr>
        <w:t xml:space="preserve"> 29571, Código de Protección y Defensa del Consumidor, </w:t>
      </w:r>
      <w:r w:rsidRPr="004E703E">
        <w:rPr>
          <w:rFonts w:ascii="Arial Narrow" w:eastAsia="Times New Roman" w:hAnsi="Arial Narrow" w:cs="Times New Roman"/>
          <w:kern w:val="0"/>
          <w:shd w:val="clear" w:color="auto" w:fill="FFFFFF"/>
          <w:lang w:eastAsia="es-PE"/>
          <w14:ligatures w14:val="none"/>
        </w:rPr>
        <w:t xml:space="preserve">en tanto </w:t>
      </w:r>
      <w:r w:rsidR="00F450E0" w:rsidRPr="004E703E">
        <w:rPr>
          <w:rFonts w:ascii="Arial Narrow" w:eastAsia="Arial Narrow" w:hAnsi="Arial Narrow" w:cs="Arial Narrow"/>
          <w:kern w:val="0"/>
          <w14:ligatures w14:val="none"/>
        </w:rPr>
        <w:t>la compañía aseguradora no habría cumplido con informarle oportunamente a la denunciante</w:t>
      </w:r>
      <w:r w:rsidR="008377DA">
        <w:rPr>
          <w:rFonts w:ascii="Arial Narrow" w:eastAsia="Arial Narrow" w:hAnsi="Arial Narrow" w:cs="Arial Narrow"/>
          <w:kern w:val="0"/>
          <w14:ligatures w14:val="none"/>
        </w:rPr>
        <w:t xml:space="preserve"> el 20 de junio de 2025</w:t>
      </w:r>
      <w:r w:rsidR="00F450E0" w:rsidRPr="004E703E">
        <w:rPr>
          <w:rFonts w:ascii="Arial Narrow" w:eastAsia="Arial Narrow" w:hAnsi="Arial Narrow" w:cs="Arial Narrow"/>
          <w:kern w:val="0"/>
          <w14:ligatures w14:val="none"/>
        </w:rPr>
        <w:t xml:space="preserve"> el requisito de reportar </w:t>
      </w:r>
      <w:r w:rsidR="008E23B5">
        <w:rPr>
          <w:rFonts w:ascii="Arial Narrow" w:eastAsia="Arial Narrow" w:hAnsi="Arial Narrow" w:cs="Arial Narrow"/>
          <w:kern w:val="0"/>
          <w14:ligatures w14:val="none"/>
        </w:rPr>
        <w:t>el</w:t>
      </w:r>
      <w:r w:rsidR="00F450E0" w:rsidRPr="004E703E">
        <w:rPr>
          <w:rFonts w:ascii="Arial Narrow" w:eastAsia="Arial Narrow" w:hAnsi="Arial Narrow" w:cs="Arial Narrow"/>
          <w:kern w:val="0"/>
          <w14:ligatures w14:val="none"/>
        </w:rPr>
        <w:t xml:space="preserve"> siniestro dentro del plazo de cuatro (4) horas ni la exigencia del dosaje etílico como condiciones para otorgar la cobertura </w:t>
      </w:r>
      <w:r w:rsidR="004E703E" w:rsidRPr="004E703E">
        <w:rPr>
          <w:rFonts w:ascii="Arial Narrow" w:eastAsia="Times New Roman" w:hAnsi="Arial Narrow" w:cs="Arial"/>
          <w:color w:val="000000"/>
          <w:kern w:val="0"/>
          <w:lang w:eastAsia="es-ES"/>
          <w14:ligatures w14:val="none"/>
        </w:rPr>
        <w:t>de la Póliza 2101–1528717 del Seguro Vehicular</w:t>
      </w:r>
      <w:r w:rsidRPr="004E703E">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CFC79F9"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37620" w:rsidRPr="00C37620">
        <w:rPr>
          <w:rFonts w:ascii="Arial Narrow" w:eastAsia="Times New Roman" w:hAnsi="Arial Narrow" w:cs="Arial"/>
          <w:color w:val="000000"/>
          <w:kern w:val="0"/>
          <w:lang w:val="es-ES" w:eastAsia="es-ES"/>
          <w14:ligatures w14:val="none"/>
        </w:rPr>
        <w:t>26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E7AA0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4099" w:rsidRPr="00CB4099">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5F307D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C37620">
        <w:rPr>
          <w:rFonts w:ascii="Arial Narrow" w:eastAsia="Arial Narrow" w:hAnsi="Arial Narrow" w:cs="Arial Narrow"/>
          <w:b/>
          <w:color w:val="000000"/>
          <w:kern w:val="0"/>
          <w:lang w:eastAsia="es-PE"/>
          <w14:ligatures w14:val="none"/>
        </w:rPr>
        <w:t xml:space="preserve">CUARTO: </w:t>
      </w:r>
      <w:r w:rsidRPr="00C37620">
        <w:rPr>
          <w:rFonts w:ascii="Arial Narrow" w:eastAsia="Arial Narrow" w:hAnsi="Arial Narrow" w:cs="Arial Narrow"/>
          <w:color w:val="000000"/>
          <w:kern w:val="0"/>
          <w:lang w:eastAsia="es-PE"/>
          <w14:ligatures w14:val="none"/>
        </w:rPr>
        <w:t xml:space="preserve">correr traslado de la denuncia interpuesta </w:t>
      </w:r>
      <w:r w:rsidRPr="00C37620">
        <w:rPr>
          <w:rFonts w:ascii="Arial Narrow" w:eastAsia="Times New Roman" w:hAnsi="Arial Narrow" w:cs="Arial"/>
          <w:color w:val="000000"/>
          <w:kern w:val="0"/>
          <w:lang w:val="es-ES" w:eastAsia="es-ES"/>
          <w14:ligatures w14:val="none"/>
        </w:rPr>
        <w:t xml:space="preserve">el </w:t>
      </w:r>
      <w:r w:rsidR="00C37620" w:rsidRPr="00C37620">
        <w:rPr>
          <w:rFonts w:ascii="Arial Narrow" w:eastAsia="Times New Roman" w:hAnsi="Arial Narrow" w:cs="Arial"/>
          <w:color w:val="000000"/>
          <w:kern w:val="0"/>
          <w:lang w:val="es-ES" w:eastAsia="es-ES"/>
          <w14:ligatures w14:val="none"/>
        </w:rPr>
        <w:t>26 de agosto de 2025</w:t>
      </w:r>
      <w:r w:rsidRPr="00C37620">
        <w:rPr>
          <w:rFonts w:ascii="Arial Narrow" w:eastAsia="Calibri" w:hAnsi="Arial Narrow" w:cs="Arial"/>
          <w:kern w:val="0"/>
          <w14:ligatures w14:val="none"/>
        </w:rPr>
        <w:t xml:space="preserve">, </w:t>
      </w:r>
      <w:r w:rsidRPr="00C37620">
        <w:rPr>
          <w:rFonts w:ascii="Arial Narrow" w:eastAsia="Arial Narrow" w:hAnsi="Arial Narrow" w:cs="Arial Narrow"/>
          <w:color w:val="000000"/>
          <w:kern w:val="0"/>
          <w:lang w:eastAsia="es-PE"/>
          <w14:ligatures w14:val="none"/>
        </w:rPr>
        <w:t>a</w:t>
      </w:r>
      <w:r w:rsidRPr="00C37620">
        <w:rPr>
          <w:rFonts w:ascii="Arial Narrow" w:eastAsia="Times New Roman" w:hAnsi="Arial Narrow" w:cs="Times New Roman"/>
          <w:color w:val="000000"/>
          <w:kern w:val="0"/>
          <w:shd w:val="clear" w:color="auto" w:fill="FFFFFF"/>
          <w:lang w:eastAsia="es-PE"/>
          <w14:ligatures w14:val="none"/>
        </w:rPr>
        <w:t xml:space="preserve"> </w:t>
      </w:r>
      <w:r w:rsidR="00CB4099" w:rsidRPr="00C37620">
        <w:rPr>
          <w:rFonts w:ascii="Arial Narrow" w:eastAsia="Times New Roman" w:hAnsi="Arial Narrow" w:cs="Times New Roman"/>
          <w:color w:val="000000"/>
          <w:kern w:val="0"/>
          <w:shd w:val="clear" w:color="auto" w:fill="FFFFFF"/>
          <w:lang w:eastAsia="es-PE"/>
          <w14:ligatures w14:val="none"/>
        </w:rPr>
        <w:t>Rímac</w:t>
      </w:r>
      <w:r w:rsidR="00CB4099" w:rsidRPr="00CB4099">
        <w:rPr>
          <w:rFonts w:ascii="Arial Narrow" w:eastAsia="Times New Roman" w:hAnsi="Arial Narrow" w:cs="Times New Roman"/>
          <w:color w:val="000000"/>
          <w:kern w:val="0"/>
          <w:shd w:val="clear" w:color="auto" w:fill="FFFFFF"/>
          <w:lang w:eastAsia="es-PE"/>
          <w14:ligatures w14:val="none"/>
        </w:rPr>
        <w:t xml:space="preserve"> Seguros y Reaseguros S.A.</w:t>
      </w:r>
      <w:r w:rsidRPr="00CB4099">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0C0B355"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22AF4" w:rsidRPr="00E22AF4">
        <w:rPr>
          <w:rFonts w:ascii="Arial Narrow" w:eastAsia="Times New Roman" w:hAnsi="Arial Narrow" w:cs="Arial"/>
          <w:color w:val="000000"/>
          <w:kern w:val="0"/>
          <w:lang w:val="es-ES" w:eastAsia="es-ES"/>
          <w14:ligatures w14:val="none"/>
        </w:rPr>
        <w:t>(i) presentar una copia completa, legible y debidamente suscrita de la Póliza 2101 – 1528717 del Seguro Vehicular, así como el cargo de remisión de la póliza; (ii) presentar los medios probatorios que acrediten que el rechazo fue justificado; y, (iii) presentar todas las comunicaciones cursadas con la parte denunciante; incluyendo la grabación de todas las llamadas telefónicas realizadas con el denunciante el 20 de junio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015B689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4E4025">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D1A411"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B52EF">
        <w:rPr>
          <w:rFonts w:ascii="Arial Narrow" w:hAnsi="Arial Narrow" w:cs="Arial"/>
          <w:bCs/>
          <w:spacing w:val="-3"/>
          <w:kern w:val="0"/>
          <w14:ligatures w14:val="none"/>
        </w:rPr>
        <w:t xml:space="preserve"/>
      </w:r>
      <w:r w:rsidR="00E06535" w:rsidRPr="004B52EF">
        <w:rPr>
          <w:rFonts w:ascii="Arial Narrow" w:eastAsia="Times New Roman" w:hAnsi="Arial Narrow" w:cs="Times New Roman"/>
          <w:color w:val="000000"/>
          <w:kern w:val="0"/>
          <w:shd w:val="clear" w:color="auto" w:fill="FFFFFF"/>
          <w:lang w:eastAsia="es-PE"/>
          <w14:ligatures w14:val="none"/>
        </w:rPr>
        <w:t/>
      </w:r>
      <w:r w:rsidR="00E06535" w:rsidRPr="00E06535">
        <w:rPr>
          <w:rFonts w:ascii="Arial Narrow" w:eastAsia="Times New Roman" w:hAnsi="Arial Narrow" w:cs="Times New Roman"/>
          <w:color w:val="000000"/>
          <w:kern w:val="0"/>
          <w:shd w:val="clear" w:color="auto" w:fill="FFFFFF"/>
          <w:lang w:eastAsia="es-PE"/>
          <w14:ligatures w14:val="none"/>
        </w:rPr>
        <w:t xml:space="preserve"/>
      </w:r>
      <w:r w:rsidR="00E06535">
        <w:rPr>
          <w:rFonts w:ascii="Arial Narrow" w:eastAsia="Times New Roman" w:hAnsi="Arial Narrow" w:cs="Times New Roman"/>
          <w:color w:val="000000"/>
          <w:kern w:val="0"/>
          <w:shd w:val="clear" w:color="auto" w:fill="FFFFFF"/>
          <w:lang w:eastAsia="es-PE"/>
          <w14:ligatures w14:val="none"/>
        </w:rPr>
        <w:t xml:space="preserve"/>
      </w:r>
      <w:r w:rsidR="007F3117">
        <w:rPr>
          <w:rFonts w:ascii="Arial Narrow" w:eastAsia="Times New Roman" w:hAnsi="Arial Narrow" w:cs="Times New Roman"/>
          <w:color w:val="000000"/>
          <w:kern w:val="0"/>
          <w:shd w:val="clear" w:color="auto" w:fill="FFFFFF"/>
          <w:lang w:eastAsia="es-PE"/>
          <w14:ligatures w14:val="none"/>
        </w:rPr>
        <w:t xml:space="preserve"/>
      </w:r>
      <w:r w:rsidR="004B52EF" w:rsidRPr="004B52EF">
        <w:rPr>
          <w:rFonts w:ascii="Arial Narrow" w:eastAsia="Times New Roman" w:hAnsi="Arial Narrow" w:cs="Times New Roman"/>
          <w:color w:val="000000"/>
          <w:kern w:val="0"/>
          <w:shd w:val="clear" w:color="auto" w:fill="FFFFFF"/>
          <w:lang w:eastAsia="es-PE"/>
          <w14:ligatures w14:val="none"/>
        </w:rPr>
        <w:t xml:space="preserve"/>
      </w:r>
      <w:r w:rsidR="004B52EF">
        <w:rPr>
          <w:rFonts w:ascii="Arial Narrow" w:eastAsia="Times New Roman" w:hAnsi="Arial Narrow" w:cs="Times New Roman"/>
          <w:color w:val="000000"/>
          <w:kern w:val="0"/>
          <w:shd w:val="clear" w:color="auto" w:fill="FFFFFF"/>
          <w:lang w:eastAsia="es-PE"/>
          <w14:ligatures w14:val="none"/>
        </w:rPr>
        <w:t/>
      </w:r>
      <w:r w:rsidR="004B52EF" w:rsidRPr="004B52EF">
        <w:rPr>
          <w:rFonts w:ascii="Arial Narrow" w:eastAsia="Times New Roman" w:hAnsi="Arial Narrow" w:cs="Times New Roman"/>
          <w:color w:val="000000"/>
          <w:kern w:val="0"/>
          <w:shd w:val="clear" w:color="auto" w:fill="FFFFFF"/>
          <w:lang w:eastAsia="es-PE"/>
          <w14:ligatures w14:val="none"/>
        </w:rPr>
        <w:t xml:space="preserve"/>
      </w:r>
      <w:r w:rsidRPr="004B52E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52D2D7BC" w:rsidR="001B5674" w:rsidRPr="00B64069" w:rsidRDefault="004404A9" w:rsidP="00B64069">
      <w:pPr>
        <w:spacing w:after="0" w:line="240" w:lineRule="auto"/>
        <w:jc w:val="both"/>
        <w:rPr>
          <w:rFonts w:ascii="Arial Narrow" w:hAnsi="Arial Narrow"/>
          <w:sz w:val="16"/>
          <w:szCs w:val="16"/>
        </w:rPr>
      </w:pPr>
      <w:r w:rsidRPr="004404A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B6406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9F75A" w14:textId="77777777" w:rsidR="00A42230" w:rsidRDefault="00A42230" w:rsidP="00DA79A0">
      <w:pPr>
        <w:spacing w:after="0" w:line="240" w:lineRule="auto"/>
      </w:pPr>
      <w:r>
        <w:separator/>
      </w:r>
    </w:p>
  </w:endnote>
  <w:endnote w:type="continuationSeparator" w:id="0">
    <w:p w14:paraId="3F365D00" w14:textId="77777777" w:rsidR="00A42230" w:rsidRDefault="00A4223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81C88" w14:textId="77777777" w:rsidR="00A42230" w:rsidRDefault="00A42230" w:rsidP="00DA79A0">
      <w:pPr>
        <w:spacing w:after="0" w:line="240" w:lineRule="auto"/>
      </w:pPr>
      <w:r>
        <w:separator/>
      </w:r>
    </w:p>
  </w:footnote>
  <w:footnote w:type="continuationSeparator" w:id="0">
    <w:p w14:paraId="770BD808" w14:textId="77777777" w:rsidR="00A42230" w:rsidRDefault="00A42230" w:rsidP="00DA79A0">
      <w:pPr>
        <w:spacing w:after="0" w:line="240" w:lineRule="auto"/>
      </w:pPr>
      <w:r>
        <w:continuationSeparator/>
      </w:r>
    </w:p>
  </w:footnote>
  <w:footnote w:id="1">
    <w:p w14:paraId="1A82CAE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t>Publicado</w:t>
      </w:r>
      <w:r w:rsidRPr="00382218">
        <w:rPr>
          <w:rFonts w:ascii="Arial Narrow" w:hAnsi="Arial Narrow" w:cs="Arial"/>
          <w:b/>
          <w:sz w:val="16"/>
          <w:szCs w:val="16"/>
        </w:rPr>
        <w:t xml:space="preserve"> </w:t>
      </w:r>
      <w:r w:rsidRPr="0038221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2">
    <w:p w14:paraId="05FCC0F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b/>
        <w:t>Artículo 105.- Autoridad competente.</w:t>
      </w:r>
    </w:p>
    <w:p w14:paraId="7C7DEEB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6A1CDC8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sz w:val="16"/>
          <w:szCs w:val="16"/>
        </w:rPr>
        <w:tab/>
      </w:r>
      <w:r w:rsidRPr="0038221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b/>
          <w:bCs/>
          <w:sz w:val="16"/>
          <w:szCs w:val="16"/>
        </w:rPr>
        <w:tab/>
        <w:t>Artículo 27.-</w:t>
      </w:r>
      <w:r w:rsidRPr="00382218">
        <w:rPr>
          <w:rFonts w:ascii="Arial Narrow" w:eastAsia="Arial Narrow" w:hAnsi="Arial Narrow" w:cs="Arial"/>
          <w:sz w:val="16"/>
          <w:szCs w:val="16"/>
        </w:rPr>
        <w:t xml:space="preserve"> De la Comisión de Protección al Consumidor.- </w:t>
      </w:r>
    </w:p>
    <w:p w14:paraId="5B348423"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82218" w:rsidRDefault="00CA59A2" w:rsidP="0038221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382218" w:rsidRDefault="00711750"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82218" w:rsidRDefault="00711750"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 xml:space="preserve">Artículo 18.- Idoneidad </w:t>
      </w:r>
    </w:p>
    <w:p w14:paraId="478C8B3B"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p>
    <w:p w14:paraId="2824A68C"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 xml:space="preserve">Artículo 19.- Obligación de los proveedores </w:t>
      </w:r>
    </w:p>
    <w:p w14:paraId="21160F25"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82218" w:rsidRDefault="00711750" w:rsidP="00382218">
      <w:pPr>
        <w:pStyle w:val="Textonotapie"/>
        <w:contextualSpacing/>
        <w:jc w:val="both"/>
        <w:rPr>
          <w:rFonts w:ascii="Arial Narrow" w:hAnsi="Arial Narrow"/>
          <w:sz w:val="16"/>
          <w:szCs w:val="16"/>
        </w:rPr>
      </w:pPr>
    </w:p>
  </w:footnote>
  <w:footnote w:id="4">
    <w:p w14:paraId="746D1BEE"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382218" w:rsidRDefault="00121544"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47.- Protección mínima del contrato de consumo</w:t>
      </w:r>
    </w:p>
    <w:p w14:paraId="4F3F10CD"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contratos de consumo se observa lo siguiente:</w:t>
      </w:r>
    </w:p>
    <w:p w14:paraId="417456FF"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14:paraId="273A5C44"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382218" w:rsidRDefault="00121544" w:rsidP="00382218">
      <w:pPr>
        <w:pStyle w:val="Textonotapie"/>
        <w:contextualSpacing/>
        <w:jc w:val="both"/>
        <w:rPr>
          <w:rFonts w:ascii="Arial Narrow" w:hAnsi="Arial Narrow"/>
          <w:sz w:val="16"/>
          <w:szCs w:val="16"/>
        </w:rPr>
      </w:pPr>
    </w:p>
  </w:footnote>
  <w:footnote w:id="5">
    <w:p w14:paraId="602E588B"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 Derechos de los consumidores</w:t>
      </w:r>
    </w:p>
    <w:p w14:paraId="5C5C4231" w14:textId="77777777" w:rsidR="00121544" w:rsidRPr="00382218" w:rsidRDefault="00121544"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 (…)</w:t>
      </w:r>
    </w:p>
    <w:p w14:paraId="5A644ACF" w14:textId="77777777" w:rsidR="00121544" w:rsidRPr="00382218" w:rsidRDefault="00121544" w:rsidP="00382218">
      <w:pPr>
        <w:pStyle w:val="Textonotapie"/>
        <w:tabs>
          <w:tab w:val="left" w:pos="567"/>
        </w:tabs>
        <w:ind w:left="570"/>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 xml:space="preserve">b. </w:t>
      </w:r>
      <w:r w:rsidRPr="0038221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387AF728"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2.- Información relevante</w:t>
      </w:r>
    </w:p>
    <w:p w14:paraId="2588E518"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82218">
        <w:rPr>
          <w:rFonts w:ascii="Arial Narrow" w:eastAsia="Arial Narrow" w:hAnsi="Arial Narrow" w:cs="Arial"/>
          <w:sz w:val="16"/>
          <w:szCs w:val="16"/>
        </w:rPr>
        <w:t xml:space="preserve">. </w:t>
      </w:r>
    </w:p>
    <w:p w14:paraId="6AD60276" w14:textId="77777777" w:rsidR="00121544" w:rsidRPr="00382218" w:rsidRDefault="00121544" w:rsidP="00382218">
      <w:pPr>
        <w:pStyle w:val="Textonotapie"/>
        <w:ind w:firstLine="567"/>
        <w:contextualSpacing/>
        <w:jc w:val="both"/>
        <w:rPr>
          <w:rFonts w:ascii="Arial Narrow" w:hAnsi="Arial Narrow"/>
          <w:sz w:val="16"/>
          <w:szCs w:val="16"/>
        </w:rPr>
      </w:pPr>
    </w:p>
  </w:footnote>
  <w:footnote w:id="6">
    <w:p w14:paraId="17A59CC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LEY SOBRE FACULTADES, NORMAS Y ORGANIZACIÓN DEL INDECOPI, APROBADA POR DECRETO LEGISLATIVO 807 Artículo 24.-</w:t>
      </w:r>
      <w:r w:rsidRPr="0038221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7B2AB9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9B4F71B"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 </w:t>
      </w:r>
    </w:p>
    <w:p w14:paraId="7E788299"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8">
    <w:p w14:paraId="12554D7B"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6D8A2F03" w14:textId="77777777" w:rsidR="00CA59A2" w:rsidRPr="00382218" w:rsidRDefault="00CA59A2" w:rsidP="00382218">
      <w:pPr>
        <w:pStyle w:val="Textonotapie"/>
        <w:ind w:left="567" w:hanging="567"/>
        <w:contextualSpacing/>
        <w:jc w:val="both"/>
        <w:rPr>
          <w:rFonts w:ascii="Arial Narrow" w:hAnsi="Arial Narrow" w:cs="Arial"/>
          <w:b/>
          <w:bCs/>
          <w:sz w:val="16"/>
          <w:szCs w:val="16"/>
        </w:rPr>
      </w:pPr>
      <w:r w:rsidRPr="00382218">
        <w:rPr>
          <w:rFonts w:ascii="Arial Narrow" w:hAnsi="Arial Narrow" w:cs="Arial"/>
          <w:sz w:val="16"/>
          <w:szCs w:val="16"/>
        </w:rPr>
        <w:tab/>
      </w:r>
      <w:r w:rsidRPr="00382218">
        <w:rPr>
          <w:rFonts w:ascii="Arial Narrow" w:hAnsi="Arial Narrow" w:cs="Arial"/>
          <w:b/>
          <w:bCs/>
          <w:sz w:val="16"/>
          <w:szCs w:val="16"/>
        </w:rPr>
        <w:t>Artículo 110.- Sanciones Administrativas</w:t>
      </w:r>
    </w:p>
    <w:p w14:paraId="693A834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04CBC22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3B6754D8" w14:textId="77777777" w:rsidR="00CA59A2" w:rsidRPr="00382218" w:rsidRDefault="00CA59A2" w:rsidP="00382218">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vertAlign w:val="superscript"/>
        </w:rPr>
        <w:t xml:space="preserve"> </w:t>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4BC9BF8D" w14:textId="77777777" w:rsidR="00CA59A2" w:rsidRPr="00382218" w:rsidRDefault="00CA59A2" w:rsidP="00382218">
      <w:pPr>
        <w:spacing w:after="0" w:line="240" w:lineRule="auto"/>
        <w:ind w:left="567" w:hanging="567"/>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110.- Sanciones administrativas</w:t>
      </w:r>
    </w:p>
    <w:p w14:paraId="15C6524D"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leves, con una amonestación o con una multa de hasta cincuenta (50) UIT.</w:t>
      </w:r>
    </w:p>
    <w:p w14:paraId="3EC7469A"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graves, con una multa de hasta ciento cincuenta (150) UIT.</w:t>
      </w:r>
    </w:p>
    <w:p w14:paraId="7DEC6213"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muy graves, con una multa de hasta cuatrocientos cincuenta (450) UIT.</w:t>
      </w:r>
    </w:p>
    <w:p w14:paraId="707B74D3"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w:t>
      </w:r>
    </w:p>
    <w:p w14:paraId="263D58CD" w14:textId="77777777" w:rsidR="00382218" w:rsidRPr="00382218" w:rsidRDefault="00382218" w:rsidP="00382218">
      <w:pPr>
        <w:spacing w:after="0" w:line="240" w:lineRule="auto"/>
        <w:ind w:left="567"/>
        <w:contextualSpacing/>
        <w:jc w:val="both"/>
        <w:rPr>
          <w:rFonts w:ascii="Arial Narrow" w:eastAsia="Arial Narrow" w:hAnsi="Arial Narrow" w:cs="Arial"/>
          <w:sz w:val="16"/>
          <w:szCs w:val="16"/>
        </w:rPr>
      </w:pPr>
    </w:p>
  </w:footnote>
  <w:footnote w:id="10">
    <w:p w14:paraId="4B3DC1A8"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Artículo 114.- Medidas correctivas</w:t>
      </w:r>
    </w:p>
    <w:p w14:paraId="1B3B1F61"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Las medidas correctivas complementarias pueden dictarse de oficio o a pedido de parte.</w:t>
      </w:r>
    </w:p>
    <w:p w14:paraId="51455ACA"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p>
    <w:p w14:paraId="6CB8D69D"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Fonts w:ascii="Arial Narrow" w:eastAsia="Arial Narrow" w:hAnsi="Arial Narrow" w:cs="Arial"/>
          <w:b/>
          <w:sz w:val="16"/>
          <w:szCs w:val="16"/>
        </w:rPr>
        <w:tab/>
        <w:t>Artículo 115.- Medidas correctivas reparadoras</w:t>
      </w:r>
    </w:p>
    <w:p w14:paraId="0A0E4012" w14:textId="77777777" w:rsidR="00CA59A2" w:rsidRPr="00382218" w:rsidRDefault="00CA59A2" w:rsidP="00382218">
      <w:pPr>
        <w:spacing w:after="0" w:line="240" w:lineRule="auto"/>
        <w:ind w:left="567" w:hanging="283"/>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Reparar productos.</w:t>
      </w:r>
    </w:p>
    <w:p w14:paraId="64B5280D"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otras prestaciones u obligaciones legales o convencionales a su cargo.</w:t>
      </w:r>
    </w:p>
    <w:p w14:paraId="385F165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Pagar los gastos incurridos por el consumidor para mitigar las consecuencias de la infracción administrativa.</w:t>
      </w:r>
    </w:p>
    <w:p w14:paraId="130D0A42"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Otras medidas reparadoras análogas de efectos equivalentes a las anteriores.</w:t>
      </w:r>
    </w:p>
    <w:p w14:paraId="764F3361" w14:textId="77777777" w:rsidR="00CA59A2" w:rsidRPr="00382218" w:rsidRDefault="00CA59A2" w:rsidP="00382218">
      <w:pPr>
        <w:pStyle w:val="Sinespaciado"/>
        <w:ind w:left="567"/>
        <w:contextualSpacing/>
        <w:jc w:val="both"/>
        <w:rPr>
          <w:rFonts w:ascii="Arial Narrow" w:hAnsi="Arial Narrow" w:cs="Arial"/>
          <w:sz w:val="16"/>
          <w:szCs w:val="16"/>
        </w:rPr>
      </w:pPr>
      <w:r w:rsidRPr="0038221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p w14:paraId="579B3C0E" w14:textId="77777777" w:rsidR="00CA59A2" w:rsidRPr="00382218" w:rsidRDefault="00CA59A2" w:rsidP="00382218">
      <w:pPr>
        <w:spacing w:after="0" w:line="240" w:lineRule="auto"/>
        <w:ind w:left="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116.- Medidas correctivas complementarias</w:t>
      </w:r>
    </w:p>
    <w:p w14:paraId="795BD0E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d. En caso de infracciones muy graves y de reincidencia o reiterancia: </w:t>
      </w:r>
    </w:p>
    <w:p w14:paraId="700F1C7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382218" w:rsidRDefault="00CA59A2" w:rsidP="00382218">
      <w:pPr>
        <w:pStyle w:val="Textonotapie"/>
        <w:tabs>
          <w:tab w:val="left" w:pos="567"/>
        </w:tabs>
        <w:ind w:left="567" w:hanging="567"/>
        <w:contextualSpacing/>
        <w:jc w:val="both"/>
        <w:rPr>
          <w:rFonts w:ascii="Arial Narrow" w:hAnsi="Arial Narrow" w:cs="Arial"/>
          <w:b/>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6927EAA2" w14:textId="77777777" w:rsidR="00CA59A2" w:rsidRPr="00382218" w:rsidRDefault="00CA59A2" w:rsidP="00382218">
      <w:pPr>
        <w:pStyle w:val="Textonotapie"/>
        <w:tabs>
          <w:tab w:val="left" w:pos="567"/>
        </w:tabs>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112.- Criterios de graduación de las sanciones administrativas</w:t>
      </w:r>
    </w:p>
    <w:p w14:paraId="3B612D08"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1A09602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Se consideran circunstancias atenuantes especiales, las siguientes:</w:t>
      </w:r>
    </w:p>
    <w:p w14:paraId="74B98BC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D336D0B" w14:textId="77777777" w:rsidR="00CA59A2" w:rsidRPr="00382218" w:rsidRDefault="00CA59A2"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82218" w:rsidRDefault="00CA59A2" w:rsidP="00382218">
      <w:pPr>
        <w:pStyle w:val="Textonotapie"/>
        <w:contextualSpacing/>
        <w:jc w:val="both"/>
        <w:rPr>
          <w:rFonts w:ascii="Arial Narrow" w:hAnsi="Arial Narrow" w:cs="Arial"/>
          <w:sz w:val="16"/>
          <w:szCs w:val="16"/>
        </w:rPr>
      </w:pPr>
    </w:p>
  </w:footnote>
  <w:footnote w:id="12">
    <w:p w14:paraId="3836DFB3" w14:textId="77777777" w:rsidR="00CA59A2" w:rsidRPr="00382218" w:rsidRDefault="00CA59A2" w:rsidP="0038221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82218">
        <w:rPr>
          <w:rStyle w:val="Refdenotaalpie"/>
          <w:rFonts w:ascii="Arial Narrow" w:hAnsi="Arial Narrow" w:cs="Arial"/>
          <w:b/>
          <w:bCs/>
          <w:sz w:val="16"/>
          <w:szCs w:val="16"/>
          <w:vertAlign w:val="superscript"/>
        </w:rPr>
        <w:footnoteRef/>
      </w:r>
      <w:r w:rsidRPr="00382218">
        <w:rPr>
          <w:rFonts w:ascii="Arial Narrow" w:hAnsi="Arial Narrow" w:cs="Arial"/>
          <w:b/>
          <w:bCs/>
          <w:sz w:val="16"/>
          <w:szCs w:val="16"/>
        </w:rPr>
        <w:t xml:space="preserve"> </w:t>
      </w:r>
      <w:r w:rsidRPr="0038221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82218" w:rsidRDefault="00CA59A2" w:rsidP="00382218">
      <w:pPr>
        <w:pStyle w:val="NormalWeb"/>
        <w:spacing w:after="0" w:line="240" w:lineRule="auto"/>
        <w:ind w:left="567"/>
        <w:contextualSpacing/>
        <w:jc w:val="both"/>
        <w:rPr>
          <w:rFonts w:ascii="Arial Narrow" w:hAnsi="Arial Narrow" w:cs="Arial"/>
          <w:bCs/>
          <w:sz w:val="16"/>
          <w:szCs w:val="16"/>
        </w:rPr>
      </w:pPr>
      <w:r w:rsidRPr="00382218">
        <w:rPr>
          <w:rFonts w:ascii="Arial Narrow" w:hAnsi="Arial Narrow" w:cs="Arial"/>
          <w:b/>
          <w:sz w:val="16"/>
          <w:szCs w:val="16"/>
        </w:rPr>
        <w:t xml:space="preserve">Artículo 29.- </w:t>
      </w:r>
      <w:r w:rsidRPr="0038221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82218" w:rsidRDefault="00CA59A2" w:rsidP="00382218">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82218" w:rsidRDefault="00CA59A2" w:rsidP="00382218">
      <w:pPr>
        <w:pStyle w:val="Textonotapie"/>
        <w:ind w:left="1134" w:hanging="567"/>
        <w:contextualSpacing/>
        <w:jc w:val="both"/>
        <w:rPr>
          <w:rFonts w:ascii="Arial Narrow" w:hAnsi="Arial Narrow" w:cs="Arial"/>
          <w:b/>
          <w:bCs/>
          <w:sz w:val="16"/>
          <w:szCs w:val="16"/>
        </w:rPr>
      </w:pPr>
      <w:r w:rsidRPr="00382218">
        <w:rPr>
          <w:rFonts w:ascii="Arial Narrow" w:hAnsi="Arial Narrow" w:cs="Arial"/>
          <w:b/>
          <w:bCs/>
          <w:sz w:val="16"/>
          <w:szCs w:val="16"/>
        </w:rPr>
        <w:t>Artículo 20.- Modalidades de notificación</w:t>
      </w:r>
    </w:p>
    <w:p w14:paraId="23580398" w14:textId="77777777" w:rsidR="00CA59A2" w:rsidRPr="00382218" w:rsidRDefault="00CA59A2" w:rsidP="00382218">
      <w:pPr>
        <w:pStyle w:val="Textonotapie"/>
        <w:ind w:left="1134" w:hanging="567"/>
        <w:contextualSpacing/>
        <w:jc w:val="both"/>
        <w:rPr>
          <w:rFonts w:ascii="Arial Narrow" w:hAnsi="Arial Narrow" w:cs="Arial"/>
          <w:sz w:val="16"/>
          <w:szCs w:val="16"/>
        </w:rPr>
      </w:pPr>
      <w:r w:rsidRPr="00382218">
        <w:rPr>
          <w:rFonts w:ascii="Arial Narrow" w:hAnsi="Arial Narrow" w:cs="Arial"/>
          <w:sz w:val="16"/>
          <w:szCs w:val="16"/>
        </w:rPr>
        <w:t xml:space="preserve">20.4. </w:t>
      </w:r>
      <w:r w:rsidRPr="0038221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82218" w:rsidRDefault="00CA59A2" w:rsidP="00382218">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76C"/>
    <w:rsid w:val="0008134D"/>
    <w:rsid w:val="000A2C5A"/>
    <w:rsid w:val="000C03E0"/>
    <w:rsid w:val="000C7328"/>
    <w:rsid w:val="000D0811"/>
    <w:rsid w:val="000F475A"/>
    <w:rsid w:val="00121544"/>
    <w:rsid w:val="00126B4B"/>
    <w:rsid w:val="00142ADF"/>
    <w:rsid w:val="00143E6D"/>
    <w:rsid w:val="00146AD4"/>
    <w:rsid w:val="0014737E"/>
    <w:rsid w:val="001A516E"/>
    <w:rsid w:val="001B5674"/>
    <w:rsid w:val="001B6FB2"/>
    <w:rsid w:val="001C2836"/>
    <w:rsid w:val="001D3F79"/>
    <w:rsid w:val="002215FC"/>
    <w:rsid w:val="0023481C"/>
    <w:rsid w:val="002731BC"/>
    <w:rsid w:val="00290C55"/>
    <w:rsid w:val="00293AAB"/>
    <w:rsid w:val="002B0771"/>
    <w:rsid w:val="002B2DF7"/>
    <w:rsid w:val="002C1A8C"/>
    <w:rsid w:val="002C7786"/>
    <w:rsid w:val="002D179D"/>
    <w:rsid w:val="003748FB"/>
    <w:rsid w:val="00382218"/>
    <w:rsid w:val="004404A9"/>
    <w:rsid w:val="004720D1"/>
    <w:rsid w:val="004B52EF"/>
    <w:rsid w:val="004E4025"/>
    <w:rsid w:val="004E703E"/>
    <w:rsid w:val="004F788A"/>
    <w:rsid w:val="005301F9"/>
    <w:rsid w:val="00541E94"/>
    <w:rsid w:val="0058044E"/>
    <w:rsid w:val="005D7A26"/>
    <w:rsid w:val="005E14AD"/>
    <w:rsid w:val="006116D7"/>
    <w:rsid w:val="00623FE7"/>
    <w:rsid w:val="00626395"/>
    <w:rsid w:val="00626981"/>
    <w:rsid w:val="006A01AB"/>
    <w:rsid w:val="006C27B6"/>
    <w:rsid w:val="00711750"/>
    <w:rsid w:val="007578C0"/>
    <w:rsid w:val="0079533D"/>
    <w:rsid w:val="007A2C20"/>
    <w:rsid w:val="007E4066"/>
    <w:rsid w:val="007F3117"/>
    <w:rsid w:val="0083186C"/>
    <w:rsid w:val="008377DA"/>
    <w:rsid w:val="00843A3F"/>
    <w:rsid w:val="00880553"/>
    <w:rsid w:val="008834B0"/>
    <w:rsid w:val="0088748C"/>
    <w:rsid w:val="00890B1F"/>
    <w:rsid w:val="0089579A"/>
    <w:rsid w:val="008E23B5"/>
    <w:rsid w:val="008E746F"/>
    <w:rsid w:val="009437E9"/>
    <w:rsid w:val="00987623"/>
    <w:rsid w:val="00996DC2"/>
    <w:rsid w:val="009B720C"/>
    <w:rsid w:val="009D1C6E"/>
    <w:rsid w:val="009D2900"/>
    <w:rsid w:val="009D7D45"/>
    <w:rsid w:val="00A03ECB"/>
    <w:rsid w:val="00A2182B"/>
    <w:rsid w:val="00A37879"/>
    <w:rsid w:val="00A42230"/>
    <w:rsid w:val="00A84194"/>
    <w:rsid w:val="00A87B9B"/>
    <w:rsid w:val="00AA1996"/>
    <w:rsid w:val="00AC634C"/>
    <w:rsid w:val="00AE2D20"/>
    <w:rsid w:val="00AE7F8A"/>
    <w:rsid w:val="00B64069"/>
    <w:rsid w:val="00B906B1"/>
    <w:rsid w:val="00B91E42"/>
    <w:rsid w:val="00B976BD"/>
    <w:rsid w:val="00BA0BDB"/>
    <w:rsid w:val="00BC52DE"/>
    <w:rsid w:val="00BD08A4"/>
    <w:rsid w:val="00BD2086"/>
    <w:rsid w:val="00BD7737"/>
    <w:rsid w:val="00BF6AB9"/>
    <w:rsid w:val="00C06218"/>
    <w:rsid w:val="00C37620"/>
    <w:rsid w:val="00C56FC4"/>
    <w:rsid w:val="00C57390"/>
    <w:rsid w:val="00CA59A2"/>
    <w:rsid w:val="00CB4099"/>
    <w:rsid w:val="00CD0C8E"/>
    <w:rsid w:val="00CD62B5"/>
    <w:rsid w:val="00D566D2"/>
    <w:rsid w:val="00DA02A5"/>
    <w:rsid w:val="00DA79A0"/>
    <w:rsid w:val="00DB6197"/>
    <w:rsid w:val="00E06535"/>
    <w:rsid w:val="00E1132E"/>
    <w:rsid w:val="00E22AF4"/>
    <w:rsid w:val="00E6140E"/>
    <w:rsid w:val="00E916B9"/>
    <w:rsid w:val="00EA399A"/>
    <w:rsid w:val="00ED4B2D"/>
    <w:rsid w:val="00EE3204"/>
    <w:rsid w:val="00F363A5"/>
    <w:rsid w:val="00F450E0"/>
    <w:rsid w:val="00FA3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377DA"/>
    <w:rPr>
      <w:sz w:val="16"/>
      <w:szCs w:val="16"/>
    </w:rPr>
  </w:style>
  <w:style w:type="paragraph" w:styleId="Textocomentario">
    <w:name w:val="annotation text"/>
    <w:basedOn w:val="Normal"/>
    <w:link w:val="TextocomentarioCar"/>
    <w:uiPriority w:val="99"/>
    <w:unhideWhenUsed/>
    <w:rsid w:val="008377DA"/>
    <w:pPr>
      <w:spacing w:line="240" w:lineRule="auto"/>
    </w:pPr>
    <w:rPr>
      <w:sz w:val="20"/>
      <w:szCs w:val="20"/>
    </w:rPr>
  </w:style>
  <w:style w:type="character" w:customStyle="1" w:styleId="TextocomentarioCar">
    <w:name w:val="Texto comentario Car"/>
    <w:basedOn w:val="Fuentedeprrafopredeter"/>
    <w:link w:val="Textocomentario"/>
    <w:uiPriority w:val="99"/>
    <w:rsid w:val="008377DA"/>
    <w:rPr>
      <w:sz w:val="20"/>
      <w:szCs w:val="20"/>
    </w:rPr>
  </w:style>
  <w:style w:type="paragraph" w:styleId="Asuntodelcomentario">
    <w:name w:val="annotation subject"/>
    <w:basedOn w:val="Textocomentario"/>
    <w:next w:val="Textocomentario"/>
    <w:link w:val="AsuntodelcomentarioCar"/>
    <w:uiPriority w:val="99"/>
    <w:semiHidden/>
    <w:unhideWhenUsed/>
    <w:rsid w:val="008377DA"/>
    <w:rPr>
      <w:b/>
      <w:bCs/>
    </w:rPr>
  </w:style>
  <w:style w:type="character" w:customStyle="1" w:styleId="AsuntodelcomentarioCar">
    <w:name w:val="Asunto del comentario Car"/>
    <w:basedOn w:val="TextocomentarioCar"/>
    <w:link w:val="Asuntodelcomentario"/>
    <w:uiPriority w:val="99"/>
    <w:semiHidden/>
    <w:rsid w:val="008377D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2042</Words>
  <Characters>11233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