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BAECF" w14: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Times New Roman" w:hAnsi="Arial Narrow" w:cs="Times New Roman"/>
          <w:b/>
          <w:bCs/>
          <w:color w:val="000000"/>
          <w:kern w:val="0"/>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1029A0">
        <w:rPr>
          <w:rFonts w:ascii="Arial Narrow" w:eastAsia="Arial Narrow" w:hAnsi="Arial Narrow" w:cs="Arial Narrow"/>
          <w:b/>
          <w:color w:val="000000"/>
          <w:kern w:val="0"/>
          <w:lang w:eastAsia="es-PE"/>
          <w14:ligatures w14:val="none"/>
        </w:rPr>
        <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B129D">
        <w:rPr>
          <w:rFonts w:ascii="Arial Narrow" w:eastAsia="Arial Narrow" w:hAnsi="Arial Narrow" w:cs="Arial Narrow"/>
          <w:b/>
          <w:color w:val="000000"/>
          <w:kern w:val="0"/>
          <w:lang w:eastAsia="es-PE"/>
          <w14:ligatures w14:val="none"/>
        </w:rPr>
        <w:t>MAPFRE PER</w:t>
      </w:r>
      <w:r>
        <w:rPr>
          <w:rFonts w:ascii="Arial Narrow" w:eastAsia="Arial Narrow" w:hAnsi="Arial Narrow" w:cs="Arial Narrow"/>
          <w:b/>
          <w:color w:val="000000"/>
          <w:kern w:val="0"/>
          <w:lang w:eastAsia="es-PE"/>
          <w14:ligatures w14:val="none"/>
        </w:rPr>
        <w:t>Ú</w:t>
      </w:r>
      <w:r w:rsidRPr="007B129D">
        <w:rPr>
          <w:rFonts w:ascii="Arial Narrow" w:eastAsia="Arial Narrow" w:hAnsi="Arial Narrow" w:cs="Arial Narrow"/>
          <w:b/>
          <w:color w:val="000000"/>
          <w:kern w:val="0"/>
          <w:lang w:eastAsia="es-PE"/>
          <w14:ligatures w14:val="none"/>
        </w:rPr>
        <w:t xml:space="preserve"> COMPAÑ</w:t>
      </w:r>
      <w:r>
        <w:rPr>
          <w:rFonts w:ascii="Arial Narrow" w:eastAsia="Arial Narrow" w:hAnsi="Arial Narrow" w:cs="Arial Narrow"/>
          <w:b/>
          <w:color w:val="000000"/>
          <w:kern w:val="0"/>
          <w:lang w:eastAsia="es-PE"/>
          <w14:ligatures w14:val="none"/>
        </w:rPr>
        <w:t>Í</w:t>
      </w:r>
      <w:r w:rsidRPr="007B129D">
        <w:rPr>
          <w:rFonts w:ascii="Arial Narrow" w:eastAsia="Arial Narrow" w:hAnsi="Arial Narrow" w:cs="Arial Narrow"/>
          <w:b/>
          <w:color w:val="000000"/>
          <w:kern w:val="0"/>
          <w:lang w:eastAsia="es-PE"/>
          <w14:ligatures w14:val="none"/>
        </w:rPr>
        <w:t>A DE SEGUROS Y REASEGUROS S.A.</w:t>
      </w:r>
      <w:r>
        <w:rPr>
          <w:rFonts w:ascii="Arial Narrow" w:eastAsia="Arial Narrow" w:hAnsi="Arial Narrow" w:cs="Arial Narrow"/>
          <w:b/>
          <w:color w:val="000000"/>
          <w:kern w:val="0"/>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6107">
        <w:rPr>
          <w:rFonts w:ascii="Arial Narrow" w:eastAsia="Times New Roman" w:hAnsi="Arial Narrow" w:cs="Times New Roman"/>
          <w:color w:val="000000"/>
          <w:kern w:val="0"/>
          <w:shd w:val="clear" w:color="auto" w:fill="FFFFFF"/>
          <w:lang w:eastAsia="es-PE"/>
          <w14:ligatures w14:val="none"/>
        </w:rPr>
        <w:t>11</w:t>
      </w:r>
      <w:r w:rsidRPr="007B129D">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0C8E50FB"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D6F7A">
        <w:rPr>
          <w:rFonts w:ascii="Arial Narrow" w:eastAsia="Times New Roman" w:hAnsi="Arial Narrow" w:cs="Arial"/>
          <w:color w:val="000000"/>
          <w:kern w:val="0"/>
          <w:lang w:val="es-ES" w:eastAsia="es-ES"/>
          <w14:ligatures w14:val="none"/>
        </w:rPr>
        <w:t xml:space="preserve">Mediante el escrito del 4 de junio de 2025 la señora [APELLIDO] denunció a Mapfre por presuntas infracciones a la Ley 29571, Código de Protección y Defensa del Consumidor (en adelante, Código), señalando lo siguiente:</w:t>
      </w:r>
      <w:r w:rsidRPr="00CD6F7A">
        <w:rPr>
          <w:rFonts w:ascii="Arial Narrow" w:eastAsia="Calibri" w:hAnsi="Arial Narrow" w:cs="Arial"/>
          <w:kern w:val="0"/>
          <w14:ligatures w14:val="none"/>
        </w:rPr>
        <w:t xml:space="preserve"/>
      </w:r>
      <w:r w:rsidRPr="00CD6F7A">
        <w:rPr>
          <w:rFonts w:ascii="Arial Narrow" w:eastAsia="Times New Roman" w:hAnsi="Arial Narrow" w:cs="Arial"/>
          <w:color w:val="000000"/>
          <w:kern w:val="0"/>
          <w:lang w:val="es-ES" w:eastAsia="es-ES"/>
          <w14:ligatures w14:val="none"/>
        </w:rPr>
        <w:t xml:space="preserve"/>
      </w:r>
      <w:r w:rsidRPr="00C3753D">
        <w:rPr>
          <w:rFonts w:ascii="Arial Narrow" w:eastAsia="Times New Roman" w:hAnsi="Arial Narrow" w:cs="Arial"/>
          <w:color w:val="000000"/>
          <w:kern w:val="0"/>
          <w:lang w:val="es-ES" w:eastAsia="es-ES"/>
          <w14:ligatures w14:val="none"/>
        </w:rPr>
        <w:t/>
      </w:r>
      <w:r w:rsidRPr="00C3753D">
        <w:rPr>
          <w:rStyle w:val="Refdenotaalpie"/>
          <w:rFonts w:ascii="Arial Narrow" w:eastAsia="Times New Roman" w:hAnsi="Arial Narrow" w:cs="Times New Roman"/>
          <w:color w:val="000000"/>
          <w:kern w:val="0"/>
          <w:vertAlign w:val="superscript"/>
          <w:lang w:val="es-ES" w:eastAsia="es-ES"/>
          <w14:ligatures w14:val="none"/>
        </w:rPr>
        <w:footnoteReference w:id="1"/>
      </w:r>
      <w:r w:rsidRPr="00C3753D">
        <w:rPr>
          <w:rFonts w:ascii="Arial Narrow" w:eastAsia="Times New Roman" w:hAnsi="Arial Narrow" w:cs="Arial"/>
          <w:color w:val="000000"/>
          <w:kern w:val="0"/>
          <w:lang w:val="es-ES" w:eastAsia="es-ES"/>
          <w14:ligatures w14:val="none"/>
        </w:rPr>
        <w:t xml:space="preserve"/>
      </w:r>
      <w:r w:rsidRPr="00C3753D">
        <w:rPr>
          <w:rFonts w:ascii="Arial Narrow" w:eastAsia="Times New Roman" w:hAnsi="Arial Narrow" w:cs="Arial"/>
          <w:bCs/>
          <w:color w:val="000000"/>
          <w:kern w:val="0"/>
          <w:lang w:val="es-ES" w:eastAsia="es-ES"/>
          <w14:ligatures w14:val="none"/>
        </w:rPr>
        <w:t/>
      </w:r>
    </w:p>
    <w:p w14:paraId="27C9B729"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Explosivos S.A.C. (en adelante,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y su cónyuge Omar Walter </w:t>
      </w:r>
      <w:proofErr w:type="spellStart"/>
      <w:r w:rsidRPr="00C3753D">
        <w:rPr>
          <w:rFonts w:ascii="Arial Narrow" w:eastAsia="Times New Roman" w:hAnsi="Arial Narrow" w:cs="Arial"/>
          <w:color w:val="000000"/>
          <w:kern w:val="0"/>
          <w:lang w:eastAsia="es-ES"/>
          <w14:ligatures w14:val="none"/>
        </w:rPr>
        <w:t>Jesusi</w:t>
      </w:r>
      <w:proofErr w:type="spellEnd"/>
      <w:r w:rsidRPr="00C3753D">
        <w:rPr>
          <w:rFonts w:ascii="Arial Narrow" w:eastAsia="Times New Roman" w:hAnsi="Arial Narrow" w:cs="Arial"/>
          <w:color w:val="000000"/>
          <w:kern w:val="0"/>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w14:ligatures w14:val="none"/>
        </w:rPr>
        <w:t>Megapuerto</w:t>
      </w:r>
      <w:proofErr w:type="spellEnd"/>
      <w:r w:rsidRPr="00C3753D">
        <w:rPr>
          <w:rFonts w:ascii="Arial Narrow" w:eastAsia="Times New Roman" w:hAnsi="Arial Narrow" w:cs="Arial"/>
          <w:color w:val="000000"/>
          <w:kern w:val="0"/>
          <w:lang w:eastAsia="es-ES"/>
          <w14:ligatures w14:val="none"/>
        </w:rPr>
        <w:t xml:space="preserve"> de Chancay, mientras trabajaba para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Times New Roman" w:hAnsi="Arial Narrow" w:cs="Arial"/>
          <w:color w:val="000000"/>
          <w:kern w:val="0"/>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Posteriormente, se comunicó con </w:t>
      </w:r>
      <w:r w:rsidRPr="00C3753D">
        <w:rPr>
          <w:rFonts w:ascii="Arial Narrow" w:eastAsia="Times New Roman" w:hAnsi="Arial Narrow" w:cs="Arial"/>
          <w:color w:val="000000"/>
          <w:kern w:val="0"/>
          <w:lang w:val="es-ES" w:eastAsia="es-ES"/>
          <w14:ligatures w14:val="none"/>
        </w:rPr>
        <w:t>Mapfre</w:t>
      </w:r>
      <w:r w:rsidRPr="00C3753D">
        <w:rPr>
          <w:rFonts w:ascii="Arial Narrow" w:eastAsia="Times New Roman" w:hAnsi="Arial Narrow" w:cs="Arial"/>
          <w:color w:val="000000"/>
          <w:kern w:val="0"/>
          <w:lang w:eastAsia="es-ES"/>
          <w14:ligatures w14: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w14:ligatures w14:val="none"/>
        </w:rPr>
        <w:t xml:space="preserve"> (en adelante, SCTR)</w:t>
      </w:r>
      <w:r w:rsidRPr="00C3753D">
        <w:rPr>
          <w:rFonts w:ascii="Arial Narrow" w:eastAsia="Times New Roman" w:hAnsi="Arial Narrow" w:cs="Arial"/>
          <w:color w:val="000000"/>
          <w:kern w:val="0"/>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w14:ligatures w14:val="none"/>
        </w:rPr>
        <w:t>conclusiones finales</w:t>
      </w:r>
      <w:proofErr w:type="gramEnd"/>
      <w:r w:rsidRPr="00C3753D">
        <w:rPr>
          <w:rFonts w:ascii="Arial Narrow" w:eastAsia="Times New Roman" w:hAnsi="Arial Narrow" w:cs="Arial"/>
          <w:color w:val="000000"/>
          <w:kern w:val="0"/>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noviembre de 2024,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emitió el informe final de investigación del accidente, en el que se describe que el fallecimiento </w:t>
      </w:r>
      <w:r>
        <w:rPr>
          <w:rFonts w:ascii="Arial Narrow" w:eastAsia="Times New Roman" w:hAnsi="Arial Narrow" w:cs="Arial"/>
          <w:color w:val="000000"/>
          <w:kern w:val="0"/>
          <w:lang w:eastAsia="es-ES"/>
          <w14:ligatures w14:val="none"/>
        </w:rPr>
        <w:t xml:space="preserve">de su cónyuge </w:t>
      </w:r>
      <w:r w:rsidRPr="00C3753D">
        <w:rPr>
          <w:rFonts w:ascii="Arial Narrow" w:eastAsia="Times New Roman" w:hAnsi="Arial Narrow" w:cs="Arial"/>
          <w:color w:val="000000"/>
          <w:kern w:val="0"/>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w14:ligatures w14:val="none"/>
        </w:rPr>
        <w:t>SCTR</w:t>
      </w:r>
      <w:r w:rsidRPr="00017644">
        <w:rPr>
          <w:rFonts w:ascii="Arial Narrow" w:eastAsia="Times New Roman" w:hAnsi="Arial Narrow" w:cs="Arial"/>
          <w:color w:val="000000"/>
          <w:kern w:val="0"/>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753D">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Calibri" w:hAnsi="Arial Narrow" w:cs="Arial"/>
          <w:kern w:val="0"/>
          <w14:ligatures w14:val="none"/>
        </w:rPr>
        <w:t xml:space="preserve"/>
      </w:r>
      <w:r w:rsidRPr="00C3753D">
        <w:rPr>
          <w:rFonts w:ascii="Arial Narrow" w:eastAsia="Times New Roman" w:hAnsi="Arial Narrow" w:cs="Arial"/>
          <w:color w:val="000000"/>
          <w:kern w:val="0"/>
          <w:lang w:val="es-ES" w:eastAsia="es-ES"/>
          <w14:ligatures w14:val="none"/>
        </w:rPr>
        <w:t xml:space="preserve"/>
      </w:r>
      <w:r w:rsidR="0092454A">
        <w:rPr>
          <w:rFonts w:ascii="Arial Narrow" w:eastAsia="Times New Roman" w:hAnsi="Arial Narrow" w:cs="Arial"/>
          <w:color w:val="000000"/>
          <w:kern w:val="0"/>
          <w:lang w:eastAsia="es-ES"/>
          <w14:ligatures w14:val="none"/>
        </w:rPr>
        <w:t/>
      </w:r>
      <w:r w:rsidRPr="00C3753D">
        <w:rPr>
          <w:rFonts w:ascii="Arial Narrow" w:eastAsia="Times New Roman" w:hAnsi="Arial Narrow" w:cs="Arial"/>
          <w:color w:val="000000"/>
          <w:kern w:val="0"/>
          <w:lang w:val="es-ES" w:eastAsia="es-ES"/>
          <w14:ligatures w14:val="none"/>
        </w:rPr>
        <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y 19</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del Código</w:t>
      </w:r>
      <w:r w:rsidRPr="000F1354">
        <w:rPr>
          <w:rStyle w:val="Refdenotaalpie"/>
          <w:rFonts w:ascii="Arial Narrow" w:eastAsia="Arial Narrow" w:hAnsi="Arial Narrow" w:cs="Arial"/>
          <w:kern w:val="0"/>
          <w:vertAlign w:val="superscript"/>
          <w14:ligatures w14:val="none"/>
        </w:rPr>
        <w:footnoteReference w:id="3"/>
      </w:r>
      <w:r w:rsidRPr="000F1354">
        <w:rPr>
          <w:rFonts w:ascii="Arial Narrow" w:eastAsia="Arial Narrow" w:hAnsi="Arial Narrow" w:cs="Arial Narrow"/>
          <w:kern w:val="0"/>
          <w14:ligatures w14:val="none"/>
        </w:rPr>
        <w:t>.</w:t>
      </w:r>
    </w:p>
    <w:p w14:paraId="2A955B63" w14: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35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C696F3F" w14: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w14:ligatures w14: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w14:ligatures w14:val="none"/>
        </w:rPr>
        <w:t>ii</w:t>
      </w:r>
      <w:proofErr w:type="spellEnd"/>
      <w:r w:rsidR="00AB2C64" w:rsidRPr="00AB2C64">
        <w:rPr>
          <w:rFonts w:ascii="Arial Narrow" w:eastAsia="Times New Roman" w:hAnsi="Arial Narrow" w:cs="Arial"/>
          <w:color w:val="000000"/>
          <w:kern w:val="0"/>
          <w:lang w:val="es-ES" w:eastAsia="es-ES"/>
          <w14:ligatures w14: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w14:ligatures w14:val="none"/>
        </w:rPr>
        <w:t>iii</w:t>
      </w:r>
      <w:proofErr w:type="spellEnd"/>
      <w:r w:rsidR="00AB2C64" w:rsidRPr="00AB2C64">
        <w:rPr>
          <w:rFonts w:ascii="Arial Narrow" w:eastAsia="Times New Roman" w:hAnsi="Arial Narrow" w:cs="Arial"/>
          <w:color w:val="000000"/>
          <w:kern w:val="0"/>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Arial"/>
          <w:color w:val="000000"/>
          <w:kern w:val="0"/>
          <w:lang w:val="es-ES" w:eastAsia="es-ES"/>
          <w14:ligatures w14:val="none"/>
        </w:rPr>
        <w:t/>
      </w:r>
      <w:r w:rsidRPr="00F97717">
        <w:rPr>
          <w:rFonts w:ascii="Arial Narrow" w:eastAsia="Calibri" w:hAnsi="Arial Narrow" w:cs="Arial"/>
          <w:kern w:val="0"/>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hAnsi="Arial Narrow" w:cs="Arial"/>
          <w:bCs/>
          <w:spacing w:val="-3"/>
          <w:kern w:val="0"/>
          <w14:ligatures w14:val="none"/>
        </w:rPr>
        <w:t xml:space="preserve"/>
      </w:r>
      <w:proofErr w:type="spellStart"/>
      <w:r w:rsidRPr="00F97717">
        <w:rPr>
          <w:rFonts w:ascii="Arial Narrow" w:hAnsi="Arial Narrow" w:cs="Arial"/>
          <w:bCs/>
          <w:spacing w:val="-3"/>
          <w:kern w:val="0"/>
          <w14:ligatures w14:val="none"/>
        </w:rPr>
        <w:t/>
      </w:r>
      <w:proofErr w:type="spellEnd"/>
      <w:r w:rsidRPr="00F97717">
        <w:rPr>
          <w:rFonts w:ascii="Arial Narrow" w:hAnsi="Arial Narrow" w:cs="Arial"/>
          <w:bCs/>
          <w:spacing w:val="-3"/>
          <w:kern w:val="0"/>
          <w14:ligatures w14:val="none"/>
        </w:rPr>
        <w:t xml:space="preserve"/>
      </w:r>
      <w:r w:rsidRPr="00F97717">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Arial Narrow" w:hAnsi="Arial Narrow" w:cs="Arial Narrow"/>
          <w:bCs/>
        </w:rPr>
        <w:t/>
      </w:r>
      <w:r w:rsidRPr="00F97717">
        <w:rPr>
          <w:rFonts w:ascii="Arial Narrow" w:eastAsia="Times New Roman" w:hAnsi="Arial Narrow" w:cs="Times New Roman"/>
          <w:color w:val="000000"/>
          <w:kern w:val="0"/>
          <w:shd w:val="clear" w:color="auto" w:fill="FFFFFF"/>
          <w:lang w:eastAsia="es-PE"/>
          <w14:ligatures w14:val="none"/>
        </w:rPr>
        <w:t/>
      </w:r>
      <w:r w:rsidRPr="00F97717">
        <w:rPr>
          <w:rFonts w:ascii="Arial Narrow" w:eastAsia="Times New Roman" w:hAnsi="Arial Narrow" w:cs="Segoe UI"/>
          <w:color w:val="000000"/>
          <w:kern w:val="0"/>
          <w:lang w:eastAsia="es-PE"/>
          <w14:ligatures w14:val="none"/>
        </w:rPr>
        <w:t/>
      </w:r>
      <w:r w:rsidRPr="00F97717">
        <w:rPr>
          <w:rFonts w:ascii="Arial Narrow" w:eastAsia="Times New Roman" w:hAnsi="Arial Narrow" w:cs="Times New Roman"/>
          <w:color w:val="000000"/>
          <w:kern w:val="0"/>
          <w:shd w:val="clear" w:color="auto" w:fill="FFFFFF"/>
          <w:lang w:eastAsia="es-PE"/>
          <w14:ligatures w14:val="none"/>
        </w:rPr>
        <w:t xml:space="preserve"/>
      </w:r>
      <w:r w:rsidRPr="00092CBE">
        <w:rPr>
          <w:rFonts w:ascii="Arial Narrow" w:eastAsia="Times New Roman" w:hAnsi="Arial Narrow" w:cs="Times New Roman"/>
          <w:color w:val="000000"/>
          <w:kern w:val="0"/>
          <w:shd w:val="clear" w:color="auto" w:fill="FFFFFF"/>
          <w:lang w:eastAsia="es-PE"/>
          <w14:ligatures w14:val="none"/>
        </w:rPr>
        <w:t xml:space="preserve"/>
      </w:r>
      <w:r w:rsidRPr="00092CBE">
        <w:rPr>
          <w:rFonts w:ascii="Arial Narrow" w:eastAsia="Times New Roman" w:hAnsi="Arial Narrow" w:cs="Arial"/>
          <w:color w:val="000000"/>
          <w:kern w:val="0"/>
          <w:lang w:eastAsia="es-ES"/>
          <w14:ligatures w14:val="none"/>
        </w:rPr>
        <w:t xml:space="preserve"/>
      </w:r>
      <w:r w:rsidR="00DA067F" w:rsidRPr="00092CBE">
        <w:rPr>
          <w:rFonts w:ascii="Arial Narrow" w:eastAsia="Times New Roman" w:hAnsi="Arial Narrow" w:cs="Arial"/>
          <w:color w:val="000000"/>
          <w:kern w:val="0"/>
          <w:lang w:eastAsia="es-ES"/>
          <w14:ligatures w14:val="none"/>
        </w:rPr>
        <w:t xml:space="preserve"/>
      </w:r>
      <w:r w:rsidRPr="00092CBE">
        <w:rPr>
          <w:rFonts w:ascii="Arial Narrow" w:eastAsia="Times New Roman" w:hAnsi="Arial Narrow" w:cs="Arial"/>
          <w:color w:val="000000"/>
          <w:kern w:val="0"/>
          <w:lang w:eastAsia="es-ES"/>
          <w14:ligatures w14:val="none"/>
        </w:rPr>
        <w:t/>
      </w:r>
      <w:r w:rsidRPr="00092CBE">
        <w:rPr>
          <w:rFonts w:ascii="Arial Narrow" w:eastAsia="Times New Roman" w:hAnsi="Arial Narrow" w:cs="Arial"/>
          <w:color w:val="000000"/>
          <w:kern w:val="0"/>
          <w:lang w:val="es-ES" w:eastAsia="es-ES"/>
          <w14:ligatures w14:val="none"/>
        </w:rPr>
        <w:t xml:space="preserve"/>
      </w:r>
      <w:r w:rsidRPr="00092CBE">
        <w:rPr>
          <w:rFonts w:ascii="Arial Narrow" w:eastAsia="Times New Roman" w:hAnsi="Arial Narrow" w:cs="Arial"/>
          <w:color w:val="000000"/>
          <w:kern w:val="0"/>
          <w:lang w:eastAsia="es-ES"/>
          <w14:ligatures w14:val="none"/>
        </w:rPr>
        <w:t xml:space="preserve"/>
      </w:r>
      <w:r w:rsidR="00DA067F" w:rsidRPr="00092CBE">
        <w:rPr>
          <w:rFonts w:ascii="Arial Narrow" w:eastAsia="Times New Roman" w:hAnsi="Arial Narrow" w:cs="Times New Roman"/>
          <w:color w:val="000000"/>
          <w:kern w:val="0"/>
          <w:shd w:val="clear" w:color="auto" w:fill="FFFFFF"/>
          <w:lang w:eastAsia="es-PE"/>
          <w14:ligatures w14:val="none"/>
        </w:rPr>
        <w:t/>
      </w:r>
      <w:r w:rsidRPr="00092CBE">
        <w:rPr>
          <w:rFonts w:ascii="Arial Narrow" w:eastAsia="Times New Roman" w:hAnsi="Arial Narrow" w:cs="Times New Roman"/>
          <w:color w:val="000000"/>
          <w:kern w:val="0"/>
          <w:shd w:val="clear" w:color="auto" w:fill="FFFFFF"/>
          <w:lang w:eastAsia="es-PE"/>
          <w14:ligatures w14:val="none"/>
        </w:rPr>
        <w:t xml:space="preserve"/>
      </w:r>
      <w:r w:rsidRPr="00F97717">
        <w:rPr>
          <w:rFonts w:ascii="Arial Narrow" w:eastAsia="Times New Roman" w:hAnsi="Arial Narrow" w:cs="Arial"/>
          <w:color w:val="000000"/>
          <w:kern w:val="0"/>
          <w:lang w:eastAsia="es-ES"/>
          <w14:ligatures w14:val="none"/>
        </w:rPr>
        <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rPr>
      </w:pPr>
    </w:p>
    <w:p w14:paraId="5963FAB6" w14:textId="77777777" w:rsidR="0074339B" w:rsidRPr="0026598E" w:rsidRDefault="0074339B" w:rsidP="0001764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CD6F7A">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B95FFF7" w14: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w14:ligatures w14:val="none"/>
        </w:rPr>
      </w:pPr>
    </w:p>
    <w:p w14:paraId="1FF8BB49"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D6F7A">
        <w:rPr>
          <w:rFonts w:ascii="Arial Narrow" w:eastAsia="Times New Roman" w:hAnsi="Arial Narrow" w:cs="Arial"/>
          <w:color w:val="000000"/>
          <w:kern w:val="0"/>
          <w:lang w:val="es-ES" w:eastAsia="es-ES"/>
          <w14:ligatures w14:val="none"/>
        </w:rPr>
        <w:t>4 de juni</w:t>
      </w:r>
      <w:r w:rsidRPr="00A03D7A">
        <w:rPr>
          <w:rFonts w:ascii="Arial Narrow" w:eastAsia="Times New Roman" w:hAnsi="Arial Narrow" w:cs="Arial"/>
          <w:color w:val="000000"/>
          <w:kern w:val="0"/>
          <w:lang w:val="es-ES" w:eastAsia="es-ES"/>
          <w14:ligatures w14:val="none"/>
        </w:rPr>
        <w:t>o de 2025</w:t>
      </w:r>
      <w:r w:rsidRPr="00A03D7A">
        <w:rPr>
          <w:rFonts w:ascii="Arial Narrow" w:eastAsia="Calibri" w:hAnsi="Arial Narrow" w:cs="Arial"/>
          <w:kern w:val="0"/>
          <w14:ligatures w14:val="none"/>
        </w:rPr>
        <w:t xml:space="preserve">, </w:t>
      </w:r>
      <w:r w:rsidRPr="00A03D7A">
        <w:rPr>
          <w:rFonts w:ascii="Arial Narrow" w:eastAsia="Arial Narrow" w:hAnsi="Arial Narrow" w:cs="Arial Narrow"/>
          <w:color w:val="000000"/>
          <w:kern w:val="0"/>
          <w:lang w:eastAsia="es-PE"/>
          <w14:ligatures w14:val="none"/>
        </w:rPr>
        <w:t>a</w:t>
      </w:r>
      <w:r w:rsidRPr="00A03D7A">
        <w:rPr>
          <w:rFonts w:ascii="Arial Narrow" w:eastAsia="Times New Roman" w:hAnsi="Arial Narrow" w:cs="Times New Roman"/>
          <w:color w:val="000000"/>
          <w:kern w:val="0"/>
          <w:shd w:val="clear" w:color="auto" w:fill="FFFFFF"/>
          <w:lang w:eastAsia="es-PE"/>
          <w14:ligatures w14:val="none"/>
        </w:rPr>
        <w:t xml:space="preserve"> </w:t>
      </w:r>
      <w:r w:rsidRPr="00A03D7A">
        <w:rPr>
          <w:rFonts w:ascii="Arial Narrow" w:eastAsia="Arial Narrow" w:hAnsi="Arial Narrow" w:cs="Arial Narrow"/>
          <w:bCs/>
        </w:rPr>
        <w:t>Mapfre Perú Compañía de Seguros y Reaseguros S.A.</w:t>
      </w:r>
      <w:r w:rsidRPr="00A03D7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p>
    <w:p w14:paraId="3A6B633C" w14: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7907A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w14:ligatures w14:val="none"/>
        </w:rPr>
        <w:t>ii</w:t>
      </w:r>
      <w:proofErr w:type="spellEnd"/>
      <w:r w:rsidRPr="007907A4">
        <w:rPr>
          <w:rFonts w:ascii="Arial Narrow" w:eastAsia="Times New Roman" w:hAnsi="Arial Narrow" w:cs="Arial"/>
          <w:color w:val="000000"/>
          <w:kern w:val="0"/>
          <w:lang w:val="es-ES" w:eastAsia="es-ES"/>
          <w14:ligatures w14:val="none"/>
        </w:rPr>
        <w:t xml:space="preserve">) presentar los medios probatorios que acrediten la respuesta </w:t>
      </w:r>
      <w:r w:rsidR="00211E20">
        <w:rPr>
          <w:rFonts w:ascii="Arial Narrow" w:eastAsia="Times New Roman" w:hAnsi="Arial Narrow" w:cs="Arial"/>
          <w:color w:val="000000"/>
          <w:kern w:val="0"/>
          <w:lang w:val="es-ES" w:eastAsia="es-ES"/>
          <w14:ligatures w14:val="none"/>
        </w:rPr>
        <w:t xml:space="preserve">oportuna </w:t>
      </w:r>
      <w:r w:rsidRPr="007907A4">
        <w:rPr>
          <w:rFonts w:ascii="Arial Narrow" w:eastAsia="Times New Roman" w:hAnsi="Arial Narrow" w:cs="Arial"/>
          <w:color w:val="000000"/>
          <w:kern w:val="0"/>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w14:ligatures w14:val="none"/>
        </w:rPr>
        <w:t>iii</w:t>
      </w:r>
      <w:proofErr w:type="spellEnd"/>
      <w:r w:rsidRPr="007907A4">
        <w:rPr>
          <w:rFonts w:ascii="Arial Narrow" w:eastAsia="Times New Roman" w:hAnsi="Arial Narrow" w:cs="Arial"/>
          <w:color w:val="000000"/>
          <w:kern w:val="0"/>
          <w:lang w:val="es-ES" w:eastAsia="es-ES"/>
          <w14:ligatures w14:val="none"/>
        </w:rPr>
        <w:t xml:space="preserve">) presentar los documentos que acrediten la exigencia de </w:t>
      </w:r>
      <w:r w:rsidRPr="00C3753D">
        <w:rPr>
          <w:rFonts w:ascii="Arial Narrow" w:eastAsia="Times New Roman" w:hAnsi="Arial Narrow" w:cs="Arial"/>
          <w:color w:val="000000"/>
          <w:kern w:val="0"/>
          <w:lang w:eastAsia="es-ES"/>
          <w14:ligatures w14: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w14:ligatures w14:val="none"/>
        </w:rPr>
        <w:t xml:space="preserve"> para iniciar la calificación de su expediente</w:t>
      </w:r>
      <w:r w:rsidRPr="0026598E">
        <w:rPr>
          <w:rFonts w:ascii="Arial Narrow" w:eastAsia="Times New Roman" w:hAnsi="Arial Narrow" w:cs="Arial"/>
          <w:color w:val="000000"/>
          <w:kern w:val="0"/>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hAnsi="Arial Narrow" w:cs="Arial"/>
        </w:rPr>
      </w:pPr>
    </w:p>
    <w:p w14:paraId="355D9E65" w14: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Pr>
          <w:rFonts w:ascii="Arial Narrow" w:eastAsia="Arial Narrow" w:hAnsi="Arial Narrow" w:cs="Arial Narrow"/>
          <w:b/>
          <w:bCs/>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Pr="006A5EC8">
        <w:rPr>
          <w:rFonts w:ascii="Arial Narrow" w:hAnsi="Arial Narrow" w:cs="Arial"/>
          <w:bCs/>
          <w:spacing w:val="-3"/>
          <w:kern w:val="0"/>
          <w14:ligatures w14:val="none"/>
        </w:rPr>
        <w:t xml:space="preserve"/>
      </w:r>
      <w:proofErr w:type="spellStart"/>
      <w:r w:rsidRPr="006A5EC8">
        <w:rPr>
          <w:rFonts w:ascii="Arial Narrow" w:hAnsi="Arial Narrow" w:cs="Arial"/>
          <w:bCs/>
          <w:spacing w:val="-3"/>
          <w:kern w:val="0"/>
          <w14:ligatures w14:val="none"/>
        </w:rPr>
        <w:t/>
      </w:r>
      <w:proofErr w:type="spellEnd"/>
      <w:r w:rsidRPr="006A5EC8">
        <w:rPr>
          <w:rFonts w:ascii="Arial Narrow" w:hAnsi="Arial Narrow" w:cs="Arial"/>
          <w:bCs/>
          <w:spacing w:val="-3"/>
          <w:kern w:val="0"/>
          <w14:ligatures w14: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w14:ligatures w14:val="none"/>
        </w:rPr>
        <w:t/>
      </w:r>
      <w:r w:rsidRPr="006A5EC8">
        <w:rPr>
          <w:rFonts w:ascii="Arial Narrow" w:hAnsi="Arial Narrow"/>
          <w:color w:val="000000"/>
        </w:rPr>
        <w:t/>
      </w:r>
      <w:r>
        <w:rPr>
          <w:rFonts w:ascii="Arial Narrow" w:hAnsi="Arial Narrow"/>
          <w:color w:val="000000"/>
        </w:rPr>
        <w:t xml:space="preserve"/>
      </w:r>
    </w:p>
    <w:bookmarkEnd w:id="8"/>
    <w:p w14:paraId="031CBE99" w14:textId="77777777" w:rsidR="0074339B" w:rsidRPr="0026598E" w:rsidRDefault="0074339B" w:rsidP="00017644">
      <w:pPr>
        <w:suppressAutoHyphens/>
        <w:spacing w:after="0" w:line="240" w:lineRule="auto"/>
        <w:jc w:val="both"/>
        <w:rPr>
          <w:rFonts w:ascii="Arial Narrow" w:hAnsi="Arial Narrow" w:cs="Arial"/>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3CDC9139"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74BC0884"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bookmarkEnd w:id="0"/>
    <w:p w14:paraId="7BAA67EB" w14: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hAnsi="Arial Narrow"/>
        </w:rPr>
      </w:pPr>
    </w:p>
    <w:p w14:paraId="62F75B1C" w14:textId="77777777" w:rsidR="0074339B" w:rsidRPr="0026598E" w:rsidRDefault="0074339B" w:rsidP="00017644">
      <w:pPr>
        <w:spacing w:line="240" w:lineRule="auto"/>
        <w:rPr>
          <w:rFonts w:ascii="Arial Narrow" w:hAnsi="Arial Narrow"/>
        </w:rPr>
      </w:pPr>
    </w:p>
    <w:p w14:paraId="466F3DB4" w14:textId="77777777" w:rsidR="0074339B" w:rsidRPr="0026598E" w:rsidRDefault="0074339B" w:rsidP="00017644">
      <w:pPr>
        <w:spacing w:line="240" w:lineRule="auto"/>
        <w:rPr>
          <w:rFonts w:ascii="Arial Narrow" w:hAnsi="Arial Narrow"/>
        </w:rPr>
      </w:pPr>
    </w:p>
    <w:p w14:paraId="74AAB5F4" w14:textId="77777777" w:rsidR="001B5674" w:rsidRDefault="001B5674" w:rsidP="0001764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el 2 de setiembre del 2010 en el Diario Oficial El Peruano, vigente desde el 2 de octubre del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vertAlign w:val="superscript"/>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vertAlign w:val="superscript"/>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vertAlign w:val="superscript"/>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