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CB4D" w14:textId="77777777" w:rsidR="00CA59A2" w:rsidRPr="00A549C2" w:rsidRDefault="00CA59A2" w:rsidP="00A549C2">
      <w:pPr>
        <w:shd w:val="clear" w:color="000000" w:fill="auto"/>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A549C2">
        <w:rPr>
          <w:rFonts w:ascii="Arial Narrow" w:eastAsia="Arial Narrow" w:hAnsi="Arial Narrow"/>
          <w:b/>
          <w:color w:val="000000"/>
        </w:rPr>
        <w:t>EXPEDIENTE</w:t>
      </w:r>
      <w:r w:rsidRPr="00A549C2">
        <w:rPr>
          <w:rFonts w:ascii="Arial Narrow" w:eastAsia="Arial Narrow" w:hAnsi="Arial Narrow"/>
          <w:b/>
          <w:color w:val="000000"/>
        </w:rPr>
        <w:tab/>
        <w:t>:</w:t>
      </w:r>
      <w:r w:rsidRPr="00A549C2">
        <w:rPr>
          <w:rFonts w:ascii="Arial Narrow" w:eastAsia="Arial Narrow" w:hAnsi="Arial Narrow"/>
          <w:b/>
          <w:color w:val="000000"/>
        </w:rPr>
        <w:tab/>
        <w:t>2312-2026/CC1</w:t>
      </w:r>
    </w:p>
    <w:p w14:paraId="5BE02668" w14:textId="77777777" w:rsidR="00CA59A2" w:rsidRPr="00A549C2" w:rsidRDefault="00CA59A2" w:rsidP="00A549C2">
      <w:pPr>
        <w:shd w:val="clear" w:color="000000" w:fill="auto"/>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549C2">
        <w:rPr>
          <w:rFonts w:ascii="Arial Narrow" w:eastAsia="Arial Narrow" w:hAnsi="Arial Narrow"/>
          <w:b/>
          <w:color w:val="000000"/>
        </w:rPr>
        <w:t>DENUNCIANTE</w:t>
      </w:r>
      <w:r w:rsidRPr="00A549C2">
        <w:rPr>
          <w:rFonts w:ascii="Arial Narrow" w:eastAsia="Arial Narrow" w:hAnsi="Arial Narrow"/>
          <w:b/>
          <w:color w:val="000000"/>
        </w:rPr>
        <w:tab/>
        <w:t>:</w:t>
      </w:r>
      <w:r w:rsidRPr="00A549C2">
        <w:rPr>
          <w:rFonts w:ascii="Arial Narrow" w:eastAsia="Arial Narrow" w:hAnsi="Arial Narrow"/>
          <w:b/>
          <w:color w:val="000000"/>
        </w:rPr>
        <w:tab/>
        <w:t>CIRILO DONATO DE LA CRUZ CONTRERAS (SEÑOR DE LA CRUZ)</w:t>
      </w:r>
    </w:p>
    <w:p w14:paraId="412E5107" w14:textId="77777777" w:rsidR="00CA59A2" w:rsidRPr="00A549C2" w:rsidRDefault="00CA59A2" w:rsidP="00A549C2">
      <w:pPr>
        <w:shd w:val="clear" w:color="000000" w:fill="auto"/>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549C2">
        <w:rPr>
          <w:rFonts w:ascii="Arial Narrow" w:eastAsia="Arial Narrow" w:hAnsi="Arial Narrow"/>
          <w:b/>
          <w:color w:val="000000"/>
        </w:rPr>
        <w:t>DENUNCIADO</w:t>
      </w:r>
      <w:r w:rsidRPr="00A549C2">
        <w:rPr>
          <w:rFonts w:ascii="Arial Narrow" w:eastAsia="Arial Narrow" w:hAnsi="Arial Narrow"/>
          <w:b/>
          <w:color w:val="000000"/>
        </w:rPr>
        <w:tab/>
        <w:t>:</w:t>
      </w:r>
      <w:r w:rsidRPr="00A549C2">
        <w:rPr>
          <w:rFonts w:ascii="Arial Narrow" w:eastAsia="Arial Narrow" w:hAnsi="Arial Narrow"/>
          <w:b/>
          <w:color w:val="000000"/>
        </w:rPr>
        <w:tab/>
        <w:t>LA POSITIVA SEGUROS Y REASEGUROS S.A., SANTANDER CONSUMER BANK S.A., HOWDEN PERU CORREDORES DE SEGUROS S.A.C. Y ASTARA PERU RETAIL S.A.C.</w:t>
      </w:r>
    </w:p>
    <w:p w14:paraId="28E74CF1" w14:textId="73D0B251" w:rsidR="00CA59A2" w:rsidRPr="00A549C2" w:rsidRDefault="00CA59A2" w:rsidP="00A549C2">
      <w:pPr>
        <w:shd w:val="clear" w:color="000000" w:fill="auto"/>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549C2">
        <w:rPr>
          <w:rFonts w:ascii="Arial Narrow" w:eastAsia="Arial Narrow" w:hAnsi="Arial Narrow" w:cs="Arial Narrow"/>
          <w:b/>
          <w:color w:val="000000"/>
          <w:kern w:val="0"/>
          <w:lang w:eastAsia="es-PE"/>
          <w14:ligatures w14:val="none"/>
        </w:rPr>
        <w:t>MATERIAS</w:t>
      </w:r>
      <w:r w:rsidRPr="00A549C2">
        <w:rPr>
          <w:rFonts w:ascii="Arial Narrow" w:eastAsia="Arial Narrow" w:hAnsi="Arial Narrow" w:cs="Arial Narrow"/>
          <w:b/>
          <w:color w:val="000000"/>
          <w:kern w:val="0"/>
          <w:lang w:eastAsia="es-PE"/>
          <w14:ligatures w14:val="none"/>
        </w:rPr>
        <w:tab/>
        <w:t>:</w:t>
      </w:r>
      <w:r w:rsidR="00A549C2" w:rsidRPr="00A549C2">
        <w:rPr>
          <w:rFonts w:ascii="Arial Narrow" w:eastAsia="Arial Narrow" w:hAnsi="Arial Narrow" w:cs="Arial Narrow"/>
          <w:b/>
          <w:color w:val="000000"/>
          <w:kern w:val="0"/>
          <w:lang w:eastAsia="es-PE"/>
          <w14:ligatures w14:val="none"/>
        </w:rPr>
        <w:t xml:space="preserve">   </w:t>
      </w:r>
      <w:r w:rsidRPr="00A549C2">
        <w:rPr>
          <w:rFonts w:ascii="Arial Narrow" w:eastAsia="Arial Narrow" w:hAnsi="Arial Narrow" w:cs="Arial Narrow"/>
          <w:b/>
          <w:color w:val="000000"/>
          <w:kern w:val="0"/>
          <w:lang w:eastAsia="es-PE"/>
          <w14:ligatures w14:val="none"/>
        </w:rPr>
        <w:t xml:space="preserve"> </w:t>
      </w:r>
      <w:r w:rsidRPr="00A549C2">
        <w:rPr>
          <w:rFonts w:ascii="Arial Narrow" w:eastAsia="Arial Narrow" w:hAnsi="Arial Narrow" w:cs="Arial Narrow"/>
          <w:b/>
          <w:color w:val="000000"/>
          <w:kern w:val="0"/>
          <w:lang w:eastAsia="es-PE"/>
          <w14:ligatures w14:val="none"/>
        </w:rPr>
        <w:tab/>
        <w:t>ADMISIÓN A TRÁMITE</w:t>
      </w:r>
    </w:p>
    <w:p w14:paraId="4C7F7365" w14:textId="77777777" w:rsidR="00CA59A2" w:rsidRPr="00A549C2" w:rsidRDefault="00CA59A2" w:rsidP="00A549C2">
      <w:pPr>
        <w:shd w:val="clear" w:color="000000" w:fill="auto"/>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549C2">
        <w:rPr>
          <w:rFonts w:ascii="Arial Narrow" w:eastAsia="Arial Narrow" w:hAnsi="Arial Narrow" w:cs="Arial Narrow"/>
          <w:b/>
          <w:color w:val="000000"/>
          <w:kern w:val="0"/>
          <w:lang w:eastAsia="es-PE"/>
          <w14:ligatures w14:val="none"/>
        </w:rPr>
        <w:t xml:space="preserve">REQUERIMIENTO DE INFORMACIÓN </w:t>
      </w:r>
    </w:p>
    <w:p w14:paraId="507ACC39" w14:textId="77777777" w:rsidR="00CA59A2" w:rsidRPr="00A549C2" w:rsidRDefault="00CA59A2" w:rsidP="00A549C2">
      <w:pPr>
        <w:shd w:val="clear" w:color="000000" w:fill="auto"/>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A549C2">
        <w:rPr>
          <w:rFonts w:ascii="Arial Narrow" w:eastAsia="Arial Narrow" w:hAnsi="Arial Narrow" w:cs="Arial Narrow"/>
          <w:b/>
          <w:color w:val="000000"/>
          <w:kern w:val="0"/>
          <w:lang w:eastAsia="es-PE"/>
          <w14:ligatures w14:val="none"/>
        </w:rPr>
        <w:t xml:space="preserve">RESOLUCIÓN </w:t>
      </w:r>
      <w:r w:rsidRPr="00A549C2">
        <w:rPr>
          <w:rFonts w:ascii="Arial Narrow" w:eastAsia="Arial Narrow" w:hAnsi="Arial Narrow" w:cs="Arial Narrow"/>
          <w:b/>
          <w:color w:val="000000"/>
          <w:kern w:val="0"/>
          <w:lang w:eastAsia="es-PE"/>
          <w14:ligatures w14:val="none"/>
        </w:rPr>
        <w:tab/>
        <w:t>:</w:t>
      </w:r>
      <w:r w:rsidRPr="00A549C2">
        <w:rPr>
          <w:rFonts w:ascii="Arial Narrow" w:eastAsia="Arial Narrow" w:hAnsi="Arial Narrow" w:cs="Arial Narrow"/>
          <w:b/>
          <w:color w:val="000000"/>
          <w:kern w:val="0"/>
          <w:lang w:eastAsia="es-PE"/>
          <w14:ligatures w14:val="none"/>
        </w:rPr>
        <w:tab/>
        <w:t>2</w:t>
      </w:r>
    </w:p>
    <w:p w14:paraId="11F97B14" w14:textId="77777777" w:rsidR="00CA59A2" w:rsidRPr="00A549C2" w:rsidRDefault="00CA59A2" w:rsidP="00A549C2">
      <w:pPr>
        <w:shd w:val="clear" w:color="000000" w:fill="auto"/>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AF375F9" w14:textId="77777777" w:rsidR="00CA59A2" w:rsidRPr="00A549C2" w:rsidRDefault="00CA59A2" w:rsidP="00A549C2">
      <w:pPr>
        <w:shd w:val="clear" w:color="000000" w:fill="auto"/>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549C2">
        <w:rPr>
          <w:rFonts w:ascii="Arial Narrow" w:eastAsia="Arial Narrow" w:hAnsi="Arial Narrow"/>
          <w:color w:val="000000"/>
        </w:rPr>
        <w:t>Lima, 3 de agosto de 2026</w:t>
      </w:r>
    </w:p>
    <w:p w14:paraId="5901A4C7" w14:textId="77777777" w:rsidR="00CA59A2" w:rsidRPr="00A549C2" w:rsidRDefault="00CA59A2" w:rsidP="00A549C2">
      <w:pPr>
        <w:shd w:val="clear" w:color="000000" w:fill="auto"/>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F1B3F89" w14:textId="77777777" w:rsidR="00CA59A2" w:rsidRPr="00A549C2" w:rsidRDefault="00CA59A2" w:rsidP="00A549C2">
      <w:pPr>
        <w:numPr>
          <w:ilvl w:val="0"/>
          <w:numId w:val="4"/>
        </w:numPr>
        <w:shd w:val="clear" w:color="000000" w:fill="auto"/>
        <w:spacing w:after="0" w:line="240" w:lineRule="auto"/>
        <w:ind w:left="567" w:hanging="567"/>
        <w:jc w:val="both"/>
        <w:rPr>
          <w:rFonts w:ascii="Arial Narrow" w:eastAsia="Times New Roman" w:hAnsi="Arial Narrow" w:cs="Times New Roman"/>
          <w:color w:val="000000"/>
          <w:kern w:val="0"/>
          <w:lang w:eastAsia="es-PE"/>
          <w14:ligatures w14:val="none"/>
        </w:rPr>
      </w:pPr>
      <w:r w:rsidRPr="00A549C2">
        <w:rPr>
          <w:rFonts w:ascii="Arial Narrow" w:eastAsia="Arial Narrow" w:hAnsi="Arial Narrow" w:cs="Arial Narrow"/>
          <w:b/>
          <w:color w:val="000000"/>
          <w:kern w:val="0"/>
          <w:lang w:eastAsia="es-PE"/>
          <w14:ligatures w14:val="none"/>
        </w:rPr>
        <w:t xml:space="preserve">HECHOS </w:t>
      </w:r>
    </w:p>
    <w:p w14:paraId="43612B0F" w14:textId="77777777" w:rsidR="00CA59A2" w:rsidRPr="00A549C2" w:rsidRDefault="00CA59A2" w:rsidP="00A549C2">
      <w:pPr>
        <w:shd w:val="clear" w:color="000000" w:fill="auto"/>
        <w:spacing w:after="0" w:line="240" w:lineRule="auto"/>
        <w:jc w:val="both"/>
        <w:rPr>
          <w:rFonts w:ascii="Arial Narrow" w:eastAsia="Times New Roman" w:hAnsi="Arial Narrow" w:cs="Times New Roman"/>
          <w:color w:val="000000"/>
          <w:kern w:val="0"/>
          <w:lang w:eastAsia="es-PE"/>
          <w14:ligatures w14:val="none"/>
        </w:rPr>
      </w:pPr>
    </w:p>
    <w:p w14:paraId="01BDB273" w14:textId="77777777" w:rsidR="00CA59A2" w:rsidRPr="00A549C2" w:rsidRDefault="00CA59A2" w:rsidP="00A549C2">
      <w:pPr>
        <w:numPr>
          <w:ilvl w:val="1"/>
          <w:numId w:val="5"/>
        </w:numPr>
        <w:shd w:val="clear" w:color="000000" w:fill="auto"/>
        <w:spacing w:after="0" w:line="240" w:lineRule="auto"/>
        <w:ind w:left="567" w:hanging="567"/>
        <w:jc w:val="both"/>
        <w:rPr>
          <w:rFonts w:ascii="Arial Narrow" w:eastAsia="Times New Roman" w:hAnsi="Arial Narrow" w:cs="Arial"/>
          <w:color w:val="000000"/>
          <w:kern w:val="0"/>
          <w:lang w:val="es-ES" w:eastAsia="es-ES"/>
          <w14:ligatures w14:val="none"/>
        </w:rPr>
      </w:pPr>
      <w:r w:rsidRPr="00A549C2">
        <w:rPr>
          <w:rFonts w:ascii="Arial Narrow" w:eastAsia="Arial Narrow" w:hAnsi="Arial Narrow"/>
          <w:color w:val="000000"/>
        </w:rPr>
        <w:t>Mediante el escrito del 22 de junio de 2026, complementado mediante el escrito del 8 de julio de 2026, el señor De La Cruz denunció a los referidos proveedores por presuntas infracciones a la Ley 29571, Código de Protección y Defensa del Consumidor (en adelante, Código)2 señalando lo siguiente:</w:t>
      </w:r>
    </w:p>
    <w:p w14:paraId="65738AA4" w14:textId="77777777" w:rsidR="00CA59A2" w:rsidRPr="00A549C2" w:rsidRDefault="00CA59A2" w:rsidP="00A549C2">
      <w:pPr>
        <w:shd w:val="clear" w:color="000000" w:fill="auto"/>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C9A9D82" w14:textId="77777777" w:rsidR="00CA59A2" w:rsidRPr="00A549C2" w:rsidRDefault="00CA59A2" w:rsidP="00A549C2">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549C2">
        <w:rPr>
          <w:rFonts w:ascii="Arial Narrow" w:eastAsia="Arial Narrow" w:hAnsi="Arial Narrow"/>
          <w:color w:val="000000"/>
        </w:rPr>
        <w:t>En septiembre de 2023, adquirió un vehículo marca GAC, modelo GS3, con placa CJE-253, bajo la condición de nuevo y cero kilómetros, comercializado por ASTARA PERU RETAIL S.A.C. (en adelante, ASTARA).</w:t>
      </w:r>
    </w:p>
    <w:p w14:paraId="72994C3B" w14:textId="77777777" w:rsidR="008B11E4" w:rsidRPr="00A549C2" w:rsidRDefault="008B11E4" w:rsidP="00A549C2">
      <w:pPr>
        <w:shd w:val="clear" w:color="000000" w:fill="auto"/>
        <w:spacing w:after="0" w:line="240" w:lineRule="auto"/>
        <w:jc w:val="both"/>
        <w:rPr>
          <w:rFonts w:ascii="Arial Narrow" w:hAnsi="Arial Narrow"/>
        </w:rPr>
      </w:pPr>
    </w:p>
    <w:p w14:paraId="7E0E62A0" w14:textId="77777777" w:rsidR="00CA59A2" w:rsidRPr="00A549C2" w:rsidRDefault="00CA59A2" w:rsidP="00A549C2">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549C2">
        <w:rPr>
          <w:rFonts w:ascii="Arial Narrow" w:eastAsia="Arial Narrow" w:hAnsi="Arial Narrow"/>
          <w:color w:val="000000"/>
        </w:rPr>
        <w:t>Al momento de financiar el crédito vehicular con SANTANDER CONSUMER BANK S.A. (en adelante, SANTANDER), este le habría impuesto la contratación de una póliza multianual, omitiendo brindar asesoría que explicara las condiciones y exclusiones del seguro, y habría implementado trabas para endosar una póliza externa de Pacífico Seguros, cobrando indebidamente US$ 65.00.</w:t>
      </w:r>
    </w:p>
    <w:p w14:paraId="08EA833F" w14:textId="77777777" w:rsidR="008B11E4" w:rsidRPr="00A549C2" w:rsidRDefault="008B11E4" w:rsidP="00A549C2">
      <w:pPr>
        <w:shd w:val="clear" w:color="000000" w:fill="auto"/>
        <w:spacing w:after="0" w:line="240" w:lineRule="auto"/>
        <w:jc w:val="both"/>
        <w:rPr>
          <w:rFonts w:ascii="Arial Narrow" w:hAnsi="Arial Narrow"/>
        </w:rPr>
      </w:pPr>
    </w:p>
    <w:p w14:paraId="27B9C9C0" w14:textId="77777777" w:rsidR="00CA59A2" w:rsidRPr="00A549C2" w:rsidRDefault="00CA59A2" w:rsidP="00A549C2">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549C2">
        <w:rPr>
          <w:rFonts w:ascii="Arial Narrow" w:eastAsia="Arial Narrow" w:hAnsi="Arial Narrow"/>
          <w:color w:val="000000"/>
        </w:rPr>
        <w:t>HOWDEN PERU CORREDORES DE SEGUROS S.A.C. (en adelante, HOWDEN PERU) habría intermediado de manera defectuosa, limitándose a remitir correos masivos sin cumplir con su deber de asesoría especializada.</w:t>
      </w:r>
    </w:p>
    <w:p w14:paraId="1D7D97A1" w14:textId="77777777" w:rsidR="008B11E4" w:rsidRPr="00A549C2" w:rsidRDefault="008B11E4" w:rsidP="00A549C2">
      <w:pPr>
        <w:shd w:val="clear" w:color="000000" w:fill="auto"/>
        <w:spacing w:after="0" w:line="240" w:lineRule="auto"/>
        <w:jc w:val="both"/>
        <w:rPr>
          <w:rFonts w:ascii="Arial Narrow" w:hAnsi="Arial Narrow"/>
        </w:rPr>
      </w:pPr>
    </w:p>
    <w:p w14:paraId="762EBCE6" w14:textId="449B9639" w:rsidR="00CA59A2" w:rsidRPr="00A549C2" w:rsidRDefault="00CA59A2" w:rsidP="00A549C2">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549C2">
        <w:rPr>
          <w:rFonts w:ascii="Arial Narrow" w:eastAsia="Arial Narrow" w:hAnsi="Arial Narrow"/>
          <w:color w:val="000000"/>
        </w:rPr>
        <w:t>El 1 de enero de 2026, el vehículo sufrió pérdida total por incendio. Según el Informe Pericial de Incendio de la PNP FQ 905/2026, presentaba un vicio oculto de origen consistente en un fusible adaptado para derivación eléctrica.</w:t>
      </w:r>
    </w:p>
    <w:p w14:paraId="7A11B358" w14:textId="77777777" w:rsidR="008B11E4" w:rsidRPr="00A549C2" w:rsidRDefault="008B11E4" w:rsidP="00A549C2">
      <w:pPr>
        <w:shd w:val="clear" w:color="000000" w:fill="auto"/>
        <w:spacing w:after="0" w:line="240" w:lineRule="auto"/>
        <w:jc w:val="both"/>
        <w:rPr>
          <w:rFonts w:ascii="Arial Narrow" w:hAnsi="Arial Narrow"/>
        </w:rPr>
      </w:pPr>
    </w:p>
    <w:p w14:paraId="141A3779" w14:textId="1FDEF37B" w:rsidR="00CA59A2" w:rsidRPr="00A549C2" w:rsidRDefault="00CA59A2" w:rsidP="00A549C2">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549C2">
        <w:rPr>
          <w:rFonts w:ascii="Arial Narrow" w:eastAsia="Arial Narrow" w:hAnsi="Arial Narrow"/>
          <w:color w:val="000000"/>
        </w:rPr>
        <w:t>LA POSITIVA SEGUROS Y REASEGUROS S.A. (en adelante, LA POSITIVA) rechazó la cobertura (Siniestro 231151574) desconociendo su obligación; aplicando una cláusula de exclusión limitativa de derechos que nunca fue informada.</w:t>
      </w:r>
    </w:p>
    <w:p w14:paraId="4CCEE437" w14:textId="77777777" w:rsidR="008B11E4" w:rsidRPr="00A549C2" w:rsidRDefault="008B11E4" w:rsidP="00A549C2">
      <w:pPr>
        <w:shd w:val="clear" w:color="000000" w:fill="auto"/>
        <w:spacing w:after="0" w:line="240" w:lineRule="auto"/>
        <w:jc w:val="both"/>
        <w:rPr>
          <w:rFonts w:ascii="Arial Narrow" w:hAnsi="Arial Narrow"/>
        </w:rPr>
      </w:pPr>
    </w:p>
    <w:p w14:paraId="3815E1DB" w14:textId="77777777" w:rsidR="00CA59A2" w:rsidRPr="00A549C2" w:rsidRDefault="00CA59A2" w:rsidP="00A549C2">
      <w:pPr>
        <w:pStyle w:val="Prrafodelista"/>
        <w:numPr>
          <w:ilvl w:val="2"/>
          <w:numId w:val="5"/>
        </w:numPr>
        <w:shd w:val="clear" w:color="000000" w:fill="auto"/>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549C2">
        <w:rPr>
          <w:rFonts w:ascii="Arial Narrow" w:eastAsia="Arial Narrow" w:hAnsi="Arial Narrow"/>
          <w:color w:val="000000"/>
        </w:rPr>
        <w:t>Finalmente, HOWDEN PERU habría omitido brindar una defensa técnica frente al referido rechazo de cobertura emitido por la compañía aseguradora.</w:t>
      </w:r>
    </w:p>
    <w:p w14:paraId="3A865A29" w14:textId="77777777" w:rsidR="00CA59A2" w:rsidRPr="00A549C2" w:rsidRDefault="00CA59A2" w:rsidP="00A549C2">
      <w:pPr>
        <w:pStyle w:val="Prrafodelista"/>
        <w:shd w:val="clear" w:color="000000" w:fill="auto"/>
        <w:spacing w:after="0" w:line="240" w:lineRule="auto"/>
        <w:ind w:left="1134"/>
        <w:jc w:val="both"/>
        <w:rPr>
          <w:rFonts w:ascii="Arial Narrow" w:eastAsia="Times New Roman" w:hAnsi="Arial Narrow" w:cs="Arial"/>
          <w:color w:val="000000"/>
          <w:kern w:val="0"/>
          <w:lang w:eastAsia="es-ES"/>
          <w14:ligatures w14:val="none"/>
        </w:rPr>
      </w:pPr>
    </w:p>
    <w:p w14:paraId="4F3DBB4C" w14:textId="77777777" w:rsidR="00CA59A2" w:rsidRPr="00A549C2" w:rsidRDefault="00CA59A2" w:rsidP="00A549C2">
      <w:pPr>
        <w:numPr>
          <w:ilvl w:val="1"/>
          <w:numId w:val="5"/>
        </w:numPr>
        <w:shd w:val="clear" w:color="000000" w:fill="auto"/>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549C2">
        <w:rPr>
          <w:rFonts w:ascii="Arial Narrow" w:eastAsia="Arial Narrow" w:hAnsi="Arial Narrow"/>
          <w:color w:val="000000"/>
        </w:rPr>
        <w:lastRenderedPageBreak/>
        <w:t>El señor De La Cruz solicitó, en calidad de medidas correctivas, que los denunciados asuman su responsabilidad frente a los perjuicios ocasionados, ordenándose las medidas pertinentes conforme a Ley.</w:t>
      </w:r>
    </w:p>
    <w:p w14:paraId="0E473BBD" w14:textId="77777777" w:rsidR="00CA59A2" w:rsidRPr="00A549C2" w:rsidRDefault="00CA59A2" w:rsidP="00A549C2">
      <w:pPr>
        <w:shd w:val="clear" w:color="000000" w:fill="auto"/>
        <w:spacing w:after="0" w:line="240" w:lineRule="auto"/>
        <w:contextualSpacing/>
        <w:jc w:val="both"/>
        <w:rPr>
          <w:rFonts w:ascii="Arial Narrow" w:eastAsia="Arial Narrow" w:hAnsi="Arial Narrow" w:cs="Arial Narrow"/>
          <w:b/>
          <w:color w:val="000000"/>
          <w:kern w:val="0"/>
          <w:lang w:eastAsia="es-PE"/>
          <w14:ligatures w14:val="none"/>
        </w:rPr>
      </w:pPr>
    </w:p>
    <w:p w14:paraId="5DCB6F11" w14:textId="77777777" w:rsidR="00CA59A2" w:rsidRPr="00A549C2" w:rsidRDefault="00CA59A2" w:rsidP="00A549C2">
      <w:pPr>
        <w:pStyle w:val="Prrafodelista"/>
        <w:numPr>
          <w:ilvl w:val="0"/>
          <w:numId w:val="5"/>
        </w:numPr>
        <w:shd w:val="clear" w:color="000000" w:fill="auto"/>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549C2">
        <w:rPr>
          <w:rFonts w:ascii="Arial Narrow" w:eastAsia="Arial Narrow" w:hAnsi="Arial Narrow" w:cs="Arial Narrow"/>
          <w:b/>
          <w:color w:val="000000"/>
          <w:kern w:val="0"/>
          <w:lang w:eastAsia="es-PE"/>
          <w14:ligatures w14:val="none"/>
        </w:rPr>
        <w:t>DE LA ADMISIÓN A TRÁMITE DE LA DENUNCIA</w:t>
      </w:r>
    </w:p>
    <w:p w14:paraId="6070BBDC" w14:textId="77777777" w:rsidR="00CA59A2" w:rsidRPr="00A549C2" w:rsidRDefault="00CA59A2" w:rsidP="00A549C2">
      <w:pPr>
        <w:shd w:val="clear" w:color="000000" w:fill="auto"/>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5FE3DB35" w14:textId="472F894E" w:rsidR="00121544" w:rsidRPr="00A549C2" w:rsidRDefault="00CA59A2" w:rsidP="00A549C2">
      <w:pPr>
        <w:pStyle w:val="Prrafodelista"/>
        <w:numPr>
          <w:ilvl w:val="0"/>
          <w:numId w:val="9"/>
        </w:numPr>
        <w:shd w:val="clear" w:color="000000" w:fill="auto"/>
        <w:spacing w:after="0" w:line="240" w:lineRule="auto"/>
        <w:ind w:left="567" w:hanging="567"/>
        <w:jc w:val="both"/>
        <w:rPr>
          <w:rFonts w:ascii="Arial Narrow" w:eastAsia="Arial Narrow" w:hAnsi="Arial Narrow" w:cs="Arial Narrow"/>
          <w:kern w:val="0"/>
          <w14:ligatures w14:val="none"/>
        </w:rPr>
      </w:pPr>
      <w:r w:rsidRPr="00A549C2">
        <w:rPr>
          <w:rFonts w:ascii="Arial Narrow" w:eastAsia="Arial Narrow" w:hAnsi="Arial Narrow"/>
          <w:color w:val="000000"/>
        </w:rPr>
        <w:t>Presunta infracción al deber de idoneidad, en la medida que 3. La Secretaría Técnica de la Comisión de Protección al Consumidor 1 (en adelante, la Secretaría Técnica), en ejercicio de sus facultades3, considera que el hecho denunciado, consistente en que LA POSITIVA habría emitido un rechazo injustificado de la cobertura del Siniestro 231151574 (pérdida total del vehículo por incendio). Por consiguiente, corresponde calificar el hecho materia de denuncia como una presunta infracción al artículo 19 del Código4.</w:t>
      </w:r>
    </w:p>
    <w:p w14:paraId="435D7CDC" w14:textId="77777777" w:rsidR="00121544" w:rsidRPr="00A549C2" w:rsidRDefault="00CA59A2" w:rsidP="00A549C2">
      <w:pPr>
        <w:pStyle w:val="Prrafodelista"/>
        <w:numPr>
          <w:ilvl w:val="0"/>
          <w:numId w:val="9"/>
        </w:numPr>
        <w:shd w:val="clear" w:color="000000" w:fill="auto"/>
        <w:spacing w:after="0" w:line="240" w:lineRule="auto"/>
        <w:ind w:left="567" w:hanging="567"/>
        <w:jc w:val="both"/>
        <w:rPr>
          <w:rFonts w:ascii="Arial Narrow" w:eastAsia="Arial Narrow" w:hAnsi="Arial Narrow" w:cs="Arial Narrow"/>
          <w:kern w:val="0"/>
          <w14:ligatures w14:val="none"/>
        </w:rPr>
      </w:pPr>
      <w:r w:rsidRPr="00A549C2">
        <w:rPr>
          <w:rFonts w:ascii="Arial Narrow" w:eastAsia="Arial Narrow" w:hAnsi="Arial Narrow"/>
          <w:color w:val="000000"/>
        </w:rPr>
        <w:t>Presunta infracción al deber de idoneidad, en la medida que 4. Asimismo, la Secretaría Técnica considera que el hecho denunciado, consistente en que LA POSITIVA habría aplicado una cláusula de exclusión limitativa de derechos inoponible al consumidor, ya que las condiciones generales y exclusiones no habrían sido informadas de forma previa. Por consiguiente, corresponde calificar el hecho como una presunta infracción al artículo 2 del Código5.</w:t>
      </w:r>
    </w:p>
    <w:p w14:paraId="748BE061" w14:textId="77777777" w:rsidR="00121544" w:rsidRPr="00A549C2" w:rsidRDefault="00CA59A2" w:rsidP="00A549C2">
      <w:pPr>
        <w:pStyle w:val="Prrafodelista"/>
        <w:numPr>
          <w:ilvl w:val="0"/>
          <w:numId w:val="9"/>
        </w:numPr>
        <w:shd w:val="clear" w:color="000000" w:fill="auto"/>
        <w:spacing w:after="0" w:line="240" w:lineRule="auto"/>
        <w:ind w:left="567" w:hanging="567"/>
        <w:jc w:val="both"/>
        <w:rPr>
          <w:rFonts w:ascii="Arial Narrow" w:eastAsia="Arial Narrow" w:hAnsi="Arial Narrow" w:cs="Arial Narrow"/>
          <w:kern w:val="0"/>
          <w14:ligatures w14:val="none"/>
        </w:rPr>
      </w:pPr>
      <w:r w:rsidRPr="00A549C2">
        <w:rPr>
          <w:rFonts w:ascii="Arial Narrow" w:eastAsia="Arial Narrow" w:hAnsi="Arial Narrow"/>
          <w:color w:val="000000"/>
        </w:rPr>
        <w:t>Presunta infracción al deber de idoneidad, en la medida que 5. De otro lado, la Secretaría Técnica considera que el hecho denunciado, consistente en que SANTANDER habría impuesto la contratación conjunta de una póliza multianual, omitiendo explicar las condiciones, riesgos y exclusiones. Por consiguiente, corresponde calificar el hecho como presunta infracción al artículo 2 y artículo 19 del Código.</w:t>
      </w:r>
    </w:p>
    <w:p w14:paraId="352BEEFC" w14:textId="77777777" w:rsidR="00121544" w:rsidRPr="00A549C2" w:rsidRDefault="00CA59A2" w:rsidP="00A549C2">
      <w:pPr>
        <w:pStyle w:val="Prrafodelista"/>
        <w:numPr>
          <w:ilvl w:val="0"/>
          <w:numId w:val="9"/>
        </w:numPr>
        <w:shd w:val="clear" w:color="000000" w:fill="auto"/>
        <w:spacing w:after="0" w:line="240" w:lineRule="auto"/>
        <w:ind w:left="567" w:hanging="567"/>
        <w:jc w:val="both"/>
        <w:rPr>
          <w:rFonts w:ascii="Arial Narrow" w:eastAsia="Arial Narrow" w:hAnsi="Arial Narrow" w:cs="Arial Narrow"/>
          <w:kern w:val="0"/>
          <w14:ligatures w14:val="none"/>
        </w:rPr>
      </w:pPr>
      <w:r w:rsidRPr="00A549C2">
        <w:rPr>
          <w:rFonts w:ascii="Arial Narrow" w:eastAsia="Arial Narrow" w:hAnsi="Arial Narrow"/>
          <w:color w:val="000000"/>
        </w:rPr>
        <w:t>Presunta infracción al deber de idoneidad, en la medida que 6. Asimismo, la Secretaría Técnica considera que el hecho denunciado, consistente en que SANTANDER habría implementado trabas administrativas injustificadas para rechazar el endoso de una póliza externa, cobrando indebidamente US$ 65.00. Por consiguiente, corresponde calificar el hecho como presunta infracción al artículo 19 del Código.</w:t>
      </w:r>
    </w:p>
    <w:p w14:paraId="717C1C3A" w14:textId="77777777" w:rsidR="00121544" w:rsidRPr="00A549C2" w:rsidRDefault="00CA59A2" w:rsidP="00A549C2">
      <w:pPr>
        <w:pStyle w:val="Prrafodelista"/>
        <w:numPr>
          <w:ilvl w:val="0"/>
          <w:numId w:val="9"/>
        </w:numPr>
        <w:shd w:val="clear" w:color="000000" w:fill="auto"/>
        <w:spacing w:after="0" w:line="240" w:lineRule="auto"/>
        <w:ind w:left="567" w:hanging="567"/>
        <w:jc w:val="both"/>
        <w:rPr>
          <w:rFonts w:ascii="Arial Narrow" w:eastAsia="Arial Narrow" w:hAnsi="Arial Narrow" w:cs="Arial Narrow"/>
          <w:kern w:val="0"/>
          <w14:ligatures w14:val="none"/>
        </w:rPr>
      </w:pPr>
      <w:r w:rsidRPr="00A549C2">
        <w:rPr>
          <w:rFonts w:ascii="Arial Narrow" w:eastAsia="Arial Narrow" w:hAnsi="Arial Narrow"/>
          <w:color w:val="000000"/>
        </w:rPr>
        <w:t>Presunta infracción al deber de idoneidad, en la medida que 7. Adicionalmente, la Secretaría Técnica considera que HOWDEN PERU habría intermediado de manera defectuosa en la contratación del seguro vehicular y habría omitido brindar una defensa técnica activa frente al rechazo de cobertura. Por consiguiente, corresponde calificar los hechos como presunta infracción al artículo 19 del Código.</w:t>
      </w:r>
    </w:p>
    <w:p w14:paraId="4153BF60" w14:textId="77777777" w:rsidR="00121544" w:rsidRPr="00A549C2" w:rsidRDefault="00CA59A2" w:rsidP="00A549C2">
      <w:pPr>
        <w:pStyle w:val="Prrafodelista"/>
        <w:numPr>
          <w:ilvl w:val="0"/>
          <w:numId w:val="9"/>
        </w:numPr>
        <w:shd w:val="clear" w:color="000000" w:fill="auto"/>
        <w:spacing w:after="0" w:line="240" w:lineRule="auto"/>
        <w:ind w:left="567" w:hanging="567"/>
        <w:jc w:val="both"/>
        <w:rPr>
          <w:rFonts w:ascii="Arial Narrow" w:eastAsia="Arial Narrow" w:hAnsi="Arial Narrow" w:cs="Arial Narrow"/>
          <w:kern w:val="0"/>
          <w14:ligatures w14:val="none"/>
        </w:rPr>
      </w:pPr>
      <w:r w:rsidRPr="00A549C2">
        <w:rPr>
          <w:rFonts w:ascii="Arial Narrow" w:eastAsia="Arial Narrow" w:hAnsi="Arial Narrow"/>
          <w:color w:val="000000"/>
        </w:rPr>
        <w:t>Presunta infracción al deber de idoneidad, en la medida que 8. Finalmente, la Secretaría Técnica considera que ASTARA habría comercializado y entregado un vehículo con un vicio oculto de origen en el sistema eléctrico, fallando en los controles de calidad previos a la entrega, lo cual habría ocasionado el incendio. Por consiguiente, corresponde calificar los hechos como presunta infracción a los artículos 18 y 19 del Código.</w:t>
      </w:r>
    </w:p>
    <w:p w14:paraId="44E1ABB4" w14:textId="77777777" w:rsidR="00121544" w:rsidRPr="00A549C2" w:rsidRDefault="00121544" w:rsidP="00A549C2">
      <w:pPr>
        <w:pStyle w:val="Prrafodelista"/>
        <w:shd w:val="clear" w:color="000000" w:fill="auto"/>
        <w:spacing w:after="0" w:line="240" w:lineRule="auto"/>
        <w:ind w:left="567"/>
        <w:jc w:val="both"/>
        <w:rPr>
          <w:rFonts w:ascii="Arial Narrow" w:eastAsia="Arial Narrow" w:hAnsi="Arial Narrow" w:cs="Arial Narrow"/>
          <w:kern w:val="0"/>
          <w14:ligatures w14:val="none"/>
        </w:rPr>
      </w:pPr>
    </w:p>
    <w:bookmarkEnd w:id="0"/>
    <w:bookmarkEnd w:id="1"/>
    <w:p w14:paraId="2084EC76" w14:textId="77777777" w:rsidR="00CA59A2" w:rsidRPr="00A549C2" w:rsidRDefault="00CA59A2" w:rsidP="00A549C2">
      <w:pPr>
        <w:pStyle w:val="Prrafodelista"/>
        <w:numPr>
          <w:ilvl w:val="0"/>
          <w:numId w:val="9"/>
        </w:numPr>
        <w:shd w:val="clear" w:color="000000" w:fill="auto"/>
        <w:spacing w:after="0" w:line="240" w:lineRule="auto"/>
        <w:ind w:left="567" w:hanging="567"/>
        <w:jc w:val="both"/>
        <w:rPr>
          <w:rFonts w:ascii="Arial Narrow" w:eastAsia="Calibri" w:hAnsi="Arial Narrow" w:cs="Arial Narrow"/>
          <w:kern w:val="0"/>
          <w:lang w:eastAsia="es-PE"/>
          <w14:ligatures w14:val="none"/>
        </w:rPr>
      </w:pPr>
      <w:r w:rsidRPr="00A549C2">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A549C2">
        <w:rPr>
          <w:rFonts w:ascii="Arial Narrow" w:eastAsia="Arial Narrow" w:hAnsi="Arial Narrow" w:cs="Arial Narrow"/>
          <w:color w:val="000000"/>
          <w:kern w:val="0"/>
          <w:vertAlign w:val="superscript"/>
          <w14:ligatures w14:val="none"/>
        </w:rPr>
        <w:footnoteReference w:id="1"/>
      </w:r>
      <w:r w:rsidRPr="00A549C2">
        <w:rPr>
          <w:rFonts w:ascii="Arial Narrow" w:eastAsia="Arial Narrow" w:hAnsi="Arial Narrow" w:cs="Arial"/>
          <w:color w:val="000000"/>
          <w:kern w:val="0"/>
          <w:lang w:eastAsia="es-PE"/>
          <w14:ligatures w14:val="none"/>
        </w:rPr>
        <w:t>.</w:t>
      </w:r>
    </w:p>
    <w:p w14:paraId="26703D11" w14:textId="77777777" w:rsidR="00CA59A2" w:rsidRPr="00A549C2" w:rsidRDefault="00CA59A2" w:rsidP="00A549C2">
      <w:pPr>
        <w:shd w:val="clear" w:color="000000" w:fill="auto"/>
        <w:spacing w:after="0" w:line="240" w:lineRule="auto"/>
        <w:ind w:left="567"/>
        <w:contextualSpacing/>
        <w:jc w:val="both"/>
        <w:rPr>
          <w:rFonts w:ascii="Arial Narrow" w:eastAsia="Arial Narrow" w:hAnsi="Arial Narrow" w:cs="Arial Narrow"/>
          <w:color w:val="000000"/>
          <w:kern w:val="0"/>
          <w:lang w:eastAsia="es-PE"/>
          <w14:ligatures w14:val="none"/>
        </w:rPr>
      </w:pPr>
      <w:bookmarkStart w:id="2" w:name="_Hlk214963071"/>
    </w:p>
    <w:p w14:paraId="3AE3729E" w14:textId="77777777" w:rsidR="00CA59A2" w:rsidRPr="00A549C2" w:rsidRDefault="00CA59A2" w:rsidP="00A549C2">
      <w:pPr>
        <w:pStyle w:val="Prrafodelista"/>
        <w:numPr>
          <w:ilvl w:val="0"/>
          <w:numId w:val="5"/>
        </w:numPr>
        <w:shd w:val="clear" w:color="000000" w:fill="auto"/>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549C2">
        <w:rPr>
          <w:rFonts w:ascii="Arial Narrow" w:eastAsia="Arial Narrow" w:hAnsi="Arial Narrow" w:cs="Arial Narrow"/>
          <w:b/>
          <w:color w:val="000000"/>
          <w:kern w:val="0"/>
          <w:lang w:eastAsia="es-PE"/>
          <w14:ligatures w14:val="none"/>
        </w:rPr>
        <w:t>REQUERIMIENTO DE INFORMACIÓN</w:t>
      </w:r>
    </w:p>
    <w:p w14:paraId="42B0EF24" w14:textId="77777777" w:rsidR="00CA59A2" w:rsidRPr="00A549C2" w:rsidRDefault="00CA59A2" w:rsidP="00A549C2">
      <w:pPr>
        <w:shd w:val="clear" w:color="000000" w:fill="auto"/>
        <w:spacing w:after="0" w:line="240" w:lineRule="auto"/>
        <w:jc w:val="both"/>
        <w:rPr>
          <w:rFonts w:ascii="Arial Narrow" w:eastAsia="Times New Roman" w:hAnsi="Arial Narrow" w:cs="Arial"/>
          <w:color w:val="000000"/>
          <w:kern w:val="0"/>
          <w:lang w:val="es-ES" w:eastAsia="es-ES"/>
          <w14:ligatures w14:val="none"/>
        </w:rPr>
      </w:pPr>
    </w:p>
    <w:p w14:paraId="18D30675" w14:textId="77777777" w:rsidR="00CA59A2" w:rsidRPr="00A549C2" w:rsidRDefault="00CA59A2" w:rsidP="00A549C2">
      <w:pPr>
        <w:pStyle w:val="Prrafodelista"/>
        <w:numPr>
          <w:ilvl w:val="0"/>
          <w:numId w:val="9"/>
        </w:numPr>
        <w:shd w:val="clear" w:color="000000" w:fill="auto"/>
        <w:spacing w:after="0" w:line="240" w:lineRule="auto"/>
        <w:ind w:left="567" w:hanging="567"/>
        <w:jc w:val="both"/>
        <w:rPr>
          <w:rFonts w:ascii="Arial Narrow" w:eastAsia="Times New Roman" w:hAnsi="Arial Narrow" w:cs="Arial"/>
          <w:color w:val="000000"/>
          <w:kern w:val="0"/>
          <w:lang w:val="es-ES" w:eastAsia="es-ES"/>
          <w14:ligatures w14:val="none"/>
        </w:rPr>
      </w:pPr>
      <w:r w:rsidRPr="00A549C2">
        <w:rPr>
          <w:rFonts w:ascii="Arial Narrow" w:eastAsia="Arial Narrow" w:hAnsi="Arial Narrow"/>
          <w:color w:val="000000"/>
        </w:rPr>
        <w:lastRenderedPageBreak/>
        <w:t>A efectos de tener mayores elementos que sirvan para la resolución definitiva del presente caso, la Secretaría Técnica requiere a los proveedores denunciados que, en un plazo no mayor de cinco (5) días hábiles, cumplan con remitir los actuados, informes, peritajes, el contrato de crédito vehicular y demás documentos generados durante la liquidación del siniestro y la comercialización del vehículo.</w:t>
      </w:r>
    </w:p>
    <w:bookmarkEnd w:id="2"/>
    <w:p w14:paraId="72AB69D4" w14:textId="77777777" w:rsidR="00CA59A2" w:rsidRPr="00A549C2" w:rsidRDefault="00CA59A2" w:rsidP="00A549C2">
      <w:pPr>
        <w:pStyle w:val="Prrafodelista"/>
        <w:shd w:val="clear" w:color="000000" w:fill="auto"/>
        <w:spacing w:after="0" w:line="240" w:lineRule="auto"/>
        <w:ind w:left="567"/>
        <w:jc w:val="both"/>
        <w:rPr>
          <w:rFonts w:ascii="Arial Narrow" w:eastAsia="Times New Roman" w:hAnsi="Arial Narrow" w:cs="Arial"/>
          <w:color w:val="000000"/>
          <w:kern w:val="0"/>
          <w:lang w:val="es-ES" w:eastAsia="es-ES"/>
          <w14:ligatures w14:val="none"/>
        </w:rPr>
      </w:pPr>
    </w:p>
    <w:p w14:paraId="3507D41D" w14:textId="7C9963DC" w:rsidR="00CA59A2" w:rsidRPr="00A549C2" w:rsidRDefault="00CA59A2" w:rsidP="00A549C2">
      <w:pPr>
        <w:pStyle w:val="Prrafodelista"/>
        <w:numPr>
          <w:ilvl w:val="0"/>
          <w:numId w:val="5"/>
        </w:numPr>
        <w:shd w:val="clear" w:color="000000" w:fill="auto"/>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549C2">
        <w:rPr>
          <w:rFonts w:ascii="Arial Narrow" w:eastAsia="Arial Narrow" w:hAnsi="Arial Narrow" w:cs="Arial Narrow"/>
          <w:b/>
          <w:color w:val="000000"/>
          <w:kern w:val="0"/>
          <w:lang w:eastAsia="es-PE"/>
          <w14:ligatures w14:val="none"/>
        </w:rPr>
        <w:t>RESOLUCIÓN DE LA SECRETARÍA TÉCNICA</w:t>
      </w:r>
      <w:r w:rsidR="00A549C2" w:rsidRPr="00A549C2">
        <w:rPr>
          <w:rFonts w:ascii="Arial Narrow" w:eastAsia="Arial Narrow" w:hAnsi="Arial Narrow" w:cs="Arial Narrow"/>
          <w:b/>
          <w:color w:val="000000"/>
          <w:kern w:val="0"/>
          <w:lang w:eastAsia="es-PE"/>
          <w14:ligatures w14:val="none"/>
        </w:rPr>
        <w:t xml:space="preserve"> </w:t>
      </w:r>
    </w:p>
    <w:p w14:paraId="08613E2C" w14:textId="77777777" w:rsidR="00CA59A2" w:rsidRPr="00A549C2" w:rsidRDefault="00CA59A2" w:rsidP="00A549C2">
      <w:pPr>
        <w:shd w:val="clear" w:color="000000" w:fill="auto"/>
        <w:spacing w:after="0" w:line="240" w:lineRule="auto"/>
        <w:jc w:val="both"/>
        <w:rPr>
          <w:rFonts w:ascii="Arial Narrow" w:eastAsia="Arial Narrow" w:hAnsi="Arial Narrow" w:cs="Arial Narrow"/>
          <w:b/>
          <w:color w:val="000000"/>
          <w:kern w:val="0"/>
          <w:lang w:eastAsia="es-PE"/>
          <w14:ligatures w14:val="none"/>
        </w:rPr>
      </w:pPr>
    </w:p>
    <w:p w14:paraId="159AC51A" w14:textId="56C4EF4F" w:rsidR="00121544" w:rsidRPr="00A549C2" w:rsidRDefault="00CA59A2" w:rsidP="00A549C2">
      <w:pPr>
        <w:shd w:val="clear" w:color="000000" w:fill="auto"/>
        <w:spacing w:after="0" w:line="240" w:lineRule="auto"/>
        <w:jc w:val="both"/>
        <w:rPr>
          <w:rFonts w:ascii="Arial Narrow" w:eastAsia="Calibri" w:hAnsi="Arial Narrow" w:cs="Arial Narrow"/>
          <w:color w:val="000000"/>
          <w:kern w:val="0"/>
          <w:lang w:eastAsia="es-PE"/>
          <w14:ligatures w14:val="none"/>
        </w:rPr>
      </w:pPr>
      <w:r w:rsidRPr="00A549C2">
        <w:rPr>
          <w:rFonts w:ascii="Arial Narrow" w:eastAsia="Arial Narrow" w:hAnsi="Arial Narrow"/>
          <w:b/>
          <w:color w:val="000000"/>
        </w:rPr>
        <w:t xml:space="preserve">PRIMERO: </w:t>
      </w:r>
      <w:r w:rsidRPr="00A549C2">
        <w:rPr>
          <w:rFonts w:ascii="Arial Narrow" w:eastAsia="Arial Narrow" w:hAnsi="Arial Narrow"/>
          <w:color w:val="000000"/>
        </w:rPr>
        <w:t>admitir a trámite la denuncia del 22 de junio de 2026, complementado mediante el escrito del 8 de julio de 2026, interpuesta por el señor Cirilo Donato De La Cruz Contreras contra LA POSITIVA SEGUROS Y REASEGUROS S.A., SANTANDER CONSUMER BANK S.A., HOWDEN PERU CORREDORES DE SEGUROS S.A.C. y ASTARA PERU RETAIL S.A.C., por lo siguiente:\n\nRespecto a LA POSITIVA SEGUROS Y REASEGUROS S.A.:\n(i) Presunta infracción al artículo 19 de la Ley 29571, Código de Protección y Defensa del Consumidor, en tanto habría emitido un rechazo injustificado de la cobertura del Siniestro 231151574.\n(ii) Presunta infracción al artículo 2 de la Ley 29571, Código de Protección y Defensa del Consumidor, en tanto habría aplicado una cláusula de exclusión limitativa de derechos inoponible al consumidor por falta de información previa.\n\nRespecto a SANTANDER CONSUMER BANK S.A.:\n(iii) Presunta infracción al artículo 2 y artículo 19 de la Ley 29571, Código de Protección y Defensa del Consumidor, en tanto habría impuesto la contratación conjunta de una póliza multianual, omitiendo explicar las condiciones, riesgos y exclusiones.\n(iv) Presunta infracción al artículo 19 de la Ley 29571, Código de Protección y Defensa del Consumidor, en tanto habría implementado trabas administrativas injustificadas para rechazar el endoso de una póliza externa, cobrando indebidamente la suma de US$ 65.00.\n\nRespecto a HOWDEN PERU CORREDORES DE SEGUROS S.A.C.:\n(v) Presunta infracción al artículo 19 de la Ley 29571, Código de Protección y Defensa del Consumidor, en tanto habría intermediado de manera defectuosa en la contratación del seguro vehicular y habría omitido brindar una defensa técnica activa frente al rechazo de cobertura.\n\nRespecto a ASTARA PERU RETAIL S.A.C.:\n(vi) Presunta infracción a los artículos 18 y 19 de la Ley 29571, Código de Protección y Defensa del Consumidor, en tanto habría comercializado y entregado un vehículo con un vicio oculto de origen en el sistema eléctrico, fallando en los controles de calidad previos a la entrega, lo cual habría ocasionado el incendio.</w:t>
      </w:r>
    </w:p>
    <w:p w14:paraId="6D8822E0" w14:textId="77777777" w:rsidR="00121544" w:rsidRPr="00A549C2" w:rsidRDefault="00121544" w:rsidP="00A549C2">
      <w:pPr>
        <w:shd w:val="clear" w:color="000000" w:fill="auto"/>
        <w:spacing w:after="0" w:line="240" w:lineRule="auto"/>
        <w:jc w:val="both"/>
        <w:rPr>
          <w:rFonts w:ascii="Arial Narrow" w:eastAsia="Calibri" w:hAnsi="Arial Narrow" w:cs="Arial Narrow"/>
          <w:color w:val="000000"/>
          <w:kern w:val="0"/>
          <w:lang w:eastAsia="es-PE"/>
          <w14:ligatures w14:val="none"/>
        </w:rPr>
      </w:pPr>
    </w:p>
    <w:p w14:paraId="1AAEE091" w14:textId="77777777" w:rsidR="00CA59A2" w:rsidRPr="00A549C2" w:rsidRDefault="00CA59A2" w:rsidP="00A549C2">
      <w:pPr>
        <w:shd w:val="clear" w:color="000000" w:fill="auto"/>
        <w:spacing w:after="0" w:line="240" w:lineRule="auto"/>
        <w:contextualSpacing/>
        <w:jc w:val="both"/>
        <w:rPr>
          <w:rFonts w:ascii="Arial Narrow" w:eastAsia="Calibri" w:hAnsi="Arial Narrow" w:cs="Arial"/>
          <w:kern w:val="0"/>
          <w14:ligatures w14:val="none"/>
        </w:rPr>
      </w:pPr>
      <w:r w:rsidRPr="00A549C2">
        <w:rPr>
          <w:rFonts w:ascii="Arial Narrow" w:eastAsia="Arial Narrow" w:hAnsi="Arial Narrow"/>
          <w:b/>
          <w:color w:val="000000"/>
        </w:rPr>
        <w:t xml:space="preserve">SEGUNDO: </w:t>
      </w:r>
      <w:r w:rsidRPr="00A549C2">
        <w:rPr>
          <w:rFonts w:ascii="Arial Narrow" w:eastAsia="Arial Narrow" w:hAnsi="Arial Narrow"/>
          <w:color w:val="000000"/>
        </w:rPr>
        <w:t>tener por ofrecidos los medios probatorios presentados en los escritos del 22 de junio de 2026 y 8 de julio de 2026.</w:t>
      </w:r>
    </w:p>
    <w:p w14:paraId="41E9D173" w14:textId="77777777" w:rsidR="00CA59A2" w:rsidRPr="00A549C2" w:rsidRDefault="00CA59A2" w:rsidP="00A549C2">
      <w:pPr>
        <w:shd w:val="clear" w:color="000000" w:fill="auto"/>
        <w:spacing w:after="0" w:line="240" w:lineRule="auto"/>
        <w:contextualSpacing/>
        <w:jc w:val="both"/>
        <w:rPr>
          <w:rFonts w:ascii="Arial Narrow" w:eastAsia="Times New Roman" w:hAnsi="Arial Narrow" w:cs="Times New Roman"/>
          <w:color w:val="000000"/>
          <w:kern w:val="0"/>
          <w:lang w:eastAsia="es-PE"/>
          <w14:ligatures w14:val="none"/>
        </w:rPr>
      </w:pPr>
    </w:p>
    <w:p w14:paraId="4214FA26" w14:textId="77777777" w:rsidR="00CA59A2" w:rsidRPr="00A549C2" w:rsidRDefault="00CA59A2" w:rsidP="00A549C2">
      <w:pPr>
        <w:shd w:val="clear" w:color="000000" w:fill="auto"/>
        <w:spacing w:after="0" w:line="240" w:lineRule="auto"/>
        <w:jc w:val="both"/>
        <w:rPr>
          <w:rFonts w:ascii="Arial Narrow" w:eastAsia="Arial Narrow" w:hAnsi="Arial Narrow" w:cs="Arial Narrow"/>
          <w:color w:val="000000"/>
          <w:kern w:val="0"/>
          <w:lang w:eastAsia="es-PE"/>
          <w14:ligatures w14:val="none"/>
        </w:rPr>
      </w:pPr>
      <w:r w:rsidRPr="00A549C2">
        <w:rPr>
          <w:rFonts w:ascii="Arial Narrow" w:eastAsia="Arial Narrow" w:hAnsi="Arial Narrow"/>
          <w:b/>
          <w:color w:val="000000"/>
        </w:rPr>
        <w:t xml:space="preserve">TERCERO: </w:t>
      </w:r>
      <w:r w:rsidRPr="00A549C2">
        <w:rPr>
          <w:rFonts w:ascii="Arial Narrow" w:eastAsia="Arial Narrow" w:hAnsi="Arial Narrow"/>
          <w:color w:val="000000"/>
        </w:rPr>
        <w:t>requerir a LA POSITIVA SEGUROS Y REASEGUROS S.A., SANTANDER CONSUMER BANK S.A., HOWDEN PERU CORREDORES DE SEGUROS S.A.C. y ASTARA PERU RETAIL S.A.C. que cumplan con lo siguiente:</w:t>
      </w:r>
    </w:p>
    <w:p w14:paraId="39CD67AF" w14:textId="77777777" w:rsidR="00121544" w:rsidRPr="00A549C2" w:rsidRDefault="00711750" w:rsidP="00A549C2">
      <w:pPr>
        <w:pStyle w:val="Prrafodelista"/>
        <w:numPr>
          <w:ilvl w:val="2"/>
          <w:numId w:val="5"/>
        </w:numPr>
        <w:shd w:val="clear" w:color="000000" w:fill="auto"/>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549C2">
        <w:rPr>
          <w:rFonts w:ascii="Arial Narrow" w:eastAsia="Arial Narrow" w:hAnsi="Arial Narrow"/>
          <w:color w:val="000000"/>
        </w:rPr>
        <w:t>presentar documentos que acrediten su inscripción en los Registros Públicos o una declaración jurada que indique que cuenta con dicha inscripción;</w:t>
      </w:r>
    </w:p>
    <w:p w14:paraId="180F8349" w14:textId="77777777" w:rsidR="00CA59A2" w:rsidRPr="00A549C2" w:rsidRDefault="00CA59A2" w:rsidP="00A549C2">
      <w:pPr>
        <w:shd w:val="clear" w:color="000000" w:fill="auto"/>
        <w:spacing w:after="0" w:line="240" w:lineRule="auto"/>
        <w:jc w:val="both"/>
        <w:rPr>
          <w:rFonts w:ascii="Arial Narrow" w:eastAsia="Times New Roman" w:hAnsi="Arial Narrow" w:cs="Times New Roman"/>
          <w:color w:val="000000"/>
          <w:kern w:val="0"/>
          <w:lang w:eastAsia="es-PE"/>
          <w14:ligatures w14:val="none"/>
        </w:rPr>
      </w:pPr>
    </w:p>
    <w:p w14:paraId="262C51C6" w14:textId="77777777" w:rsidR="00CA59A2" w:rsidRPr="00A549C2" w:rsidRDefault="00CA59A2" w:rsidP="00A549C2">
      <w:pPr>
        <w:numPr>
          <w:ilvl w:val="0"/>
          <w:numId w:val="3"/>
        </w:numPr>
        <w:shd w:val="clear" w:color="000000" w:fill="auto"/>
        <w:spacing w:after="0" w:line="240" w:lineRule="auto"/>
        <w:ind w:left="567" w:hanging="567"/>
        <w:jc w:val="both"/>
        <w:rPr>
          <w:rFonts w:ascii="Arial Narrow" w:eastAsia="Arial Narrow" w:hAnsi="Arial Narrow" w:cs="Arial Narrow"/>
          <w:color w:val="000000"/>
          <w:kern w:val="0"/>
          <w:lang w:eastAsia="es-PE"/>
          <w14:ligatures w14:val="none"/>
        </w:rPr>
      </w:pPr>
      <w:r w:rsidRPr="00A549C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D49F2FF" w14:textId="77777777" w:rsidR="00CA59A2" w:rsidRPr="00A549C2" w:rsidRDefault="00CA59A2" w:rsidP="00A549C2">
      <w:pPr>
        <w:numPr>
          <w:ilvl w:val="0"/>
          <w:numId w:val="3"/>
        </w:numPr>
        <w:shd w:val="clear" w:color="000000" w:fill="auto"/>
        <w:spacing w:after="0" w:line="240" w:lineRule="auto"/>
        <w:ind w:left="567" w:hanging="567"/>
        <w:jc w:val="both"/>
        <w:rPr>
          <w:rFonts w:ascii="Arial Narrow" w:eastAsia="Arial Narrow" w:hAnsi="Arial Narrow" w:cs="Arial Narrow"/>
          <w:color w:val="000000"/>
          <w:kern w:val="0"/>
          <w:lang w:eastAsia="es-PE"/>
          <w14:ligatures w14:val="none"/>
        </w:rPr>
      </w:pPr>
      <w:r w:rsidRPr="00A549C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68FBE0D9" w14:textId="77777777" w:rsidR="00CA59A2" w:rsidRPr="00A549C2" w:rsidRDefault="00CA59A2" w:rsidP="00A549C2">
      <w:pPr>
        <w:numPr>
          <w:ilvl w:val="0"/>
          <w:numId w:val="3"/>
        </w:numPr>
        <w:shd w:val="clear" w:color="000000" w:fill="auto"/>
        <w:spacing w:after="0" w:line="240" w:lineRule="auto"/>
        <w:ind w:left="567" w:hanging="567"/>
        <w:jc w:val="both"/>
        <w:rPr>
          <w:rFonts w:ascii="Arial Narrow" w:eastAsia="Arial Narrow" w:hAnsi="Arial Narrow" w:cs="Arial Narrow"/>
          <w:color w:val="000000"/>
          <w:kern w:val="0"/>
          <w:lang w:eastAsia="es-PE"/>
          <w14:ligatures w14:val="none"/>
        </w:rPr>
      </w:pPr>
      <w:r w:rsidRPr="00A549C2">
        <w:rPr>
          <w:rFonts w:ascii="Arial Narrow" w:eastAsia="Arial Narrow" w:hAnsi="Arial Narrow" w:cs="Arial Narrow"/>
          <w:color w:val="000000"/>
          <w:kern w:val="0"/>
          <w:lang w:eastAsia="es-PE"/>
          <w14:ligatures w14:val="none"/>
        </w:rPr>
        <w:t>consignar el Número de Registro Único de Contribuyentes (RUC); y,</w:t>
      </w:r>
    </w:p>
    <w:p w14:paraId="21EDD839" w14:textId="77777777" w:rsidR="00CA59A2" w:rsidRPr="00A549C2" w:rsidRDefault="00CA59A2" w:rsidP="00A549C2">
      <w:pPr>
        <w:numPr>
          <w:ilvl w:val="0"/>
          <w:numId w:val="3"/>
        </w:numPr>
        <w:shd w:val="clear" w:color="000000" w:fill="auto"/>
        <w:spacing w:after="0" w:line="240" w:lineRule="auto"/>
        <w:ind w:left="567" w:hanging="567"/>
        <w:jc w:val="both"/>
        <w:rPr>
          <w:rFonts w:ascii="Arial Narrow" w:eastAsia="Calibri" w:hAnsi="Arial Narrow" w:cs="Arial"/>
          <w:kern w:val="0"/>
          <w14:ligatures w14:val="none"/>
        </w:rPr>
      </w:pPr>
      <w:r w:rsidRPr="00A549C2">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A549C2">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A549C2">
        <w:rPr>
          <w:rFonts w:ascii="Arial Narrow" w:eastAsia="Arial Narrow" w:hAnsi="Arial Narrow" w:cs="Arial"/>
          <w:color w:val="000000"/>
          <w:kern w:val="0"/>
          <w:lang w:val="es"/>
          <w14:ligatures w14:val="none"/>
        </w:rPr>
        <w:t>;</w:t>
      </w:r>
    </w:p>
    <w:p w14:paraId="3C8CD20E" w14:textId="77777777" w:rsidR="00CA59A2" w:rsidRPr="00A549C2" w:rsidRDefault="00CA59A2" w:rsidP="00A549C2">
      <w:pPr>
        <w:numPr>
          <w:ilvl w:val="0"/>
          <w:numId w:val="3"/>
        </w:numPr>
        <w:shd w:val="clear" w:color="000000" w:fill="auto"/>
        <w:spacing w:after="0" w:line="240" w:lineRule="auto"/>
        <w:ind w:left="567" w:hanging="567"/>
        <w:jc w:val="both"/>
        <w:rPr>
          <w:rFonts w:ascii="Arial Narrow" w:eastAsia="Calibri" w:hAnsi="Arial Narrow" w:cs="Arial"/>
          <w:kern w:val="0"/>
          <w14:ligatures w14:val="none"/>
        </w:rPr>
      </w:pPr>
      <w:r w:rsidRPr="00A549C2">
        <w:rPr>
          <w:rFonts w:ascii="Arial Narrow" w:eastAsia="Arial Narrow" w:hAnsi="Arial Narrow" w:cs="Arial"/>
          <w:color w:val="000000"/>
          <w:kern w:val="0"/>
          <w14:ligatures w14:val="none"/>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A549C2">
        <w:rPr>
          <w:rFonts w:ascii="Arial Narrow" w:eastAsia="Arial Narrow" w:hAnsi="Arial Narrow" w:cs="Arial"/>
          <w:color w:val="000000"/>
          <w:kern w:val="0"/>
          <w:vertAlign w:val="superscript"/>
          <w14:ligatures w14:val="none"/>
        </w:rPr>
        <w:footnoteReference w:id="2"/>
      </w:r>
      <w:r w:rsidRPr="00A549C2">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A549C2">
        <w:rPr>
          <w:rFonts w:ascii="Arial Narrow" w:eastAsia="Arial Narrow" w:hAnsi="Arial Narrow" w:cs="Arial"/>
          <w:color w:val="000000"/>
          <w:spacing w:val="-2"/>
          <w:kern w:val="0"/>
          <w14:ligatures w14:val="none"/>
        </w:rPr>
        <w:t>Código</w:t>
      </w:r>
      <w:r w:rsidRPr="00A549C2">
        <w:rPr>
          <w:rFonts w:ascii="Arial Narrow" w:eastAsia="Arial Narrow" w:hAnsi="Arial Narrow" w:cs="Arial"/>
          <w:color w:val="000000"/>
          <w:spacing w:val="-2"/>
          <w:kern w:val="0"/>
          <w:vertAlign w:val="superscript"/>
          <w14:ligatures w14:val="none"/>
        </w:rPr>
        <w:footnoteReference w:id="3"/>
      </w:r>
      <w:r w:rsidRPr="00A549C2">
        <w:rPr>
          <w:rFonts w:ascii="Arial Narrow" w:eastAsia="Arial Narrow" w:hAnsi="Arial Narrow" w:cs="Arial"/>
          <w:color w:val="000000"/>
          <w:spacing w:val="-2"/>
          <w:kern w:val="0"/>
          <w14:ligatures w14:val="none"/>
        </w:rPr>
        <w:t>.</w:t>
      </w:r>
    </w:p>
    <w:p w14:paraId="01634AA4" w14:textId="77777777" w:rsidR="00CA59A2" w:rsidRPr="00A549C2" w:rsidRDefault="00CA59A2" w:rsidP="00A549C2">
      <w:pPr>
        <w:shd w:val="clear" w:color="000000" w:fill="auto"/>
        <w:spacing w:after="0" w:line="240" w:lineRule="auto"/>
        <w:ind w:left="567"/>
        <w:jc w:val="both"/>
        <w:rPr>
          <w:rFonts w:ascii="Arial Narrow" w:eastAsia="Arial Narrow" w:hAnsi="Arial Narrow" w:cs="Arial Narrow"/>
          <w:color w:val="000000"/>
          <w:kern w:val="0"/>
          <w:lang w:eastAsia="es-PE"/>
          <w14:ligatures w14:val="none"/>
        </w:rPr>
      </w:pPr>
    </w:p>
    <w:p w14:paraId="59332A1A" w14:textId="77777777" w:rsidR="00CA59A2" w:rsidRPr="00A549C2" w:rsidRDefault="00CA59A2" w:rsidP="00A549C2">
      <w:pPr>
        <w:shd w:val="clear" w:color="000000" w:fill="auto"/>
        <w:spacing w:after="0" w:line="240" w:lineRule="auto"/>
        <w:jc w:val="both"/>
        <w:rPr>
          <w:rFonts w:ascii="Arial Narrow" w:eastAsia="Arial Narrow" w:hAnsi="Arial Narrow" w:cs="Arial Narrow"/>
          <w:color w:val="000000"/>
          <w:kern w:val="0"/>
          <w:lang w:eastAsia="es-PE"/>
          <w14:ligatures w14:val="none"/>
        </w:rPr>
      </w:pPr>
      <w:r w:rsidRPr="00A549C2">
        <w:rPr>
          <w:rFonts w:ascii="Arial Narrow" w:eastAsia="Arial Narrow" w:hAnsi="Arial Narrow"/>
          <w:b/>
          <w:color w:val="000000"/>
        </w:rPr>
        <w:t xml:space="preserve">CUARTO: </w:t>
      </w:r>
      <w:r w:rsidRPr="00A549C2">
        <w:rPr>
          <w:rFonts w:ascii="Arial Narrow" w:eastAsia="Arial Narrow" w:hAnsi="Arial Narrow"/>
          <w:color w:val="000000"/>
        </w:rPr>
        <w:t>requerir a LA POSITIVA SEGUROS Y REASEGUROS S.A., SANTANDER CONSUMER BANK S.A., HOWDEN PERU CORREDORES DE SEGUROS S.A.C. y ASTARA PERU RETAIL S.A.C. que cumplan con lo siguiente:</w:t>
      </w:r>
    </w:p>
    <w:p w14:paraId="1AE30DF3" w14:textId="77777777" w:rsidR="00121544" w:rsidRPr="00A549C2" w:rsidRDefault="00711750" w:rsidP="00A549C2">
      <w:pPr>
        <w:pStyle w:val="Prrafodelista"/>
        <w:numPr>
          <w:ilvl w:val="2"/>
          <w:numId w:val="5"/>
        </w:numPr>
        <w:shd w:val="clear" w:color="000000" w:fill="auto"/>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549C2">
        <w:rPr>
          <w:rFonts w:ascii="Arial Narrow" w:eastAsia="Arial Narrow" w:hAnsi="Arial Narrow"/>
          <w:color w:val="000000"/>
        </w:rPr>
        <w:t>presentar copia de su certificado de inscripción en el Registro de la Micro y Pequeña Empresa (REMYPE) o, de lo contrario, una declaración jurada donde afirmen encontrarse dentro del régimen tributario MYPE.</w:t>
      </w:r>
    </w:p>
    <w:p w14:paraId="139AF4CD" w14:textId="77777777" w:rsidR="00CA59A2" w:rsidRPr="00A549C2" w:rsidRDefault="00CA59A2" w:rsidP="00A549C2">
      <w:pPr>
        <w:shd w:val="clear" w:color="000000" w:fill="auto"/>
        <w:spacing w:after="0" w:line="240" w:lineRule="auto"/>
        <w:jc w:val="both"/>
        <w:rPr>
          <w:rFonts w:ascii="Arial Narrow" w:eastAsia="Arial Narrow" w:hAnsi="Arial Narrow" w:cs="Arial Narrow"/>
          <w:color w:val="000000"/>
          <w:kern w:val="0"/>
          <w:lang w:eastAsia="es-PE"/>
          <w14:ligatures w14:val="none"/>
        </w:rPr>
      </w:pPr>
    </w:p>
    <w:p w14:paraId="3AAE27ED" w14:textId="77777777" w:rsidR="00CA59A2" w:rsidRPr="00A549C2" w:rsidRDefault="00CA59A2" w:rsidP="00A549C2">
      <w:pPr>
        <w:shd w:val="clear" w:color="000000" w:fill="auto"/>
        <w:spacing w:after="0" w:line="240" w:lineRule="auto"/>
        <w:jc w:val="both"/>
        <w:rPr>
          <w:rFonts w:ascii="Arial Narrow" w:eastAsia="Times New Roman" w:hAnsi="Arial Narrow" w:cs="Arial"/>
          <w:color w:val="000000"/>
          <w:kern w:val="0"/>
          <w:lang w:val="es-ES" w:eastAsia="es-ES"/>
          <w14:ligatures w14:val="none"/>
        </w:rPr>
      </w:pPr>
      <w:r w:rsidRPr="00A549C2">
        <w:rPr>
          <w:rFonts w:ascii="Arial Narrow" w:eastAsia="Arial Narrow" w:hAnsi="Arial Narrow"/>
          <w:b/>
          <w:color w:val="000000"/>
        </w:rPr>
        <w:t xml:space="preserve">QUINTO: </w:t>
      </w:r>
      <w:r w:rsidRPr="00A549C2">
        <w:rPr>
          <w:rFonts w:ascii="Arial Narrow" w:eastAsia="Arial Narrow" w:hAnsi="Arial Narrow"/>
          <w:color w:val="000000"/>
        </w:rPr>
        <w:t>En tanto la denuncia reúne los requisitos establecidos por la norma citada, corresponde admitirla a trámite6.</w:t>
      </w:r>
    </w:p>
    <w:p w14:paraId="463E8591" w14:textId="77777777" w:rsidR="00CA59A2" w:rsidRPr="00A549C2" w:rsidRDefault="00CA59A2" w:rsidP="00A549C2">
      <w:pPr>
        <w:shd w:val="clear" w:color="000000" w:fill="auto"/>
        <w:spacing w:after="0" w:line="240" w:lineRule="auto"/>
        <w:jc w:val="both"/>
        <w:rPr>
          <w:rFonts w:ascii="Arial Narrow" w:eastAsia="Arial Narrow" w:hAnsi="Arial Narrow" w:cs="Arial Narrow"/>
          <w:b/>
          <w:color w:val="000000"/>
          <w:kern w:val="0"/>
          <w:lang w:val="es-ES" w:eastAsia="es-PE"/>
          <w14:ligatures w14:val="none"/>
        </w:rPr>
      </w:pPr>
    </w:p>
    <w:p w14:paraId="6796D6AD" w14:textId="77777777" w:rsidR="00CA59A2" w:rsidRPr="00A549C2" w:rsidRDefault="00CA59A2" w:rsidP="00A549C2">
      <w:pPr>
        <w:shd w:val="clear" w:color="000000" w:fill="auto"/>
        <w:spacing w:after="0" w:line="240" w:lineRule="auto"/>
        <w:jc w:val="both"/>
        <w:rPr>
          <w:rFonts w:ascii="Arial Narrow" w:eastAsia="Arial Narrow" w:hAnsi="Arial Narrow" w:cs="Arial Narrow"/>
          <w:color w:val="000000"/>
          <w:kern w:val="0"/>
          <w:lang w:eastAsia="es-PE"/>
          <w14:ligatures w14:val="none"/>
        </w:rPr>
      </w:pPr>
      <w:r w:rsidRPr="00A549C2">
        <w:rPr>
          <w:rFonts w:ascii="Arial Narrow" w:eastAsia="Arial Narrow" w:hAnsi="Arial Narrow" w:cs="Arial Narrow"/>
          <w:b/>
          <w:color w:val="000000"/>
          <w:kern w:val="0"/>
          <w:lang w:eastAsia="es-PE"/>
          <w14:ligatures w14:val="none"/>
        </w:rPr>
        <w:t>SEXTO:</w:t>
      </w:r>
      <w:r w:rsidRPr="00A549C2">
        <w:rPr>
          <w:rFonts w:ascii="Arial Narrow" w:eastAsia="Arial Narrow" w:hAnsi="Arial Narrow" w:cs="Arial Narrow"/>
          <w:color w:val="000000"/>
          <w:kern w:val="0"/>
          <w:lang w:eastAsia="es-PE"/>
          <w14:ligatures w14:val="none"/>
        </w:rPr>
        <w:t xml:space="preserve"> </w:t>
      </w:r>
      <w:bookmarkStart w:id="3" w:name="_Hlk188286915"/>
      <w:r w:rsidRPr="00A549C2">
        <w:rPr>
          <w:rFonts w:ascii="Arial Narrow" w:eastAsia="Arial Narrow" w:hAnsi="Arial Narrow" w:cs="Arial Narrow"/>
          <w:color w:val="000000"/>
          <w:kern w:val="0"/>
          <w:lang w:eastAsia="es-PE"/>
          <w14:ligatures w14:val="none"/>
        </w:rPr>
        <w:t xml:space="preserve">informar a las partes que el artículo 110 de la Ley </w:t>
      </w:r>
      <w:r w:rsidR="003A71B1" w:rsidRPr="00A549C2">
        <w:rPr>
          <w:rFonts w:ascii="Arial Narrow" w:eastAsia="Arial Narrow" w:hAnsi="Arial Narrow" w:cs="Times New Roman"/>
          <w:color w:val="000000"/>
          <w:kern w:val="0"/>
          <w:lang w:eastAsia="es-PE"/>
          <w14:ligatures w14:val="none"/>
        </w:rPr>
        <w:t>29571</w:t>
      </w:r>
      <w:r w:rsidRPr="00A549C2">
        <w:rPr>
          <w:rFonts w:ascii="Arial Narrow" w:eastAsia="Arial Narrow" w:hAnsi="Arial Narrow" w:cs="Arial Narrow"/>
          <w:color w:val="000000"/>
          <w:kern w:val="0"/>
          <w:lang w:eastAsia="es-PE"/>
          <w14:ligatures w14:val="none"/>
        </w:rPr>
        <w:t>, Código de Protección y Defensa del Consumidor</w:t>
      </w:r>
      <w:r w:rsidRPr="00A549C2">
        <w:rPr>
          <w:rFonts w:ascii="Arial Narrow" w:eastAsia="Arial Narrow" w:hAnsi="Arial Narrow" w:cs="Times New Roman"/>
          <w:color w:val="000000"/>
          <w:kern w:val="0"/>
          <w:vertAlign w:val="superscript"/>
          <w:lang w:eastAsia="es-PE"/>
          <w14:ligatures w14:val="none"/>
        </w:rPr>
        <w:footnoteReference w:id="4"/>
      </w:r>
      <w:r w:rsidRPr="00A549C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A549C2">
        <w:rPr>
          <w:rFonts w:ascii="Arial Narrow" w:eastAsia="Arial Narrow" w:hAnsi="Arial Narrow" w:cs="Times New Roman"/>
          <w:color w:val="000000"/>
          <w:kern w:val="0"/>
          <w:vertAlign w:val="superscript"/>
          <w:lang w:eastAsia="es-PE"/>
          <w14:ligatures w14:val="none"/>
        </w:rPr>
        <w:footnoteReference w:id="5"/>
      </w:r>
      <w:r w:rsidRPr="00A549C2">
        <w:rPr>
          <w:rFonts w:ascii="Arial Narrow" w:eastAsia="Arial Narrow" w:hAnsi="Arial Narrow" w:cs="Arial Narrow"/>
          <w:color w:val="000000"/>
          <w:kern w:val="0"/>
          <w:lang w:eastAsia="es-PE"/>
          <w14:ligatures w14:val="none"/>
        </w:rPr>
        <w:t xml:space="preserve">. </w:t>
      </w:r>
      <w:bookmarkEnd w:id="3"/>
      <w:r w:rsidRPr="00A549C2">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A549C2">
        <w:rPr>
          <w:rFonts w:ascii="Arial Narrow" w:eastAsia="Arial Narrow" w:hAnsi="Arial Narrow" w:cs="Times New Roman"/>
          <w:color w:val="000000"/>
          <w:kern w:val="0"/>
          <w:vertAlign w:val="superscript"/>
          <w:lang w:eastAsia="es-PE"/>
          <w14:ligatures w14:val="none"/>
        </w:rPr>
        <w:footnoteReference w:id="6"/>
      </w:r>
      <w:r w:rsidRPr="00A549C2">
        <w:rPr>
          <w:rFonts w:ascii="Arial Narrow" w:eastAsia="Arial Narrow" w:hAnsi="Arial Narrow" w:cs="Arial Narrow"/>
          <w:color w:val="000000"/>
          <w:kern w:val="0"/>
          <w:lang w:eastAsia="es-PE"/>
          <w14:ligatures w14:val="none"/>
        </w:rPr>
        <w:t>.</w:t>
      </w:r>
    </w:p>
    <w:p w14:paraId="20B6A43C" w14:textId="77777777" w:rsidR="00CA59A2" w:rsidRPr="00A549C2" w:rsidRDefault="00CA59A2" w:rsidP="00A549C2">
      <w:pPr>
        <w:shd w:val="clear" w:color="000000" w:fill="auto"/>
        <w:spacing w:after="0" w:line="240" w:lineRule="auto"/>
        <w:jc w:val="both"/>
        <w:rPr>
          <w:rFonts w:ascii="Arial Narrow" w:eastAsia="Arial Narrow" w:hAnsi="Arial Narrow" w:cs="Arial Narrow"/>
          <w:b/>
          <w:color w:val="000000"/>
          <w:kern w:val="0"/>
          <w:lang w:eastAsia="es-PE"/>
          <w14:ligatures w14:val="none"/>
        </w:rPr>
      </w:pPr>
    </w:p>
    <w:p w14:paraId="19C74F2A" w14:textId="77777777" w:rsidR="00CA59A2" w:rsidRPr="00A549C2" w:rsidRDefault="00CA59A2" w:rsidP="00A549C2">
      <w:pPr>
        <w:shd w:val="clear" w:color="000000" w:fill="auto"/>
        <w:spacing w:after="0" w:line="240" w:lineRule="auto"/>
        <w:jc w:val="both"/>
        <w:rPr>
          <w:rFonts w:ascii="Arial Narrow" w:eastAsia="Arial Narrow" w:hAnsi="Arial Narrow" w:cs="Arial Narrow"/>
          <w:color w:val="000000"/>
          <w:kern w:val="0"/>
          <w:lang w:eastAsia="es-PE"/>
          <w14:ligatures w14:val="none"/>
        </w:rPr>
      </w:pPr>
      <w:r w:rsidRPr="00A549C2">
        <w:rPr>
          <w:rFonts w:ascii="Arial Narrow" w:eastAsia="Arial Narrow" w:hAnsi="Arial Narrow" w:cs="Arial Narrow"/>
          <w:b/>
          <w:color w:val="000000"/>
          <w:kern w:val="0"/>
          <w:lang w:eastAsia="es-PE"/>
          <w14:ligatures w14:val="none"/>
        </w:rPr>
        <w:t>SÉTIMO:</w:t>
      </w:r>
      <w:r w:rsidRPr="00A549C2">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E34CF09" w14:textId="77777777" w:rsidR="00CA59A2" w:rsidRPr="00A549C2" w:rsidRDefault="00CA59A2" w:rsidP="00A549C2">
      <w:pPr>
        <w:shd w:val="clear" w:color="000000" w:fill="auto"/>
        <w:spacing w:after="0" w:line="240" w:lineRule="auto"/>
        <w:jc w:val="both"/>
        <w:rPr>
          <w:rFonts w:ascii="Arial Narrow" w:eastAsia="Arial Narrow" w:hAnsi="Arial Narrow" w:cs="Arial Narrow"/>
          <w:color w:val="000000"/>
          <w:kern w:val="0"/>
          <w:lang w:eastAsia="es-PE"/>
          <w14:ligatures w14:val="none"/>
        </w:rPr>
      </w:pPr>
    </w:p>
    <w:p w14:paraId="1AF73868" w14:textId="3A43312B" w:rsidR="00CA59A2" w:rsidRPr="00A549C2" w:rsidRDefault="00CA59A2" w:rsidP="00A549C2">
      <w:pPr>
        <w:shd w:val="clear" w:color="000000" w:fill="auto"/>
        <w:suppressAutoHyphens/>
        <w:spacing w:after="0" w:line="240" w:lineRule="auto"/>
        <w:jc w:val="both"/>
        <w:rPr>
          <w:rFonts w:ascii="Arial Narrow" w:eastAsia="Calibri" w:hAnsi="Arial Narrow" w:cs="Arial"/>
          <w:kern w:val="0"/>
          <w:u w:val="single"/>
          <w14:ligatures w14:val="none"/>
        </w:rPr>
      </w:pPr>
      <w:r w:rsidRPr="00A549C2">
        <w:rPr>
          <w:rFonts w:ascii="Arial Narrow" w:eastAsia="Arial Narrow" w:hAnsi="Arial Narrow" w:cs="Arial"/>
          <w:b/>
          <w:bCs/>
          <w:color w:val="000000"/>
          <w:kern w:val="0"/>
          <w14:ligatures w14:val="none"/>
        </w:rPr>
        <w:t>OCTAVO</w:t>
      </w:r>
      <w:r w:rsidRPr="00A549C2">
        <w:rPr>
          <w:rFonts w:ascii="Arial Narrow" w:eastAsia="Arial Narrow" w:hAnsi="Arial Narrow" w:cs="Arial"/>
          <w:b/>
          <w:color w:val="000000"/>
          <w:kern w:val="0"/>
          <w14:ligatures w14:val="none"/>
        </w:rPr>
        <w:t>:</w:t>
      </w:r>
      <w:r w:rsidRPr="00A549C2">
        <w:rPr>
          <w:rFonts w:ascii="Arial Narrow" w:eastAsia="Arial Narrow" w:hAnsi="Arial Narrow" w:cs="Arial"/>
          <w:color w:val="000000"/>
          <w:kern w:val="0"/>
          <w14:ligatures w14:val="none"/>
        </w:rPr>
        <w:t xml:space="preserve"> comunicar a las partes que, de acuerdo a lo señalado por el artículo 29 del Decreto Legislativo</w:t>
      </w:r>
      <w:r w:rsidR="00A549C2" w:rsidRPr="00A549C2">
        <w:rPr>
          <w:rFonts w:ascii="Arial Narrow" w:eastAsia="Arial Narrow" w:hAnsi="Arial Narrow" w:cs="Arial"/>
          <w:color w:val="000000"/>
          <w:kern w:val="0"/>
          <w14:ligatures w14:val="none"/>
        </w:rPr>
        <w:t xml:space="preserve"> </w:t>
      </w:r>
      <w:r w:rsidRPr="00A549C2">
        <w:rPr>
          <w:rFonts w:ascii="Arial Narrow" w:eastAsia="Arial Narrow" w:hAnsi="Arial Narrow" w:cs="Arial"/>
          <w:color w:val="000000"/>
          <w:kern w:val="0"/>
          <w14:ligatures w14:val="none"/>
        </w:rPr>
        <w:t>807</w:t>
      </w:r>
      <w:r w:rsidRPr="00A549C2">
        <w:rPr>
          <w:rFonts w:ascii="Arial Narrow" w:eastAsia="Arial Narrow" w:hAnsi="Arial Narrow" w:cs="Arial"/>
          <w:color w:val="000000"/>
          <w:kern w:val="0"/>
          <w:vertAlign w:val="superscript"/>
          <w14:ligatures w14:val="none"/>
        </w:rPr>
        <w:footnoteReference w:id="7"/>
      </w:r>
      <w:r w:rsidRPr="00A549C2">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A549C2">
        <w:rPr>
          <w:rFonts w:ascii="Arial Narrow" w:eastAsia="Arial Narrow" w:hAnsi="Arial Narrow" w:cs="Arial"/>
          <w:color w:val="000000"/>
          <w:kern w:val="0"/>
          <w:u w:val="single"/>
          <w14:ligatures w14:val="none"/>
        </w:rPr>
        <w:t>expresamente su facultad para asistir y conciliar en su representación</w:t>
      </w:r>
      <w:r w:rsidRPr="00A549C2">
        <w:rPr>
          <w:rFonts w:ascii="Arial Narrow" w:eastAsia="Arial Narrow" w:hAnsi="Arial Narrow" w:cs="Arial"/>
          <w:bCs/>
          <w:color w:val="000000"/>
          <w:kern w:val="0"/>
          <w14:ligatures w14:val="none"/>
        </w:rPr>
        <w:t>.</w:t>
      </w:r>
      <w:r w:rsidRPr="00A549C2">
        <w:rPr>
          <w:rFonts w:ascii="Arial Narrow" w:eastAsia="Arial Narrow" w:hAnsi="Arial Narrow" w:cs="Arial"/>
          <w:b/>
          <w:bCs/>
          <w:color w:val="000000"/>
          <w:kern w:val="0"/>
          <w14:ligatures w14:val="none"/>
        </w:rPr>
        <w:t xml:space="preserve"> </w:t>
      </w:r>
      <w:r w:rsidRPr="00A549C2">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193BA0BC" w14:textId="77777777" w:rsidR="00CA59A2" w:rsidRPr="00A549C2" w:rsidRDefault="00CA59A2" w:rsidP="00A549C2">
      <w:pPr>
        <w:shd w:val="clear" w:color="000000" w:fill="auto"/>
        <w:suppressAutoHyphens/>
        <w:spacing w:after="0" w:line="240" w:lineRule="auto"/>
        <w:jc w:val="both"/>
        <w:rPr>
          <w:rFonts w:ascii="Arial Narrow" w:eastAsia="Calibri" w:hAnsi="Arial Narrow" w:cs="Arial"/>
          <w:kern w:val="0"/>
          <w:u w:val="single"/>
          <w14:ligatures w14:val="none"/>
        </w:rPr>
      </w:pPr>
    </w:p>
    <w:p w14:paraId="1F92138E" w14:textId="77777777" w:rsidR="00CA59A2" w:rsidRPr="00A549C2" w:rsidRDefault="00CA59A2" w:rsidP="00A549C2">
      <w:pPr>
        <w:shd w:val="clear" w:color="000000" w:fill="auto"/>
        <w:suppressAutoHyphens/>
        <w:spacing w:after="0" w:line="240" w:lineRule="auto"/>
        <w:jc w:val="both"/>
        <w:rPr>
          <w:rFonts w:ascii="Arial Narrow" w:eastAsia="Times New Roman" w:hAnsi="Arial Narrow" w:cs="Times New Roman"/>
          <w:color w:val="000000"/>
          <w:kern w:val="0"/>
          <w:lang w:eastAsia="es-PE"/>
          <w14:ligatures w14:val="none"/>
        </w:rPr>
      </w:pPr>
      <w:r w:rsidRPr="00A549C2">
        <w:rPr>
          <w:rFonts w:ascii="Arial Narrow" w:eastAsia="Arial Narrow" w:hAnsi="Arial Narrow" w:cs="Times New Roman"/>
          <w:b/>
          <w:color w:val="000000"/>
          <w:kern w:val="0"/>
          <w:lang w:eastAsia="es-PE"/>
          <w14:ligatures w14:val="none"/>
        </w:rPr>
        <w:t>NOVENO:</w:t>
      </w:r>
      <w:r w:rsidRPr="00A549C2">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4204FE76" w14:textId="77777777" w:rsidR="00CA59A2" w:rsidRPr="00A549C2" w:rsidRDefault="00CA59A2" w:rsidP="00A549C2">
      <w:pPr>
        <w:shd w:val="clear" w:color="000000" w:fill="auto"/>
        <w:suppressAutoHyphens/>
        <w:spacing w:after="0" w:line="240" w:lineRule="auto"/>
        <w:jc w:val="both"/>
        <w:rPr>
          <w:rFonts w:ascii="Arial Narrow" w:eastAsia="Times New Roman" w:hAnsi="Arial Narrow" w:cs="Times New Roman"/>
          <w:color w:val="000000"/>
          <w:kern w:val="0"/>
          <w:lang w:eastAsia="es-PE"/>
          <w14:ligatures w14:val="none"/>
        </w:rPr>
      </w:pPr>
    </w:p>
    <w:p w14:paraId="54A2C078" w14:textId="77777777" w:rsidR="005B4857" w:rsidRPr="00A549C2" w:rsidRDefault="00CA59A2" w:rsidP="00A549C2">
      <w:pPr>
        <w:shd w:val="clear" w:color="000000" w:fill="auto"/>
        <w:suppressAutoHyphens/>
        <w:spacing w:after="0" w:line="240" w:lineRule="auto"/>
        <w:jc w:val="both"/>
        <w:rPr>
          <w:rFonts w:ascii="Arial Narrow" w:hAnsi="Arial Narrow" w:cs="Arial"/>
        </w:rPr>
      </w:pPr>
      <w:r w:rsidRPr="00A549C2">
        <w:rPr>
          <w:rFonts w:ascii="Arial Narrow" w:eastAsia="Arial Narrow" w:hAnsi="Arial Narrow"/>
          <w:b/>
          <w:color w:val="000000"/>
        </w:rPr>
        <w:t xml:space="preserve">DÉCIMO: </w:t>
      </w:r>
      <w:r w:rsidRPr="00A549C2">
        <w:rPr>
          <w:rFonts w:ascii="Arial Narrow" w:eastAsia="Arial Narrow" w:hAnsi="Arial Narrow"/>
          <w:color w:val="000000"/>
        </w:rPr>
        <w:t>notificar la presente resolución a Cirilo Donato de la Cruz Contreras y a La Positiva Seguros y Reaseguros S.a., Santander Consumer Bank S.a., Howden Peru Corredores de Seguros S.A.C. y Astara Peru Retail S.A.C. mediante sus respectivas casillas electrónicas[[FN:__F_NOTIF__]].</w:t>
      </w:r>
    </w:p>
    <w:p w14:paraId="02BEA000" w14:textId="77777777" w:rsidR="008B11E4" w:rsidRPr="00A549C2" w:rsidRDefault="008B11E4" w:rsidP="00A549C2">
      <w:pPr>
        <w:shd w:val="clear" w:color="000000" w:fill="auto"/>
        <w:spacing w:after="0" w:line="240" w:lineRule="auto"/>
        <w:jc w:val="both"/>
        <w:rPr>
          <w:rFonts w:ascii="Arial Narrow" w:hAnsi="Arial Narrow"/>
        </w:rPr>
      </w:pPr>
    </w:p>
    <w:p w14:paraId="660CE2C2" w14:textId="77777777" w:rsidR="008B11E4" w:rsidRPr="00A549C2" w:rsidRDefault="008B11E4" w:rsidP="00A549C2">
      <w:pPr>
        <w:shd w:val="clear" w:color="000000" w:fill="auto"/>
        <w:spacing w:after="0" w:line="240" w:lineRule="auto"/>
        <w:jc w:val="both"/>
        <w:rPr>
          <w:rFonts w:ascii="Arial Narrow" w:hAnsi="Arial Narrow"/>
        </w:rPr>
      </w:pPr>
    </w:p>
    <w:p w14:paraId="1764269D" w14:textId="77777777" w:rsidR="008B11E4" w:rsidRPr="00A549C2" w:rsidRDefault="008B11E4" w:rsidP="00A549C2">
      <w:pPr>
        <w:shd w:val="clear" w:color="000000" w:fill="auto"/>
        <w:spacing w:after="0" w:line="240" w:lineRule="auto"/>
        <w:jc w:val="both"/>
        <w:rPr>
          <w:rFonts w:ascii="Arial Narrow" w:hAnsi="Arial Narrow"/>
        </w:rPr>
      </w:pPr>
    </w:p>
    <w:p w14:paraId="782A225C" w14:textId="77777777" w:rsidR="003A00D7" w:rsidRPr="00A549C2" w:rsidRDefault="003A00D7" w:rsidP="00A549C2">
      <w:pPr>
        <w:shd w:val="clear" w:color="000000" w:fill="auto"/>
        <w:spacing w:after="0" w:line="240" w:lineRule="auto"/>
        <w:jc w:val="center"/>
        <w:rPr>
          <w:rFonts w:ascii="Arial Narrow" w:eastAsia="Arial Narrow" w:hAnsi="Arial Narrow" w:cs="Arial Narrow"/>
          <w:b/>
          <w:color w:val="000000"/>
          <w:lang w:eastAsia="es-PE"/>
        </w:rPr>
      </w:pPr>
      <w:r w:rsidRPr="00A549C2">
        <w:rPr>
          <w:rFonts w:ascii="Arial Narrow" w:eastAsia="Arial Narrow" w:hAnsi="Arial Narrow" w:cs="Arial Narrow"/>
          <w:b/>
          <w:color w:val="000000"/>
          <w:lang w:eastAsia="es-PE"/>
        </w:rPr>
        <w:t xml:space="preserve">Firmado digitalmente por </w:t>
      </w:r>
    </w:p>
    <w:p w14:paraId="03750EA6" w14:textId="77777777" w:rsidR="00C03E0B" w:rsidRPr="00A549C2" w:rsidRDefault="00C03E0B" w:rsidP="00A549C2">
      <w:pPr>
        <w:shd w:val="clear" w:color="000000" w:fill="auto"/>
        <w:spacing w:after="0" w:line="240" w:lineRule="auto"/>
        <w:jc w:val="center"/>
        <w:rPr>
          <w:rFonts w:ascii="Arial Narrow" w:eastAsia="Arial Narrow" w:hAnsi="Arial Narrow" w:cs="Arial Narrow"/>
          <w:b/>
          <w:color w:val="000000"/>
          <w:lang w:eastAsia="es-PE"/>
        </w:rPr>
      </w:pPr>
      <w:r w:rsidRPr="00A549C2">
        <w:rPr>
          <w:rFonts w:ascii="Arial Narrow" w:eastAsia="Arial Narrow" w:hAnsi="Arial Narrow" w:cs="Arial Narrow"/>
          <w:b/>
          <w:color w:val="000000"/>
          <w:lang w:eastAsia="es-PE"/>
        </w:rPr>
        <w:t>EVELING ROA QUISPE</w:t>
      </w:r>
    </w:p>
    <w:p w14:paraId="3CBFA715" w14:textId="77777777" w:rsidR="00C03E0B" w:rsidRPr="00A549C2" w:rsidRDefault="00C03E0B" w:rsidP="00A549C2">
      <w:pPr>
        <w:shd w:val="clear" w:color="000000" w:fill="auto"/>
        <w:spacing w:after="0" w:line="240" w:lineRule="auto"/>
        <w:jc w:val="center"/>
        <w:rPr>
          <w:rFonts w:ascii="Arial Narrow" w:eastAsia="Arial Narrow" w:hAnsi="Arial Narrow" w:cs="Arial Narrow"/>
          <w:b/>
          <w:color w:val="000000"/>
          <w:lang w:eastAsia="es-PE"/>
        </w:rPr>
      </w:pPr>
      <w:r w:rsidRPr="00A549C2">
        <w:rPr>
          <w:rFonts w:ascii="Arial Narrow" w:eastAsia="Arial Narrow" w:hAnsi="Arial Narrow" w:cs="Arial Narrow"/>
          <w:b/>
          <w:color w:val="000000"/>
          <w:lang w:eastAsia="es-PE"/>
        </w:rPr>
        <w:t>Secretaria Técnica</w:t>
      </w:r>
    </w:p>
    <w:p w14:paraId="1F79B3FC" w14:textId="77777777" w:rsidR="003A00D7" w:rsidRPr="00A549C2" w:rsidRDefault="003A00D7" w:rsidP="00A549C2">
      <w:pPr>
        <w:shd w:val="clear" w:color="000000" w:fill="auto"/>
        <w:spacing w:after="0" w:line="240" w:lineRule="auto"/>
        <w:jc w:val="center"/>
        <w:rPr>
          <w:rFonts w:ascii="Arial Narrow" w:eastAsia="Arial Narrow" w:hAnsi="Arial Narrow" w:cs="Arial Narrow"/>
          <w:b/>
          <w:color w:val="000000"/>
          <w:lang w:eastAsia="es-PE"/>
        </w:rPr>
      </w:pPr>
      <w:r w:rsidRPr="00A549C2">
        <w:rPr>
          <w:rFonts w:ascii="Arial Narrow" w:eastAsia="Arial Narrow" w:hAnsi="Arial Narrow" w:cs="Arial Narrow"/>
          <w:b/>
          <w:color w:val="000000"/>
          <w:lang w:eastAsia="es-PE"/>
        </w:rPr>
        <w:t>Comisión de Protección al Consumidor 1</w:t>
      </w:r>
    </w:p>
    <w:p w14:paraId="1AFA9ED8" w14:textId="77777777" w:rsidR="003A00D7" w:rsidRPr="00A549C2" w:rsidRDefault="003A00D7" w:rsidP="00A549C2">
      <w:pPr>
        <w:shd w:val="clear" w:color="000000" w:fill="auto"/>
        <w:spacing w:after="0" w:line="240" w:lineRule="auto"/>
        <w:rPr>
          <w:rFonts w:ascii="Arial Narrow" w:hAnsi="Arial Narrow"/>
          <w:sz w:val="16"/>
          <w:szCs w:val="18"/>
        </w:rPr>
      </w:pPr>
      <w:r w:rsidRPr="00A549C2">
        <w:rPr>
          <w:rFonts w:ascii="Arial Narrow" w:eastAsia="Arial Narrow" w:hAnsi="Arial Narrow"/>
          <w:color w:val="000000"/>
          <w:sz w:val="16"/>
          <w:szCs w:val="18"/>
        </w:rPr>
        <w:t>LGP/JCQ</w:t>
      </w:r>
    </w:p>
    <w:p w14:paraId="1BAC8536" w14:textId="77777777" w:rsidR="00CA59A2" w:rsidRPr="00A549C2" w:rsidRDefault="00CA59A2" w:rsidP="00A549C2">
      <w:pPr>
        <w:shd w:val="clear" w:color="000000" w:fill="auto"/>
        <w:spacing w:after="0" w:line="240" w:lineRule="auto"/>
        <w:jc w:val="both"/>
        <w:rPr>
          <w:rFonts w:ascii="Arial Narrow" w:hAnsi="Arial Narrow"/>
        </w:rPr>
      </w:pPr>
    </w:p>
    <w:p w14:paraId="447F19B2" w14:textId="77777777" w:rsidR="001B5674" w:rsidRPr="00A549C2" w:rsidRDefault="001B5674" w:rsidP="00A549C2">
      <w:pPr>
        <w:shd w:val="clear" w:color="000000" w:fill="auto"/>
        <w:spacing w:after="0" w:line="240" w:lineRule="auto"/>
        <w:jc w:val="both"/>
        <w:rPr>
          <w:rFonts w:ascii="Arial Narrow" w:hAnsi="Arial Narrow"/>
        </w:rPr>
      </w:pPr>
    </w:p>
    <w:sectPr w:rsidR="001B5674" w:rsidRPr="00A549C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8E48D" w14:textId="77777777" w:rsidR="003C72A4" w:rsidRDefault="003C72A4" w:rsidP="00DA79A0">
      <w:pPr>
        <w:spacing w:after="0" w:line="240" w:lineRule="auto"/>
      </w:pPr>
      <w:r>
        <w:separator/>
      </w:r>
    </w:p>
  </w:endnote>
  <w:endnote w:type="continuationSeparator" w:id="0">
    <w:p w14:paraId="5D1F58E5" w14:textId="77777777" w:rsidR="003C72A4" w:rsidRDefault="003C72A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FF24F"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03DA" w14:textId="10B0CE9C" w:rsidR="00B91E42" w:rsidRPr="00A549C2" w:rsidRDefault="00A549C2" w:rsidP="00A549C2">
    <w:pPr>
      <w:pStyle w:val="Piedepgina"/>
      <w:rPr>
        <w:rFonts w:ascii="Arial Narrow" w:hAnsi="Arial Narrow"/>
        <w:sz w:val="18"/>
      </w:rPr>
    </w:pPr>
    <w:r w:rsidRPr="00A549C2">
      <w:rPr>
        <w:rFonts w:ascii="Arial Narrow" w:hAnsi="Arial Narrow"/>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039F8"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3D21" w14:textId="77777777" w:rsidR="003C72A4" w:rsidRDefault="003C72A4" w:rsidP="00DA79A0">
      <w:pPr>
        <w:spacing w:after="0" w:line="240" w:lineRule="auto"/>
      </w:pPr>
      <w:r>
        <w:separator/>
      </w:r>
    </w:p>
  </w:footnote>
  <w:footnote w:type="continuationSeparator" w:id="0">
    <w:p w14:paraId="53ECBA2B" w14:textId="77777777" w:rsidR="003C72A4" w:rsidRDefault="003C72A4" w:rsidP="00DA79A0">
      <w:pPr>
        <w:spacing w:after="0" w:line="240" w:lineRule="auto"/>
      </w:pPr>
      <w:r>
        <w:continuationSeparator/>
      </w:r>
    </w:p>
  </w:footnote>
  <w:footnote w:id="1">
    <w:p w14:paraId="651A0174" w14:textId="2BA8E928" w:rsidR="0028322F" w:rsidRPr="00A549C2" w:rsidRDefault="00CA59A2" w:rsidP="00A549C2">
      <w:pPr>
        <w:pStyle w:val="Textonotapie"/>
        <w:tabs>
          <w:tab w:val="left" w:pos="567"/>
        </w:tabs>
        <w:ind w:left="567" w:hanging="567"/>
        <w:jc w:val="both"/>
        <w:rPr>
          <w:rFonts w:ascii="Arial Narrow" w:hAnsi="Arial Narrow"/>
          <w:b/>
          <w:sz w:val="16"/>
        </w:rPr>
      </w:pPr>
      <w:r w:rsidRPr="00A549C2">
        <w:rPr>
          <w:rStyle w:val="Refdenotaalpie"/>
          <w:rFonts w:ascii="Arial Narrow" w:hAnsi="Arial Narrow" w:cs="Arial"/>
          <w:sz w:val="16"/>
          <w:szCs w:val="16"/>
        </w:rPr>
        <w:footnoteRef/>
      </w:r>
      <w:r w:rsidR="00A549C2">
        <w:rPr>
          <w:b/>
        </w:rPr>
        <w:t xml:space="preserve"> </w:t>
      </w:r>
      <w:r w:rsidR="0028322F" w:rsidRPr="00A549C2">
        <w:rPr>
          <w:rFonts w:ascii="Arial Narrow" w:hAnsi="Arial Narrow"/>
          <w:b/>
          <w:sz w:val="16"/>
        </w:rPr>
        <w:tab/>
        <w:t>LEY SOBRE FACULTADES, NORMAS Y ORGANIZACIÓN DEL INDECOPI, APROBADA POR DECRETO LEGISLATIVO 807</w:t>
      </w:r>
    </w:p>
    <w:p w14:paraId="31B69E13" w14:textId="77777777" w:rsidR="0028322F" w:rsidRPr="00A549C2" w:rsidRDefault="0028322F" w:rsidP="00A549C2">
      <w:pPr>
        <w:pStyle w:val="Textonotapie"/>
        <w:ind w:left="567"/>
        <w:jc w:val="both"/>
        <w:rPr>
          <w:rFonts w:ascii="Arial Narrow" w:hAnsi="Arial Narrow"/>
          <w:b/>
          <w:sz w:val="16"/>
        </w:rPr>
      </w:pPr>
      <w:r w:rsidRPr="00A549C2">
        <w:rPr>
          <w:rFonts w:ascii="Arial Narrow" w:hAnsi="Arial Narrow"/>
          <w:b/>
          <w:sz w:val="16"/>
        </w:rPr>
        <w:t>Artículo 24.- El Secretario Técnico se encargará de la tramitación del procedimiento. Para ello, cuenta con las siguientes facultades:</w:t>
      </w:r>
    </w:p>
    <w:p w14:paraId="45DB1E10" w14:textId="3C8DF8C0"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 </w:t>
      </w:r>
    </w:p>
    <w:p w14:paraId="021D1984" w14:textId="2D8CBAAA"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c) Admitir denuncias a trámite, en aquellos casos en que la Comisión le haya delegado esta facultad. </w:t>
      </w:r>
    </w:p>
    <w:p w14:paraId="31689E4B" w14:textId="0AE1C83A"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w:t>
      </w:r>
    </w:p>
    <w:p w14:paraId="6C83C604" w14:textId="589DE603" w:rsidR="00CA59A2" w:rsidRPr="00A549C2" w:rsidRDefault="0028322F" w:rsidP="00A549C2">
      <w:pPr>
        <w:pStyle w:val="Textonotapie"/>
        <w:spacing w:after="200"/>
        <w:ind w:left="567"/>
        <w:jc w:val="both"/>
        <w:rPr>
          <w:rFonts w:eastAsia="Arial Narrow"/>
        </w:rPr>
      </w:pPr>
      <w:r w:rsidRPr="00A549C2">
        <w:rPr>
          <w:rFonts w:ascii="Arial Narrow" w:hAnsi="Arial Narrow"/>
          <w:sz w:val="16"/>
        </w:rPr>
        <w:t xml:space="preserve">. </w:t>
      </w:r>
    </w:p>
  </w:footnote>
  <w:footnote w:id="2">
    <w:p w14:paraId="263B1A34" w14:textId="12CB22F4" w:rsidR="00CA59A2" w:rsidRPr="00A549C2" w:rsidRDefault="00CA59A2" w:rsidP="00A549C2">
      <w:pPr>
        <w:pStyle w:val="Textonotapie"/>
        <w:tabs>
          <w:tab w:val="left" w:pos="567"/>
        </w:tabs>
        <w:spacing w:after="200"/>
        <w:ind w:left="567" w:hanging="567"/>
        <w:jc w:val="both"/>
      </w:pPr>
      <w:r w:rsidRPr="00A549C2">
        <w:rPr>
          <w:rStyle w:val="Refdenotaalpie"/>
          <w:rFonts w:ascii="Arial Narrow" w:hAnsi="Arial Narrow" w:cs="Arial"/>
          <w:sz w:val="16"/>
          <w:szCs w:val="16"/>
        </w:rPr>
        <w:footnoteRef/>
      </w:r>
      <w:r w:rsidRPr="00A549C2">
        <w:t xml:space="preserve"> </w:t>
      </w:r>
      <w:r w:rsidRPr="00A549C2">
        <w:rPr>
          <w:rFonts w:ascii="Arial Narrow" w:hAnsi="Arial Narrow"/>
          <w:sz w:val="16"/>
        </w:rPr>
        <w:tab/>
        <w:t xml:space="preserve">El número de trabajadores se atenderá siempre que la empresa haya sido constituida antes de la vigencia de la </w:t>
      </w:r>
      <w:r w:rsidR="000E6FE2" w:rsidRPr="00A549C2">
        <w:rPr>
          <w:rFonts w:ascii="Arial Narrow" w:hAnsi="Arial Narrow"/>
          <w:sz w:val="16"/>
        </w:rPr>
        <w:t xml:space="preserve">Ley </w:t>
      </w:r>
      <w:r w:rsidRPr="00A549C2">
        <w:rPr>
          <w:rFonts w:ascii="Arial Narrow" w:hAnsi="Arial Narrow"/>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3">
    <w:p w14:paraId="4468FAC8" w14:textId="77777777" w:rsidR="0028322F" w:rsidRPr="00A549C2" w:rsidRDefault="00CA59A2" w:rsidP="00A549C2">
      <w:pPr>
        <w:pStyle w:val="Textonotapie"/>
        <w:tabs>
          <w:tab w:val="left" w:pos="567"/>
        </w:tabs>
        <w:ind w:left="567" w:hanging="567"/>
        <w:jc w:val="both"/>
        <w:rPr>
          <w:rFonts w:ascii="Arial Narrow" w:hAnsi="Arial Narrow"/>
          <w:b/>
          <w:sz w:val="16"/>
        </w:rPr>
      </w:pPr>
      <w:r w:rsidRPr="00A549C2">
        <w:rPr>
          <w:rStyle w:val="Refdenotaalpie"/>
          <w:rFonts w:ascii="Arial Narrow" w:hAnsi="Arial Narrow" w:cs="Arial"/>
          <w:sz w:val="16"/>
          <w:szCs w:val="16"/>
        </w:rPr>
        <w:footnoteRef/>
      </w:r>
      <w:r w:rsidRPr="00A549C2">
        <w:rPr>
          <w:b/>
        </w:rPr>
        <w:t xml:space="preserve"> </w:t>
      </w:r>
      <w:r w:rsidR="0028322F" w:rsidRPr="00A549C2">
        <w:rPr>
          <w:rFonts w:ascii="Arial Narrow" w:hAnsi="Arial Narrow"/>
          <w:b/>
          <w:sz w:val="16"/>
        </w:rPr>
        <w:tab/>
        <w:t>LEY 29571, CÓDIGO DE PROTECCIÓN Y DEFENSA DEL CONSUMIDOR, publicado el 2 de setiembre de 2010 y modificado por DECRETO LEGISLATIVO 1308</w:t>
      </w:r>
    </w:p>
    <w:p w14:paraId="0A69A5D9" w14:textId="6436701A" w:rsidR="0028322F" w:rsidRPr="00A549C2" w:rsidRDefault="0028322F" w:rsidP="00A549C2">
      <w:pPr>
        <w:pStyle w:val="Textonotapie"/>
        <w:ind w:left="567"/>
        <w:jc w:val="both"/>
        <w:rPr>
          <w:rFonts w:ascii="Arial Narrow" w:hAnsi="Arial Narrow"/>
          <w:b/>
          <w:sz w:val="16"/>
        </w:rPr>
      </w:pPr>
      <w:r w:rsidRPr="00A549C2">
        <w:rPr>
          <w:rFonts w:ascii="Arial Narrow" w:hAnsi="Arial Narrow"/>
          <w:b/>
          <w:sz w:val="16"/>
        </w:rPr>
        <w:t>Artículo 110.- sanciones Administrativas</w:t>
      </w:r>
    </w:p>
    <w:p w14:paraId="120C2B7C"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w:t>
      </w:r>
    </w:p>
    <w:p w14:paraId="77ECE99E"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071D82C" w14:textId="1608A1DE" w:rsidR="00CA59A2" w:rsidRPr="00A549C2" w:rsidRDefault="0028322F" w:rsidP="00A549C2">
      <w:pPr>
        <w:pStyle w:val="Textonotapie"/>
        <w:spacing w:after="200"/>
        <w:ind w:left="567"/>
        <w:jc w:val="both"/>
        <w:rPr>
          <w:bCs/>
        </w:rPr>
      </w:pPr>
      <w:r w:rsidRPr="00A549C2">
        <w:rPr>
          <w:rFonts w:ascii="Arial Narrow" w:hAnsi="Arial Narrow"/>
          <w:sz w:val="16"/>
        </w:rPr>
        <w:t>(…).</w:t>
      </w:r>
    </w:p>
  </w:footnote>
  <w:footnote w:id="4">
    <w:p w14:paraId="3A7EF6A3" w14:textId="6AEB5B9D" w:rsidR="0028322F" w:rsidRPr="00A549C2" w:rsidRDefault="00CA59A2" w:rsidP="00A549C2">
      <w:pPr>
        <w:pStyle w:val="Textonotapie"/>
        <w:tabs>
          <w:tab w:val="left" w:pos="567"/>
        </w:tabs>
        <w:ind w:left="567" w:hanging="567"/>
        <w:jc w:val="both"/>
        <w:rPr>
          <w:rFonts w:ascii="Arial Narrow" w:hAnsi="Arial Narrow"/>
          <w:b/>
          <w:sz w:val="16"/>
        </w:rPr>
      </w:pPr>
      <w:r w:rsidRPr="00A549C2">
        <w:rPr>
          <w:rStyle w:val="TextonotapieCar"/>
          <w:rFonts w:ascii="Arial Narrow" w:hAnsi="Arial Narrow" w:cs="Arial"/>
          <w:sz w:val="16"/>
          <w:szCs w:val="16"/>
          <w:vertAlign w:val="superscript"/>
        </w:rPr>
        <w:footnoteRef/>
      </w:r>
      <w:r w:rsidR="00A549C2">
        <w:rPr>
          <w:b/>
        </w:rPr>
        <w:t xml:space="preserve"> </w:t>
      </w:r>
      <w:r w:rsidR="0028322F" w:rsidRPr="00A549C2">
        <w:rPr>
          <w:rFonts w:ascii="Arial Narrow" w:hAnsi="Arial Narrow"/>
          <w:b/>
          <w:sz w:val="16"/>
        </w:rPr>
        <w:tab/>
        <w:t>LEY 29571, CÓDIGO DE PROTECCIÓN Y DEFENSA DEL CONSUMIDOR, publicado el 2 de setiembre de 2010 y modificado por DECRETO LEGISLATIVO 1308</w:t>
      </w:r>
    </w:p>
    <w:p w14:paraId="33C89F36" w14:textId="177786F7" w:rsidR="0028322F" w:rsidRPr="00A549C2" w:rsidRDefault="0028322F" w:rsidP="00A549C2">
      <w:pPr>
        <w:pStyle w:val="Textonotapie"/>
        <w:ind w:left="567"/>
        <w:jc w:val="both"/>
        <w:rPr>
          <w:rFonts w:ascii="Arial Narrow" w:hAnsi="Arial Narrow"/>
          <w:b/>
          <w:sz w:val="16"/>
        </w:rPr>
      </w:pPr>
      <w:r w:rsidRPr="00A549C2">
        <w:rPr>
          <w:rFonts w:ascii="Arial Narrow" w:hAnsi="Arial Narrow"/>
          <w:b/>
          <w:sz w:val="16"/>
        </w:rPr>
        <w:t>Artículo 110.- sanciones administrativas</w:t>
      </w:r>
    </w:p>
    <w:p w14:paraId="3290A5D9"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2373764"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Infracciones leves, con una amonestación o con una multa de hasta cincuenta (50) UIT.</w:t>
      </w:r>
    </w:p>
    <w:p w14:paraId="4B54F50F"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Infracciones graves, con una multa de hasta ciento cincuenta (150) UIT.</w:t>
      </w:r>
    </w:p>
    <w:p w14:paraId="154A1280"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Infracciones muy graves, con una multa de hasta cuatrocientos cincuenta (450) UIT.</w:t>
      </w:r>
    </w:p>
    <w:p w14:paraId="55B46801" w14:textId="77777777" w:rsidR="00CA59A2" w:rsidRPr="00A549C2" w:rsidRDefault="0028322F" w:rsidP="00A549C2">
      <w:pPr>
        <w:pStyle w:val="Textonotapie"/>
        <w:spacing w:after="200"/>
        <w:ind w:left="567"/>
        <w:jc w:val="both"/>
        <w:rPr>
          <w:rFonts w:eastAsia="Arial Narrow"/>
        </w:rPr>
      </w:pPr>
      <w:r w:rsidRPr="00A549C2">
        <w:rPr>
          <w:rFonts w:ascii="Arial Narrow" w:hAnsi="Arial Narrow"/>
          <w:sz w:val="16"/>
        </w:rPr>
        <w:t>(…).</w:t>
      </w:r>
    </w:p>
  </w:footnote>
  <w:footnote w:id="5">
    <w:p w14:paraId="0506CE5A" w14:textId="7C2801DF" w:rsidR="0028322F" w:rsidRPr="00A549C2" w:rsidRDefault="00CA59A2" w:rsidP="00A549C2">
      <w:pPr>
        <w:pStyle w:val="Textonotapie"/>
        <w:tabs>
          <w:tab w:val="left" w:pos="567"/>
        </w:tabs>
        <w:ind w:left="567" w:hanging="567"/>
        <w:jc w:val="both"/>
        <w:rPr>
          <w:rFonts w:ascii="Arial Narrow" w:hAnsi="Arial Narrow"/>
          <w:b/>
          <w:sz w:val="16"/>
        </w:rPr>
      </w:pPr>
      <w:r w:rsidRPr="00A549C2">
        <w:rPr>
          <w:rStyle w:val="Refdenotaalpie"/>
          <w:rFonts w:ascii="Arial Narrow" w:hAnsi="Arial Narrow" w:cs="Arial"/>
          <w:sz w:val="16"/>
          <w:szCs w:val="16"/>
        </w:rPr>
        <w:footnoteRef/>
      </w:r>
      <w:r w:rsidR="00A549C2">
        <w:rPr>
          <w:b/>
        </w:rPr>
        <w:t xml:space="preserve"> </w:t>
      </w:r>
      <w:r w:rsidR="0028322F" w:rsidRPr="00A549C2">
        <w:rPr>
          <w:rFonts w:ascii="Arial Narrow" w:hAnsi="Arial Narrow"/>
          <w:b/>
          <w:sz w:val="16"/>
        </w:rPr>
        <w:tab/>
        <w:t>LEY 29571, CÓDIGO DE PROTECCIÓN Y DEFENSA DEL CONSUMIDOR, publicado el 2 de setiembre de 2010 y modificado por DECRETO LEGISLATIVO 1308</w:t>
      </w:r>
    </w:p>
    <w:p w14:paraId="7126F9F4" w14:textId="77777777" w:rsidR="0028322F" w:rsidRPr="00A549C2" w:rsidRDefault="0028322F" w:rsidP="00A549C2">
      <w:pPr>
        <w:pStyle w:val="Textonotapie"/>
        <w:ind w:left="567"/>
        <w:jc w:val="both"/>
        <w:rPr>
          <w:rFonts w:ascii="Arial Narrow" w:hAnsi="Arial Narrow"/>
          <w:b/>
          <w:sz w:val="16"/>
        </w:rPr>
      </w:pPr>
      <w:r w:rsidRPr="00A549C2">
        <w:rPr>
          <w:rFonts w:ascii="Arial Narrow" w:hAnsi="Arial Narrow"/>
          <w:b/>
          <w:sz w:val="16"/>
        </w:rPr>
        <w:t>Artículo 114.- medidas correctivas</w:t>
      </w:r>
    </w:p>
    <w:p w14:paraId="7F500CBC"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Sin perjuicio de la sanción administrativa que corresponda al proveedor por una infracción al presente Código, el Indecopi puede dictar, en calidad de mandatos, medidas correctivas reparadoras y complementarias. </w:t>
      </w:r>
    </w:p>
    <w:p w14:paraId="3D057551" w14:textId="032587A5"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1572895B" w14:textId="51D17019"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Las medidas correctivas complementarias pueden dictarse de oficio o a pedido de parte.</w:t>
      </w:r>
    </w:p>
    <w:p w14:paraId="7D631C14" w14:textId="77777777" w:rsidR="0028322F" w:rsidRPr="00A549C2" w:rsidRDefault="0028322F" w:rsidP="00A549C2">
      <w:pPr>
        <w:spacing w:after="0" w:line="240" w:lineRule="auto"/>
        <w:ind w:left="567"/>
        <w:jc w:val="both"/>
        <w:rPr>
          <w:rFonts w:ascii="Arial Narrow" w:hAnsi="Arial Narrow" w:cs="Arial"/>
          <w:b/>
          <w:sz w:val="16"/>
          <w:szCs w:val="16"/>
        </w:rPr>
      </w:pPr>
      <w:r w:rsidRPr="00A549C2">
        <w:rPr>
          <w:rFonts w:ascii="Arial Narrow" w:hAnsi="Arial Narrow" w:cs="Arial"/>
          <w:b/>
          <w:sz w:val="16"/>
          <w:szCs w:val="16"/>
        </w:rPr>
        <w:tab/>
        <w:t>Artículo 115.- medidas correctivas reparadoras</w:t>
      </w:r>
    </w:p>
    <w:p w14:paraId="5E3930F0" w14:textId="6AC660E6"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31742D3"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Reparar productos.</w:t>
      </w:r>
    </w:p>
    <w:p w14:paraId="3E6B781D"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Cambiar productos por otros de idénticas o similares características, cuando la reparación no sea posible o no resulte razonable según las circunstancias.</w:t>
      </w:r>
    </w:p>
    <w:p w14:paraId="3BEBB3BF"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Entregar un producto de idénticas características o, cuando esto no resulte posible, de similares características, en los supuestos de pérdida o deterioro atribuible al proveedor y siempre que exista interés del consumidor.</w:t>
      </w:r>
    </w:p>
    <w:p w14:paraId="5C5B7D9A"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Cumplir con ejecutar la prestación u obligación asumida; y si esto no resulte posible o no sea razonable, otra de efectos equivalentes, incluyendo prestaciones dinerarias.</w:t>
      </w:r>
    </w:p>
    <w:p w14:paraId="3CEE6745"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Cumplir con ejecutar otras prestaciones u obligaciones legales o convencionales a su cargo.</w:t>
      </w:r>
    </w:p>
    <w:p w14:paraId="20FC923E"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48315A4"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En los supuestos de pagos indebidos o en exceso, devolver estos montos, más los intereses correspondientes.</w:t>
      </w:r>
    </w:p>
    <w:p w14:paraId="03E1E223"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Pagar los gastos incurridos por el consumidor para mitigar las consecuencias de la infracción administrativa.</w:t>
      </w:r>
    </w:p>
    <w:p w14:paraId="0BAD1CFA"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Otras medidas reparadoras análogas de efectos equivalentes a las anteriores.</w:t>
      </w:r>
    </w:p>
    <w:p w14:paraId="0B3D6882"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DDEF3DB"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D3DEDF9"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115.4 Corresponde al consumidor que solicita el dictado de la medida correctiva reparadora probar las consecuencias patrimoniales directas e inmediatas causadas por la comisión de la infracción administrativa.</w:t>
      </w:r>
    </w:p>
    <w:p w14:paraId="4BDF6C5B"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54CC57C"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D410B7F"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8C72A3B" w14:textId="77777777" w:rsidR="0028322F" w:rsidRPr="00A549C2" w:rsidRDefault="0028322F" w:rsidP="00A549C2">
      <w:pPr>
        <w:spacing w:after="0" w:line="240" w:lineRule="auto"/>
        <w:ind w:left="567"/>
        <w:jc w:val="both"/>
        <w:rPr>
          <w:rFonts w:ascii="Arial Narrow" w:hAnsi="Arial Narrow" w:cs="Arial"/>
          <w:b/>
          <w:sz w:val="16"/>
          <w:szCs w:val="16"/>
        </w:rPr>
      </w:pPr>
      <w:r w:rsidRPr="00A549C2">
        <w:rPr>
          <w:rFonts w:ascii="Arial Narrow" w:hAnsi="Arial Narrow" w:cs="Arial"/>
          <w:b/>
          <w:sz w:val="16"/>
          <w:szCs w:val="16"/>
        </w:rPr>
        <w:t>Artículo 116.- medidas correctivas complementarias</w:t>
      </w:r>
    </w:p>
    <w:p w14:paraId="1BAC0256"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Las medidas correctivas complementarias tienen el objeto de revertir los efectos de la conducta infractora o evitar que esta se produzca nuevamente en el futuro y pueden ser, entre otras, las siguientes: </w:t>
      </w:r>
    </w:p>
    <w:p w14:paraId="30E25C1C"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a. Que el proveedor cumpla con atender la solicitud de información requerida por el consumidor, siempre que dicho requerimiento guarde relación con el producto adquirido o servicio contratado. </w:t>
      </w:r>
    </w:p>
    <w:p w14:paraId="76F460DB"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b. Declarar inexigibles las cláusulas que han sido identificadas como abusivas en el procedimiento. </w:t>
      </w:r>
    </w:p>
    <w:p w14:paraId="1834A4BA"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c. El decomiso y destrucción de la mercadería, envases, envolturas o etiquetas. </w:t>
      </w:r>
    </w:p>
    <w:p w14:paraId="36A02E17"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d. En caso de infracciones muy graves y de reincidencia o reiterancia: </w:t>
      </w:r>
    </w:p>
    <w:p w14:paraId="3A14FCE0"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(i) Solicitar a la autoridad correspondiente la clausura temporal del establecimiento industrial, comercial o de servicios por un plazo máximo de seis (6) meses. </w:t>
      </w:r>
    </w:p>
    <w:p w14:paraId="5235F304"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(ii) Solicitar a la autoridad competente la inhabilitación, temporal o permanente, del proveedor en función de los alcances de la infracción sancionada. </w:t>
      </w:r>
    </w:p>
    <w:p w14:paraId="7AB8D1E4"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1F59182F" w14:textId="77777777"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 xml:space="preserve">f. Cualquier otra medida correctiva que tenga el objeto de revertir los efectos de la conducta infractora o evitar que esta se produzca nuevamente en el futuro. </w:t>
      </w:r>
    </w:p>
    <w:p w14:paraId="2C0E06CF" w14:textId="5F816C53" w:rsidR="00CA59A2" w:rsidRPr="00A549C2" w:rsidRDefault="0028322F" w:rsidP="00A549C2">
      <w:pPr>
        <w:pStyle w:val="Textonotapie"/>
        <w:ind w:left="567"/>
        <w:jc w:val="both"/>
        <w:rPr>
          <w:rFonts w:eastAsia="Arial Narrow"/>
        </w:rPr>
      </w:pPr>
      <w:r w:rsidRPr="00A549C2">
        <w:rPr>
          <w:rFonts w:ascii="Arial Narrow" w:hAnsi="Arial Narrow"/>
          <w:sz w:val="16"/>
        </w:rPr>
        <w:t>El Indecopi está facultado para solicitar a la autoridad municipal y policial el apoyo respectivo para la ejecución de las medidas correctivas complementarias correspondientes.</w:t>
      </w:r>
    </w:p>
  </w:footnote>
  <w:footnote w:id="6">
    <w:p w14:paraId="3127FE0E" w14:textId="03E948BC" w:rsidR="0028322F" w:rsidRPr="00A549C2" w:rsidRDefault="00CA59A2" w:rsidP="00A549C2">
      <w:pPr>
        <w:pStyle w:val="Textonotapie"/>
        <w:tabs>
          <w:tab w:val="left" w:pos="567"/>
        </w:tabs>
        <w:ind w:left="567" w:hanging="567"/>
        <w:jc w:val="both"/>
        <w:rPr>
          <w:rFonts w:ascii="Arial Narrow" w:hAnsi="Arial Narrow"/>
          <w:b/>
          <w:sz w:val="16"/>
        </w:rPr>
      </w:pPr>
      <w:r w:rsidRPr="00A549C2">
        <w:rPr>
          <w:rStyle w:val="Refdenotaalpie"/>
          <w:rFonts w:ascii="Arial Narrow" w:hAnsi="Arial Narrow" w:cs="Arial"/>
          <w:sz w:val="16"/>
          <w:szCs w:val="16"/>
        </w:rPr>
        <w:footnoteRef/>
      </w:r>
      <w:r w:rsidR="00A549C2">
        <w:rPr>
          <w:b/>
        </w:rPr>
        <w:t xml:space="preserve"> </w:t>
      </w:r>
      <w:r w:rsidR="0028322F" w:rsidRPr="00A549C2">
        <w:rPr>
          <w:rFonts w:ascii="Arial Narrow" w:hAnsi="Arial Narrow"/>
          <w:b/>
          <w:sz w:val="16"/>
        </w:rPr>
        <w:tab/>
        <w:t>LEY 29571, CÓDIGO DE PROTECCIÓN Y DEFENSA DEL CONSUMIDOR, publicado el 2 de setiembre de 2010 y modificado por DECRETO LEGISLATIVO 1308</w:t>
      </w:r>
    </w:p>
    <w:p w14:paraId="664A242B" w14:textId="6EE4DF8D" w:rsidR="0028322F" w:rsidRPr="00A549C2" w:rsidRDefault="0028322F" w:rsidP="00A549C2">
      <w:pPr>
        <w:pStyle w:val="Textonotapie"/>
        <w:ind w:left="567"/>
        <w:jc w:val="both"/>
        <w:rPr>
          <w:rFonts w:ascii="Arial Narrow" w:hAnsi="Arial Narrow"/>
          <w:b/>
          <w:sz w:val="16"/>
        </w:rPr>
      </w:pPr>
      <w:r w:rsidRPr="00A549C2">
        <w:rPr>
          <w:rFonts w:ascii="Arial Narrow" w:hAnsi="Arial Narrow"/>
          <w:b/>
          <w:sz w:val="16"/>
        </w:rPr>
        <w:t>Artículo 112.- criterios de graduación de las sanciones administrativas</w:t>
      </w:r>
    </w:p>
    <w:p w14:paraId="455A7198" w14:textId="5D612566"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w:t>
      </w:r>
    </w:p>
    <w:p w14:paraId="39C4A43E" w14:textId="72E49996"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Se consideran circunstancias atenuantes especiales, las siguientes:</w:t>
      </w:r>
    </w:p>
    <w:p w14:paraId="47DDB810" w14:textId="46E50009" w:rsidR="0028322F" w:rsidRPr="00A549C2" w:rsidRDefault="0028322F" w:rsidP="00A549C2">
      <w:pPr>
        <w:pStyle w:val="Textonotapie"/>
        <w:ind w:left="567"/>
        <w:jc w:val="both"/>
        <w:rPr>
          <w:rFonts w:ascii="Arial Narrow" w:hAnsi="Arial Narrow"/>
          <w:sz w:val="16"/>
        </w:rPr>
      </w:pPr>
      <w:r w:rsidRPr="00A549C2">
        <w:rPr>
          <w:rFonts w:ascii="Arial Narrow" w:hAnsi="Arial Narrow"/>
          <w:sz w:val="16"/>
        </w:rPr>
        <w:t>(…)</w:t>
      </w:r>
    </w:p>
    <w:p w14:paraId="19504F55" w14:textId="57804506" w:rsidR="00CA59A2" w:rsidRPr="00A549C2" w:rsidRDefault="0028322F" w:rsidP="00A549C2">
      <w:pPr>
        <w:pStyle w:val="Textonotapie"/>
        <w:spacing w:after="200"/>
        <w:ind w:left="567"/>
        <w:jc w:val="both"/>
      </w:pPr>
      <w:r w:rsidRPr="00A549C2">
        <w:rPr>
          <w:rFonts w:ascii="Arial Narrow" w:hAnsi="Arial Narrow"/>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7">
    <w:p w14:paraId="39003C9B" w14:textId="77777777" w:rsidR="0028322F" w:rsidRPr="00A549C2" w:rsidRDefault="00CA59A2" w:rsidP="00A549C2">
      <w:pPr>
        <w:pStyle w:val="Textonotapie"/>
        <w:tabs>
          <w:tab w:val="left" w:pos="567"/>
        </w:tabs>
        <w:ind w:left="567" w:hanging="567"/>
        <w:jc w:val="both"/>
        <w:rPr>
          <w:rFonts w:ascii="Arial Narrow" w:hAnsi="Arial Narrow"/>
          <w:b/>
          <w:sz w:val="16"/>
        </w:rPr>
      </w:pPr>
      <w:r w:rsidRPr="00A549C2">
        <w:rPr>
          <w:rStyle w:val="Refdenotaalpie"/>
          <w:rFonts w:ascii="Arial Narrow" w:hAnsi="Arial Narrow" w:cs="Arial"/>
          <w:bCs/>
          <w:sz w:val="16"/>
          <w:szCs w:val="16"/>
        </w:rPr>
        <w:footnoteRef/>
      </w:r>
      <w:r w:rsidRPr="00A549C2">
        <w:rPr>
          <w:b/>
        </w:rPr>
        <w:t xml:space="preserve"> </w:t>
      </w:r>
      <w:r w:rsidR="0028322F" w:rsidRPr="00A549C2">
        <w:rPr>
          <w:rFonts w:ascii="Arial Narrow" w:hAnsi="Arial Narrow"/>
          <w:b/>
          <w:sz w:val="16"/>
        </w:rPr>
        <w:tab/>
        <w:t>DECRETO LEGISLATIVO 807, LEY SOBRE FACULTADES, NORMAS Y ORGANIZACIÓN DEL INDECOPI FACULTADES DE LAS COMISIONES Y OFICINAS DEL INDECOPI</w:t>
      </w:r>
    </w:p>
    <w:p w14:paraId="03A0E37B" w14:textId="5A3F2C83" w:rsidR="00CA59A2" w:rsidRPr="00A549C2" w:rsidRDefault="0028322F" w:rsidP="00A549C2">
      <w:pPr>
        <w:pStyle w:val="Textonotapie"/>
        <w:spacing w:after="200"/>
        <w:ind w:left="567"/>
        <w:jc w:val="both"/>
      </w:pPr>
      <w:r w:rsidRPr="00A549C2">
        <w:rPr>
          <w:rFonts w:ascii="Arial Narrow" w:hAnsi="Arial Narrow"/>
          <w:b/>
          <w:sz w:val="16"/>
        </w:rPr>
        <w:t>Artículo 29.-</w:t>
      </w:r>
      <w:r w:rsidRPr="00A549C2">
        <w:rPr>
          <w:rFonts w:ascii="Arial Narrow" w:hAnsi="Arial Narrow"/>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5787D"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BD852F3" w14:textId="77777777" w:rsidTr="00A549C2">
      <w:trPr>
        <w:trHeight w:val="1310"/>
      </w:trPr>
      <w:tc>
        <w:tcPr>
          <w:tcW w:w="4518" w:type="dxa"/>
        </w:tcPr>
        <w:p w14:paraId="13226EE0" w14:textId="77777777" w:rsidR="00B91E42" w:rsidRPr="00C211F8" w:rsidRDefault="00B91E42" w:rsidP="003D7BF0">
          <w:pPr>
            <w:spacing w:after="0"/>
          </w:pPr>
          <w:bookmarkStart w:id="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2B04372E"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BC5B534"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4AC56F65"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34F57E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5ECD79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A17BA69"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B571FF8"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8722E0F"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F5DBB6F"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09EC5DD4"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5"/>
  </w:tbl>
  <w:p w14:paraId="44F3125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D1D4"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895844849">
    <w:abstractNumId w:val="8"/>
  </w:num>
  <w:num w:numId="2" w16cid:durableId="1906985864">
    <w:abstractNumId w:val="1"/>
  </w:num>
  <w:num w:numId="3" w16cid:durableId="704335299">
    <w:abstractNumId w:val="6"/>
  </w:num>
  <w:num w:numId="4" w16cid:durableId="880433567">
    <w:abstractNumId w:val="3"/>
  </w:num>
  <w:num w:numId="5" w16cid:durableId="2034718926">
    <w:abstractNumId w:val="7"/>
  </w:num>
  <w:num w:numId="6" w16cid:durableId="1385367596">
    <w:abstractNumId w:val="0"/>
  </w:num>
  <w:num w:numId="7" w16cid:durableId="587806343">
    <w:abstractNumId w:val="4"/>
  </w:num>
  <w:num w:numId="8" w16cid:durableId="1521777991">
    <w:abstractNumId w:val="2"/>
  </w:num>
  <w:num w:numId="9" w16cid:durableId="1003045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C72A4"/>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11E4"/>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9C2"/>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BF5E14"/>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B97B9"/>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1886</Words>
  <Characters>10374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 Chavez</cp:lastModifiedBy>
  <cp:revision>2</cp:revision>
  <dcterms:created xsi:type="dcterms:W3CDTF">2026-08-03T11:38:00Z</dcterms:created>
  <dcterms:modified xsi:type="dcterms:W3CDTF">2026-08-03T11:38:00Z</dcterms:modified>
</cp:coreProperties>
</file>