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1065AEC" w14: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w14:paraId="634049D8" w14: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w14:paraId="345DC840" w14: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2D3C1CF8" w14: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w14:paraId="763025F7" w14: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w14:paraId="2E21CF51" w14: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w14:paraId="2FCCE269" w14: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w14:paraId="71907812" w14: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w14:paraId="01717D35" w14: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9B5E9A">
      <w:pPr>
        <w:jc w:val="both"/>
        <w:rPr>
          <w:rFonts w:ascii="Arial Narrow" w:eastAsia="Arial Narrow" w:hAnsi="Arial Narrow" w:cs="Arial Narrow"/>
          <w:b/>
          <w:sz w:val="22"/>
          <w:szCs w:val="22"/>
        </w:rPr>
      </w:pPr>
    </w:p>
    <w:p w14:paraId="3B09297A" w14: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 xml:space="preserve">07 de mayo de 2025</w:t>
      </w:r>
      <w:r w:rsidR="00A82DB2">
        <w:rPr>
          <w:rFonts w:ascii="Arial Narrow" w:eastAsia="Arial Narrow" w:hAnsi="Arial Narrow" w:cs="Arial Narrow"/>
          <w:sz w:val="22"/>
          <w:szCs w:val="22"/>
        </w:rPr>
        <w:t xml:space="preserve"/>
      </w:r>
      <w:r w:rsidR="00287905" w:rsidRPr="00E902D0">
        <w:rPr>
          <w:rFonts w:ascii="Arial Narrow" w:eastAsia="Arial Narrow" w:hAnsi="Arial Narrow" w:cs="Arial Narrow"/>
          <w:sz w:val="22"/>
          <w:szCs w:val="22"/>
        </w:rPr>
        <w:t xml:space="preserve"/>
      </w:r>
      <w:r w:rsidR="00D11A4E">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9B5E9A">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9B5E9A">
      <w:pPr>
        <w:jc w:val="both"/>
        <w:rPr>
          <w:rFonts w:ascii="Arial Narrow" w:eastAsia="Arial Narrow" w:hAnsi="Arial Narrow" w:cs="Arial Narrow"/>
          <w:sz w:val="22"/>
          <w:szCs w:val="22"/>
        </w:rPr>
      </w:pPr>
    </w:p>
    <w:p w14:paraId="6F9C91E9" w14: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19 de marzo de 2025, subsanado por escrito el 16 de abril de 2025, [APELLIDO] denunció a Pacífico Compañía de Seguros y Reaseguros S.A., Diveimport S.A. y GD Ajustadores de Seguros S.A., por presuntas infracciones a la Ley 29571, Código de Protección y Defensa del Consumidor (en adelante, Código), señalando lo siguiente:</w:t>
      </w:r>
      <w:r w:rsidR="000C0809"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xml:space="preserve"/>
      </w:r>
      <w:r w:rsidR="003E4754"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6F1E39" w:rsidRPr="006F1E39">
        <w:rPr>
          <w:rFonts w:ascii="Arial Narrow" w:eastAsia="Arial Narrow" w:hAnsi="Arial Narrow" w:cs="Arial Narrow"/>
          <w:sz w:val="22"/>
          <w:szCs w:val="22"/>
        </w:rPr>
        <w:t/>
      </w:r>
      <w:r w:rsidR="00D61CCA">
        <w:rPr>
          <w:rFonts w:ascii="Arial Narrow" w:eastAsia="Arial Narrow" w:hAnsi="Arial Narrow" w:cs="Arial Narrow"/>
          <w:sz w:val="22"/>
          <w:szCs w:val="22"/>
        </w:rPr>
        <w:t/>
      </w:r>
      <w:r w:rsidR="006F1E39" w:rsidRPr="006F1E39">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009B5E9A">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693B893" w14: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lang w:eastAsia="es-ES"/>
        </w:rPr>
        <w:t>El 24 de agosto de 2020</w:t>
      </w:r>
      <w:r w:rsidR="00D755C6" w:rsidRPr="00E902D0">
        <w:rPr>
          <w:rFonts w:ascii="Arial Narrow" w:eastAsia="Arial Narrow" w:hAnsi="Arial Narrow" w:cs="Arial Narrow"/>
          <w:sz w:val="22"/>
          <w:szCs w:val="22"/>
          <w:lang w:eastAsia="es-ES"/>
        </w:rPr>
        <w:t>,</w:t>
      </w:r>
      <w:r w:rsidRPr="00E902D0">
        <w:rPr>
          <w:rFonts w:ascii="Arial Narrow" w:eastAsia="Arial Narrow" w:hAnsi="Arial Narrow" w:cs="Arial Narrow"/>
          <w:sz w:val="22"/>
          <w:szCs w:val="22"/>
          <w:lang w:eastAsia="es-ES"/>
        </w:rPr>
        <w:t xml:space="preserve"> </w:t>
      </w:r>
      <w:r w:rsidR="00D755C6" w:rsidRPr="00E902D0">
        <w:rPr>
          <w:rFonts w:ascii="Arial Narrow" w:eastAsia="Arial Narrow" w:hAnsi="Arial Narrow" w:cs="Arial Narrow"/>
          <w:sz w:val="22"/>
          <w:szCs w:val="22"/>
          <w:lang w:eastAsia="es-ES"/>
        </w:rPr>
        <w:t>contrató con P</w:t>
      </w:r>
      <w:r w:rsidR="00D61CCA">
        <w:rPr>
          <w:rFonts w:ascii="Arial Narrow" w:eastAsia="Arial Narrow" w:hAnsi="Arial Narrow" w:cs="Arial Narrow"/>
          <w:sz w:val="22"/>
          <w:szCs w:val="22"/>
          <w:lang w:eastAsia="es-ES"/>
        </w:rPr>
        <w:t>acífico</w:t>
      </w:r>
      <w:r w:rsidR="00D755C6" w:rsidRPr="00E902D0">
        <w:rPr>
          <w:rFonts w:ascii="Arial Narrow" w:eastAsia="Arial Narrow" w:hAnsi="Arial Narrow" w:cs="Arial Narrow"/>
          <w:sz w:val="22"/>
          <w:szCs w:val="22"/>
          <w:lang w:eastAsia="es-ES"/>
        </w:rPr>
        <w:t xml:space="preserve"> </w:t>
      </w:r>
      <w:r w:rsidRPr="00E902D0">
        <w:rPr>
          <w:rFonts w:ascii="Arial Narrow" w:eastAsia="Arial Narrow" w:hAnsi="Arial Narrow" w:cs="Arial Narrow"/>
          <w:sz w:val="22"/>
          <w:szCs w:val="22"/>
          <w:lang w:eastAsia="es-ES"/>
        </w:rPr>
        <w:t xml:space="preserve">el Seguro de Autos Todo Riesgo - Plan Full, de su vehículo con Placa de Rodaje BNR-296, mediante </w:t>
      </w:r>
      <w:r w:rsidR="00D755C6" w:rsidRPr="00E902D0">
        <w:rPr>
          <w:rFonts w:ascii="Arial Narrow" w:eastAsia="Arial Narrow" w:hAnsi="Arial Narrow" w:cs="Arial Narrow"/>
          <w:sz w:val="22"/>
          <w:szCs w:val="22"/>
          <w:lang w:eastAsia="es-ES"/>
        </w:rPr>
        <w:t>la Póliza Vehicular Auto Modular </w:t>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lang w:eastAsia="es-ES"/>
        </w:rPr>
        <w:t xml:space="preserve">2004810135 </w:t>
      </w:r>
      <w:r w:rsidR="00D755C6" w:rsidRPr="00E902D0">
        <w:rPr>
          <w:rFonts w:ascii="Arial Narrow" w:eastAsia="Arial Narrow" w:hAnsi="Arial Narrow" w:cs="Arial Narrow"/>
          <w:sz w:val="22"/>
          <w:szCs w:val="22"/>
          <w:lang w:eastAsia="es-ES"/>
        </w:rPr>
        <w:t xml:space="preserve">(en adelante, la </w:t>
      </w:r>
      <w:r w:rsidR="001E095E" w:rsidRPr="00E902D0">
        <w:rPr>
          <w:rFonts w:ascii="Arial Narrow" w:eastAsia="Arial Narrow" w:hAnsi="Arial Narrow" w:cs="Arial Narrow"/>
          <w:sz w:val="22"/>
          <w:szCs w:val="22"/>
          <w:lang w:eastAsia="es-ES"/>
        </w:rPr>
        <w:t>Póliza del Seguro Vehicular</w:t>
      </w:r>
      <w:r w:rsidR="00D755C6" w:rsidRPr="00E902D0">
        <w:rPr>
          <w:rFonts w:ascii="Arial Narrow" w:eastAsia="Arial Narrow" w:hAnsi="Arial Narrow" w:cs="Arial Narrow"/>
          <w:sz w:val="22"/>
          <w:szCs w:val="22"/>
          <w:lang w:eastAsia="es-ES"/>
        </w:rPr>
        <w:t>)</w:t>
      </w:r>
      <w:r w:rsidRPr="00E902D0">
        <w:rPr>
          <w:rFonts w:ascii="Arial Narrow" w:eastAsia="Arial Narrow" w:hAnsi="Arial Narrow" w:cs="Arial Narrow"/>
          <w:sz w:val="22"/>
          <w:szCs w:val="22"/>
          <w:lang w:eastAsia="es-ES"/>
        </w:rPr>
        <w:t>, con una vigencia de 01 año renovable por el mismo periodo.</w:t>
      </w:r>
      <w:r w:rsidR="003A61CF" w:rsidRPr="00E902D0">
        <w:rPr>
          <w:rFonts w:ascii="Arial Narrow" w:eastAsia="Arial Narrow" w:hAnsi="Arial Narrow" w:cs="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w14:paraId="2E7593A6" w14:textId="77777777" w:rsidR="00D755C6" w:rsidRPr="00E902D0" w:rsidRDefault="00D755C6" w:rsidP="009B5E9A">
      <w:pPr>
        <w:pStyle w:val="Prrafodelista"/>
        <w:rPr>
          <w:rFonts w:ascii="Arial Narrow" w:eastAsia="Arial Narrow" w:hAnsi="Arial Narrow" w:cs="Arial Narrow"/>
          <w:sz w:val="22"/>
          <w:szCs w:val="22"/>
        </w:rPr>
      </w:pPr>
    </w:p>
    <w:p w14:paraId="3BF7D35E" w14: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28 de junio de 2024, el vehículo sufrió un daño material en la parte frontal mientras se encontraba estacionado en los exteriores de la vivienda del representante legal [APELLIDO] en el distrito de Paramonga de la provincia de Barranca. El siniestro fue reportado el mismo día a Pacífico y se le asignó el código de siniestro 1001157217.</w:t>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E902D0" w:rsidRPr="00E902D0">
        <w:rPr>
          <w:rFonts w:ascii="Arial Narrow" w:eastAsia="Arial Narrow" w:hAnsi="Arial Narrow" w:cs="Arial Narrow"/>
          <w:sz w:val="22"/>
          <w:szCs w:val="22"/>
        </w:rPr>
        <w:t/>
      </w:r>
    </w:p>
    <w:p w14:paraId="6197BE8A" w14:textId="77777777" w:rsidR="00074FDB" w:rsidRPr="00E902D0" w:rsidRDefault="00074FDB" w:rsidP="009B5E9A">
      <w:pPr>
        <w:pStyle w:val="Prrafodelista"/>
        <w:rPr>
          <w:rFonts w:ascii="Arial Narrow" w:eastAsia="Arial Narrow" w:hAnsi="Arial Narrow" w:cs="Arial Narrow"/>
          <w:sz w:val="22"/>
          <w:szCs w:val="22"/>
        </w:rPr>
      </w:pPr>
    </w:p>
    <w:p w14:paraId="56E8297A" w14: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01 de julio de 2024, dado que no encendía el motor, el vehículo fue trasladado mediante una grúa al taller de Diveimport en el distrito de La Victoria de la provincia de Lima con autorización de Pacífico, para que se realicen los trabajos de las reparaciones correspondientes. El mismo día, Diveimport emitió su Cotización 0102149559 precisando como costo de las reparaciones el importe de US$ 8 141,70, el cual fue aprobado por Pacífico el 12 de agosto de 2024, indicando que existe un costo deducible de US$ 833.96 que fue asumido por [APELLIDO]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E902D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CC58E4">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5336F6" w:rsidRPr="00E902D0">
        <w:rPr>
          <w:rFonts w:ascii="Arial Narrow" w:eastAsia="Arial Narrow" w:hAnsi="Arial Narrow" w:cs="Arial Narrow"/>
          <w:sz w:val="22"/>
          <w:szCs w:val="22"/>
        </w:rPr>
        <w:t/>
      </w:r>
      <w:r w:rsidR="00D07FA9" w:rsidRPr="00E902D0">
        <w:rPr>
          <w:rFonts w:ascii="Arial Narrow" w:eastAsia="Arial Narrow" w:hAnsi="Arial Narrow" w:cs="Arial Narrow"/>
          <w:sz w:val="22"/>
          <w:szCs w:val="22"/>
        </w:rPr>
        <w:t xml:space="preserve"/>
      </w:r>
    </w:p>
    <w:p w14:paraId="01CC62AE" w14:textId="77777777" w:rsidR="003A3D90" w:rsidRPr="00E902D0" w:rsidRDefault="003A3D90" w:rsidP="009B5E9A">
      <w:pPr>
        <w:pStyle w:val="Prrafodelista"/>
        <w:rPr>
          <w:rFonts w:ascii="Arial Narrow" w:eastAsia="Arial Narrow" w:hAnsi="Arial Narrow" w:cs="Arial Narrow"/>
          <w:sz w:val="22"/>
          <w:szCs w:val="22"/>
        </w:rPr>
      </w:pPr>
    </w:p>
    <w:p w14:paraId="4BD692D9" w14: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eastAsia="Arial Narrow" w:hAnsi="Arial Narrow" w:cs="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w14:paraId="24E3E91E" w14:textId="77777777" w:rsidR="000752C0" w:rsidRPr="00E902D0" w:rsidRDefault="000752C0" w:rsidP="009B5E9A">
      <w:pPr>
        <w:pStyle w:val="Prrafodelista"/>
        <w:rPr>
          <w:rFonts w:ascii="Arial Narrow" w:eastAsia="Arial Narrow" w:hAnsi="Arial Narrow" w:cs="Arial Narrow"/>
          <w:sz w:val="22"/>
          <w:szCs w:val="22"/>
        </w:rPr>
      </w:pPr>
    </w:p>
    <w:p w14:paraId="63FFF908" w14: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w14:paraId="41F53B6C" w14:textId="77777777" w:rsidR="00852A17" w:rsidRPr="00E902D0" w:rsidRDefault="00852A17" w:rsidP="009B5E9A">
      <w:pPr>
        <w:pStyle w:val="Prrafodelista"/>
        <w:rPr>
          <w:rFonts w:ascii="Arial Narrow" w:eastAsia="Arial Narrow" w:hAnsi="Arial Narrow" w:cs="Arial Narrow"/>
          <w:sz w:val="22"/>
          <w:szCs w:val="22"/>
        </w:rPr>
      </w:pPr>
    </w:p>
    <w:p w14:paraId="4F3511B5" w14: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eastAsia="Arial Narrow" w:hAnsi="Arial Narrow" w:cs="Arial Narrow"/>
          <w:sz w:val="22"/>
          <w:szCs w:val="22"/>
          <w:lang w:eastAsia="es-ES"/>
        </w:rPr>
        <w:t>Póliza del Seguro Vehicular</w:t>
      </w:r>
      <w:r w:rsidRPr="00E902D0">
        <w:rPr>
          <w:rFonts w:ascii="Arial Narrow" w:eastAsia="Arial Narrow" w:hAnsi="Arial Narrow" w:cs="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eastAsia="Arial Narrow" w:hAnsi="Arial Narrow" w:cs="Arial Narrow"/>
          <w:sz w:val="22"/>
          <w:szCs w:val="22"/>
          <w:lang w:eastAsia="es-ES"/>
        </w:rPr>
        <w:t>Póliza del Seguro Vehicular</w:t>
      </w:r>
      <w:r w:rsidRPr="00E902D0">
        <w:rPr>
          <w:rFonts w:ascii="Arial Narrow" w:eastAsia="Arial Narrow" w:hAnsi="Arial Narrow" w:cs="Arial Narrow"/>
          <w:sz w:val="22"/>
          <w:szCs w:val="22"/>
          <w:lang w:eastAsia="es-ES"/>
        </w:rPr>
        <w:t>.</w:t>
      </w:r>
    </w:p>
    <w:p w14:paraId="2BEA67CF" w14:textId="77777777" w:rsidR="003A3D90" w:rsidRPr="00E902D0" w:rsidRDefault="003A3D90" w:rsidP="009B5E9A">
      <w:pPr>
        <w:pStyle w:val="Prrafodelista"/>
        <w:rPr>
          <w:rFonts w:ascii="Arial Narrow" w:eastAsia="Arial Narrow" w:hAnsi="Arial Narrow" w:cs="Arial Narrow"/>
          <w:sz w:val="22"/>
          <w:szCs w:val="22"/>
        </w:rPr>
      </w:pPr>
    </w:p>
    <w:p w14:paraId="6E0198BF" w14: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w14:paraId="13AEC9C4" w14:textId="77777777" w:rsidR="00530E1B" w:rsidRPr="00E902D0" w:rsidRDefault="00530E1B" w:rsidP="009B5E9A">
      <w:pPr>
        <w:pBdr>
          <w:top w:val="nil"/>
          <w:left w:val="nil"/>
          <w:bottom w:val="nil"/>
          <w:right w:val="nil"/>
          <w:between w:val="nil"/>
        </w:pBdr>
        <w:jc w:val="both"/>
        <w:rPr>
          <w:rFonts w:ascii="Arial Narrow" w:eastAsia="Arial Narrow" w:hAnsi="Arial Narrow" w:cs="Arial Narrow"/>
          <w:sz w:val="22"/>
          <w:szCs w:val="22"/>
        </w:rPr>
      </w:pPr>
    </w:p>
    <w:p w14:paraId="238C2176" w14: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w14:paraId="748BB242" w14:textId="2112B76A" w:rsidR="007D3FF9" w:rsidRPr="00E902D0" w:rsidRDefault="007D3FF9" w:rsidP="009B5E9A">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24ABB3F" w:rsidR="00900884" w:rsidRPr="00A4308D" w:rsidRDefault="00F10C8B" w:rsidP="009B5E9A">
      <w:pPr>
        <w:pStyle w:val="Prrafodelista"/>
        <w:numPr>
          <w:ilvl w:val="1"/>
          <w:numId w:val="2"/>
        </w:numPr>
        <w:ind w:left="567" w:hanging="567"/>
        <w:jc w:val="both"/>
        <w:rPr>
          <w:rFonts w:ascii="Arial Narrow" w:eastAsia="Arial Narrow" w:hAnsi="Arial Narrow" w:cs="Arial Narrow"/>
          <w:sz w:val="22"/>
          <w:szCs w:val="22"/>
          <w:lang w:eastAsia="es-ES"/>
        </w:rPr>
      </w:pPr>
      <w:r w:rsidRPr="00E902D0">
        <w:rPr>
          <w:rFonts w:ascii="Arial Narrow" w:eastAsia="Arial Narrow" w:hAnsi="Arial Narrow" w:cs="Arial Narrow"/>
          <w:sz w:val="22"/>
          <w:szCs w:val="22"/>
        </w:rPr>
        <w:t xml:space="preserve">[APELLIDO] solicitó, en calidad de medidas correctivas, que: (i) Pacífico cumpla con efectuar la cobertura total del siniestro ocurrido al vehículo de placa BNR-296, debiendo asumir el pago total del costo de las reparaciones indicadas en la segunda cotización 0102215270 de fecha 14 de octubre de 2024 (daños internos del motor) por el importe de US$ 13,092.74, y otros gastos indemnizables que pudieran surgir producto del siniestro. (ii) Diveimport realice la devolución total de los pagos indebidos efectuados por el asegurado por los importes de US$ 650.19 y USS 1.365.45, por concepto de reparaciones al vehículo siniestrado. (iii) Se sancione a Pacífico, GD Ajustadores y a Diveimport así como los que resulten responsables por incurrir en infracciones establecidas en el Código. (iv) Pacífico y Diveimport asuman el pago de una indemnización por los daños y perjuicios por el importe de US$ 30 000,00. (v) Pacífico y Diveimport, y quienes resulten responsables asuman el pago de las costas y costos del presente procedimiento, teniendo en consideración que los honorarios a cargo del patrocinio son de un importe de S/ 10 000,00.</w:t>
      </w:r>
      <w:r w:rsidRPr="00E902D0">
        <w:rPr>
          <w:rFonts w:ascii="Arial Narrow" w:eastAsia="Arial Narrow" w:hAnsi="Arial Narrow" w:cs="Arial Narrow"/>
          <w:sz w:val="22"/>
          <w:szCs w:val="22"/>
          <w:lang w:eastAsia="es-ES"/>
        </w:rPr>
        <w:t xml:space="preserve"/>
      </w:r>
      <w:r w:rsidR="008E1B6A" w:rsidRPr="00E902D0">
        <w:rPr>
          <w:rFonts w:ascii="Arial Narrow" w:eastAsia="Arial Narrow" w:hAnsi="Arial Narrow" w:cs="Arial Narrow"/>
          <w:sz w:val="22"/>
          <w:szCs w:val="22"/>
          <w:lang w:eastAsia="es-ES"/>
        </w:rPr>
        <w:t xml:space="preserve"/>
      </w:r>
      <w:r w:rsidR="008E1B6A" w:rsidRPr="00347FBE">
        <w:rPr>
          <w:rFonts w:ascii="Arial Narrow" w:eastAsia="Arial Narrow" w:hAnsi="Arial Narrow" w:cs="Arial Narrow"/>
          <w:sz w:val="22"/>
          <w:szCs w:val="22"/>
          <w:lang w:eastAsia="es-ES"/>
        </w:rPr>
        <w:t/>
      </w:r>
      <w:r w:rsidRPr="00347FBE">
        <w:rPr>
          <w:rFonts w:ascii="Arial Narrow" w:eastAsia="Arial Narrow" w:hAnsi="Arial Narrow" w:cs="Arial Narrow"/>
          <w:sz w:val="22"/>
          <w:szCs w:val="22"/>
          <w:lang w:eastAsia="es-ES"/>
        </w:rPr>
        <w:t/>
      </w:r>
      <w:r w:rsidR="008E1B6A" w:rsidRPr="00347FBE">
        <w:rPr>
          <w:rFonts w:ascii="Arial Narrow" w:eastAsia="Arial Narrow" w:hAnsi="Arial Narrow" w:cs="Arial Narrow"/>
          <w:sz w:val="22"/>
          <w:szCs w:val="22"/>
          <w:lang w:eastAsia="es-ES"/>
        </w:rPr>
        <w:t xml:space="preserve"/>
      </w:r>
      <w:r w:rsidR="00CF4202" w:rsidRPr="00347FBE">
        <w:rPr>
          <w:rFonts w:ascii="Arial Narrow" w:eastAsia="Arial Narrow" w:hAnsi="Arial Narrow" w:cs="Arial Narrow"/>
          <w:sz w:val="22"/>
          <w:szCs w:val="22"/>
        </w:rPr>
        <w:t xml:space="preserve"/>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xml:space="preserve"/>
      </w:r>
      <w:r w:rsidR="00A41746" w:rsidRPr="00347FBE">
        <w:rPr>
          <w:rFonts w:ascii="Arial Narrow" w:eastAsia="Arial Narrow" w:hAnsi="Arial Narrow" w:cs="Arial Narrow"/>
          <w:sz w:val="22"/>
          <w:szCs w:val="22"/>
          <w:lang w:eastAsia="es-ES"/>
        </w:rPr>
        <w:t xml:space="preserve"/>
      </w:r>
      <w:r w:rsidR="000618BB" w:rsidRPr="00347FBE">
        <w:rPr>
          <w:rFonts w:ascii="Arial Narrow" w:eastAsia="Arial Narrow" w:hAnsi="Arial Narrow" w:cs="Arial Narrow"/>
          <w:sz w:val="22"/>
          <w:szCs w:val="22"/>
          <w:lang w:eastAsia="es-ES"/>
        </w:rPr>
        <w:t/>
      </w:r>
      <w:r w:rsidR="00A41746"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4E5D76"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5708A7" w:rsidRPr="00347FBE">
        <w:rPr>
          <w:rFonts w:ascii="Arial Narrow" w:eastAsia="Arial Narrow" w:hAnsi="Arial Narrow" w:cs="Arial Narrow"/>
          <w:sz w:val="22"/>
          <w:szCs w:val="22"/>
        </w:rPr>
        <w:t xml:space="preserve"/>
      </w:r>
      <w:r w:rsidR="00400AA8" w:rsidRPr="00347FBE">
        <w:rPr>
          <w:rFonts w:ascii="Arial Narrow" w:eastAsia="Arial Narrow" w:hAnsi="Arial Narrow" w:cs="Arial Narrow"/>
          <w:sz w:val="22"/>
          <w:szCs w:val="22"/>
          <w:lang w:eastAsia="es-ES"/>
        </w:rPr>
        <w:t xml:space="preserve"/>
      </w:r>
      <w:r w:rsidR="00FB6A21" w:rsidRPr="00347FBE">
        <w:rPr>
          <w:rFonts w:ascii="Arial Narrow" w:eastAsia="Arial Narrow" w:hAnsi="Arial Narrow" w:cs="Arial Narrow"/>
          <w:sz w:val="22"/>
          <w:szCs w:val="22"/>
          <w:lang w:eastAsia="es-ES"/>
        </w:rPr>
        <w:t/>
      </w:r>
      <w:r w:rsidR="00400AA8"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w:r>
      <w:r w:rsidR="00400AA8"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4E5D76"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xml:space="preserve"/>
      </w:r>
      <w:r w:rsidR="00555E9C"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8A6C56"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400AA8" w:rsidRPr="00347FBE">
        <w:rPr>
          <w:rFonts w:ascii="Arial Narrow" w:eastAsia="Arial Narrow" w:hAnsi="Arial Narrow" w:cs="Arial Narrow"/>
          <w:sz w:val="22"/>
          <w:szCs w:val="22"/>
          <w:lang w:eastAsia="es-ES"/>
        </w:rPr>
        <w:t xml:space="preserve"/>
      </w:r>
      <w:r w:rsidR="00555E9C" w:rsidRPr="00347FBE">
        <w:rPr>
          <w:rFonts w:ascii="Arial Narrow" w:eastAsia="Arial Narrow" w:hAnsi="Arial Narrow" w:cs="Arial Narrow"/>
          <w:sz w:val="22"/>
          <w:szCs w:val="22"/>
        </w:rPr>
        <w:t xml:space="preserve"/>
      </w:r>
      <w:r w:rsidR="00B66FD9"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w:r>
      <w:r w:rsidR="004E5D76"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eastAsia="Arial Narrow" w:hAnsi="Arial Narrow" w:cs="Arial Narrow"/>
          <w:sz w:val="22"/>
          <w:szCs w:val="22"/>
          <w:lang w:eastAsia="es-ES"/>
        </w:rPr>
        <w:t xml:space="preserve"/>
      </w:r>
      <w:r w:rsidR="0062222B" w:rsidRPr="00347FBE">
        <w:rPr>
          <w:rFonts w:ascii="Arial Narrow" w:eastAsia="Arial Narrow" w:hAnsi="Arial Narrow" w:cs="Arial Narrow"/>
          <w:sz w:val="22"/>
          <w:szCs w:val="22"/>
          <w:lang w:eastAsia="es-ES"/>
        </w:rPr>
        <w:t/>
      </w:r>
      <w:r w:rsidR="00E5122D" w:rsidRPr="00347FBE">
        <w:rPr>
          <w:rFonts w:ascii="Arial Narrow" w:eastAsia="Arial Narrow" w:hAnsi="Arial Narrow" w:cs="Arial Narrow"/>
          <w:sz w:val="22"/>
          <w:szCs w:val="22"/>
          <w:lang w:eastAsia="es-ES"/>
        </w:rPr>
        <w:t xml:space="preserve"/>
      </w:r>
      <w:r w:rsidR="00CF4202"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lang w:eastAsia="es-ES"/>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eastAsia="Arial Narrow" w:hAnsi="Arial Narrow" w:cs="Arial Narrow"/>
          <w:sz w:val="22"/>
          <w:szCs w:val="22"/>
          <w:lang w:eastAsia="es-ES"/>
        </w:rPr>
        <w:t xml:space="preserve"/>
      </w:r>
      <w:r w:rsidR="006166C4" w:rsidRPr="00347FBE">
        <w:rPr>
          <w:rFonts w:ascii="Arial Narrow" w:eastAsia="Arial Narrow" w:hAnsi="Arial Narrow" w:cs="Arial Narrow"/>
          <w:sz w:val="22"/>
          <w:szCs w:val="22"/>
          <w:lang w:eastAsia="es-ES"/>
        </w:rPr>
        <w:t/>
      </w:r>
      <w:r w:rsidR="006166C4">
        <w:rPr>
          <w:rFonts w:ascii="Arial Narrow" w:eastAsia="Arial Narrow" w:hAnsi="Arial Narrow" w:cs="Arial Narrow"/>
          <w:sz w:val="22"/>
          <w:szCs w:val="22"/>
          <w:lang w:eastAsia="es-ES"/>
        </w:rPr>
        <w:t xml:space="preserve"/>
      </w:r>
      <w:r w:rsidR="00FB6A21" w:rsidRPr="0062222B">
        <w:rPr>
          <w:rFonts w:ascii="Arial Narrow" w:eastAsia="Arial Narrow" w:hAnsi="Arial Narrow" w:cs="Arial Narrow"/>
          <w:sz w:val="22"/>
          <w:szCs w:val="22"/>
          <w:lang w:eastAsia="es-ES"/>
        </w:rPr>
        <w:t/>
      </w:r>
      <w:r w:rsidR="006166C4" w:rsidRPr="0062222B">
        <w:rPr>
          <w:rFonts w:ascii="Arial Narrow" w:eastAsia="Arial Narrow" w:hAnsi="Arial Narrow" w:cs="Arial Narrow"/>
          <w:sz w:val="22"/>
          <w:szCs w:val="22"/>
          <w:lang w:eastAsia="es-ES"/>
        </w:rPr>
        <w:t xml:space="preserve"/>
      </w:r>
      <w:r w:rsidR="005D1123">
        <w:rPr>
          <w:rFonts w:ascii="Arial Narrow" w:eastAsia="Arial Narrow" w:hAnsi="Arial Narrow" w:cs="Arial Narrow"/>
          <w:sz w:val="22"/>
          <w:szCs w:val="22"/>
          <w:lang w:eastAsia="es-ES"/>
        </w:rPr>
        <w:t xml:space="preserve"/>
      </w:r>
      <w:r w:rsidR="006166C4" w:rsidRPr="0062222B">
        <w:rPr>
          <w:rFonts w:ascii="Arial Narrow" w:eastAsia="Arial Narrow" w:hAnsi="Arial Narrow" w:cs="Arial Narrow"/>
          <w:sz w:val="22"/>
          <w:szCs w:val="22"/>
          <w:lang w:eastAsia="es-ES"/>
        </w:rPr>
        <w:t xml:space="preserve"/>
      </w:r>
      <w:r w:rsidR="0062222B" w:rsidRPr="0062222B">
        <w:rPr>
          <w:rFonts w:ascii="Arial Narrow" w:eastAsia="Arial Narrow" w:hAnsi="Arial Narrow" w:cs="Arial Narrow"/>
          <w:sz w:val="22"/>
          <w:szCs w:val="22"/>
          <w:lang w:eastAsia="es-ES"/>
        </w:rPr>
        <w:t/>
      </w:r>
    </w:p>
    <w:p w14:paraId="4F144C65"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9B5E9A">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9B5E9A">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 xml:space="preserve">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[APELLIDO], industrial, empresarial, tecnológico y bursátil.</w:t>
      </w:r>
    </w:p>
    <w:p w14:paraId="35D09710" w14:textId="77777777" w:rsidR="001D7531" w:rsidRPr="00E902D0" w:rsidRDefault="001D7531" w:rsidP="009B5E9A">
      <w:pPr>
        <w:pStyle w:val="Prrafodelista"/>
        <w:jc w:val="both"/>
        <w:rPr>
          <w:rFonts w:ascii="Arial Narrow" w:eastAsia="Arial Narrow" w:hAnsi="Arial Narrow" w:cs="Arial Narrow"/>
          <w:sz w:val="22"/>
          <w:szCs w:val="22"/>
        </w:rPr>
      </w:pPr>
    </w:p>
    <w:p w14:paraId="717BEE00" w14:textId="1812B53F" w:rsidR="00A23BA3"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9B5E9A">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9B5E9A">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9B5E9A">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9B5E9A">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9B5E9A">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9B5E9A">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9B5E9A">
      <w:pPr>
        <w:ind w:left="567" w:hanging="567"/>
        <w:jc w:val="both"/>
        <w:rPr>
          <w:rFonts w:ascii="Arial Narrow" w:eastAsia="Arial Narrow" w:hAnsi="Arial Narrow" w:cs="Arial Narrow"/>
          <w:sz w:val="22"/>
          <w:szCs w:val="22"/>
        </w:rPr>
      </w:pPr>
    </w:p>
    <w:p w14:paraId="4FBC6F96" w14:textId="77777777" w:rsidR="00A23BA3" w:rsidRPr="00E902D0" w:rsidRDefault="00A23BA3" w:rsidP="009B5E9A">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9B5E9A">
      <w:pPr>
        <w:ind w:left="567" w:hanging="567"/>
        <w:jc w:val="both"/>
        <w:rPr>
          <w:rFonts w:ascii="Arial Narrow" w:eastAsia="Arial Narrow" w:hAnsi="Arial Narrow" w:cs="Arial Narrow"/>
          <w:sz w:val="22"/>
          <w:szCs w:val="22"/>
        </w:rPr>
      </w:pPr>
    </w:p>
    <w:p w14:paraId="56D5BB85" w14:textId="71FE1AE4"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19 de marzo de 2025, subsanado por escrito el 16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B80358" w:rsidRPr="00E902D0">
        <w:rPr>
          <w:rFonts w:ascii="Arial Narrow" w:eastAsia="Arial Narrow" w:hAnsi="Arial Narrow" w:cs="Arial Narrow"/>
          <w:sz w:val="22"/>
          <w:szCs w:val="22"/>
        </w:rPr>
        <w:t/>
      </w:r>
      <w:r w:rsidR="00B80358"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9B5E9A">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9B5E9A">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9B5E9A">
      <w:pPr>
        <w:jc w:val="both"/>
        <w:rPr>
          <w:rFonts w:ascii="Arial Narrow" w:eastAsia="Arial Narrow" w:hAnsi="Arial Narrow" w:cs="Arial Narrow"/>
          <w:sz w:val="22"/>
          <w:szCs w:val="22"/>
        </w:rPr>
      </w:pPr>
    </w:p>
    <w:p w14:paraId="582B533D" w14:textId="318786A2" w:rsidR="001D75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apartado medios probatorios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xml:space="preserve"/>
      </w:r>
      <w:r w:rsidR="003664A2" w:rsidRPr="00E902D0">
        <w:rPr>
          <w:rFonts w:ascii="Arial Narrow" w:eastAsia="Arial Narrow" w:hAnsi="Arial Narrow" w:cs="Arial Narrow"/>
          <w:sz w:val="22"/>
          <w:szCs w:val="22"/>
        </w:rPr>
        <w:t/>
      </w:r>
      <w:r w:rsidR="003664A2"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w:r>
    </w:p>
    <w:p w14:paraId="2F68CD60" w14:textId="77777777" w:rsidR="001D7531" w:rsidRPr="00E902D0" w:rsidRDefault="001D7531" w:rsidP="009B5E9A">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9B5E9A">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9B5E9A">
      <w:pPr>
        <w:pStyle w:val="Prrafodelista"/>
        <w:ind w:left="567"/>
        <w:jc w:val="both"/>
        <w:rPr>
          <w:rStyle w:val="eop"/>
          <w:rFonts w:ascii="Arial Narrow" w:eastAsia="Arial Narrow" w:hAnsi="Arial Narrow" w:cs="Arial Narrow"/>
          <w:sz w:val="22"/>
          <w:szCs w:val="22"/>
        </w:rPr>
      </w:pPr>
    </w:p>
    <w:p w14:paraId="4CA66804" w14:textId="59B6D336" w:rsidR="00812331" w:rsidRPr="00E902D0" w:rsidRDefault="00A23BA3" w:rsidP="009B5E9A">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23B40812" w14:textId="77777777" w:rsidR="00812331" w:rsidRPr="00E902D0" w:rsidRDefault="00812331" w:rsidP="009B5E9A">
      <w:pPr>
        <w:jc w:val="both"/>
        <w:rPr>
          <w:rFonts w:ascii="Arial Narrow" w:eastAsia="Arial Narrow" w:hAnsi="Arial Narrow" w:cs="Arial Narrow"/>
          <w:sz w:val="22"/>
          <w:szCs w:val="22"/>
        </w:rPr>
      </w:pPr>
    </w:p>
    <w:p w14:paraId="0E208EA1" w14:textId="77777777" w:rsidR="00543B73" w:rsidRPr="00E902D0" w:rsidRDefault="00543B73" w:rsidP="009B5E9A">
      <w:pPr>
        <w:jc w:val="both"/>
        <w:rPr>
          <w:rFonts w:ascii="Arial Narrow" w:eastAsia="Arial Narrow" w:hAnsi="Arial Narrow" w:cs="Arial Narrow"/>
          <w:sz w:val="22"/>
          <w:szCs w:val="22"/>
        </w:rPr>
      </w:pPr>
    </w:p>
    <w:p w14:paraId="0C905DA1" w14: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9B5E9A">
      <w:pPr>
        <w:jc w:val="both"/>
        <w:rPr>
          <w:rFonts w:ascii="Arial Narrow" w:eastAsia="Arial Narrow" w:hAnsi="Arial Narrow" w:cs="Arial Narrow"/>
          <w:sz w:val="22"/>
          <w:szCs w:val="22"/>
        </w:rPr>
      </w:pPr>
    </w:p>
    <w:p w14:paraId="443B2B98" w14: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eastAsia="Arial Narrow" w:hAnsi="Arial Narrow" w:cs="Arial Narrow"/>
          <w:sz w:val="22"/>
          <w:szCs w:val="22"/>
        </w:rPr>
        <w:t>La Secretaría Técnica de la Comisión de Protección al Consumidor 1 (en adelante, Secretaría Técnica), en ejercicio de sus facultades</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vertAlign w:val="superscript"/>
        </w:rPr>
        <w:t>,</w:t>
      </w:r>
      <w:r w:rsidRPr="00E902D0">
        <w:rPr>
          <w:rFonts w:ascii="Arial Narrow" w:eastAsia="Arial Narrow" w:hAnsi="Arial Narrow" w:cs="Arial Narrow"/>
          <w:sz w:val="22"/>
          <w:szCs w:val="22"/>
        </w:rPr>
        <w:t xml:space="preserve"> considera que el hecho </w:t>
      </w:r>
      <w:bookmarkEnd w:id="2"/>
      <w:r w:rsidRPr="00E902D0">
        <w:rPr>
          <w:rFonts w:ascii="Arial Narrow" w:eastAsia="Arial Narrow" w:hAnsi="Arial Narrow" w:cs="Arial Narrow"/>
          <w:sz w:val="22"/>
          <w:szCs w:val="22"/>
        </w:rPr>
        <w:t xml:space="preserve">consistente en que </w:t>
      </w:r>
      <w:r w:rsidR="00344198" w:rsidRPr="00344198">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344198" w:rsidRPr="00344198">
        <w:rPr>
          <w:rFonts w:ascii="Arial Narrow" w:eastAsia="Arial Narrow" w:hAnsi="Arial Narrow" w:cs="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eastAsia="Arial Narrow" w:hAnsi="Arial Narrow" w:cs="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Style w:val="Refdenotaalpie"/>
          <w:rFonts w:ascii="Arial Narrow" w:eastAsia="Arial Narrow" w:hAnsi="Arial Narrow" w:cs="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w14:paraId="22BFBFFA" w14:textId="77777777" w:rsidR="00BF2F86" w:rsidRPr="00E902D0" w:rsidRDefault="00BF2F86" w:rsidP="009B5E9A">
      <w:pPr>
        <w:jc w:val="both"/>
        <w:rPr>
          <w:rFonts w:ascii="Arial Narrow" w:eastAsia="Arial Narrow" w:hAnsi="Arial Narrow" w:cs="Arial Narrow"/>
          <w:sz w:val="22"/>
          <w:szCs w:val="22"/>
        </w:rPr>
      </w:pPr>
    </w:p>
    <w:p w14:paraId="33239AF7" w14: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344198" w:rsidRPr="00344198">
        <w:rPr>
          <w:rFonts w:ascii="Arial Narrow" w:eastAsia="Arial Narrow" w:hAnsi="Arial Narrow" w:cs="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1B914012" w14:textId="77777777" w:rsidR="007E5A55" w:rsidRPr="00E902D0" w:rsidRDefault="007E5A55" w:rsidP="009B5E9A">
      <w:pPr>
        <w:jc w:val="both"/>
        <w:rPr>
          <w:rFonts w:ascii="Arial Narrow" w:eastAsia="Arial Narrow" w:hAnsi="Arial Narrow" w:cs="Arial Narrow"/>
          <w:sz w:val="22"/>
          <w:szCs w:val="22"/>
        </w:rPr>
      </w:pPr>
    </w:p>
    <w:p w14:paraId="3834085D" w14: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3F31AE41" w14:textId="77777777" w:rsidR="00EC5403" w:rsidRPr="00E902D0" w:rsidRDefault="00EC5403" w:rsidP="00EC5403">
      <w:pPr>
        <w:jc w:val="both"/>
        <w:rPr>
          <w:rFonts w:ascii="Arial Narrow" w:eastAsia="Arial Narrow" w:hAnsi="Arial Narrow" w:cs="Arial Narrow"/>
          <w:sz w:val="22"/>
          <w:szCs w:val="22"/>
        </w:rPr>
      </w:pPr>
    </w:p>
    <w:p w14:paraId="295770AD" w14: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eastAsia="Arial Narrow" w:hAnsi="Arial Narrow" w:cs="Arial Narrow"/>
          <w:sz w:val="22"/>
          <w:szCs w:val="22"/>
        </w:rPr>
        <w:t>.</w:t>
      </w:r>
    </w:p>
    <w:p w14:paraId="39E96FE5" w14:textId="77777777" w:rsidR="00A959DF" w:rsidRPr="00E902D0" w:rsidRDefault="00A959DF" w:rsidP="009B5E9A">
      <w:pPr>
        <w:jc w:val="both"/>
        <w:rPr>
          <w:rFonts w:ascii="Arial Narrow" w:eastAsia="Arial Narrow" w:hAnsi="Arial Narrow" w:cs="Arial Narrow"/>
          <w:sz w:val="22"/>
          <w:szCs w:val="22"/>
        </w:rPr>
      </w:pPr>
    </w:p>
    <w:p w14:paraId="3281C94B" w14:textId="15A08503" w:rsidR="00DD7734" w:rsidRPr="00E902D0" w:rsidRDefault="00DD7734"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9B5E9A">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0B5D392B" w14:textId="1F401C8D" w:rsidR="00B30203" w:rsidRPr="00E902D0" w:rsidRDefault="00DD7734" w:rsidP="00442A61">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eastAsia="Arial Narrow" w:hAnsi="Arial Narrow" w:cs="Arial Narrow"/>
          <w:sz w:val="22"/>
          <w:szCs w:val="22"/>
          <w:shd w:val="clear" w:color="auto" w:fill="FFFFFF"/>
        </w:rPr>
        <w:t xml:space="preserve">con </w:t>
      </w:r>
      <w:r w:rsidR="00B06963" w:rsidRPr="00E902D0">
        <w:rPr>
          <w:rStyle w:val="normaltextrun"/>
          <w:rFonts w:ascii="Arial Narrow" w:eastAsia="Arial Narrow" w:hAnsi="Arial Narrow" w:cs="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eastAsia="Arial Narrow" w:hAnsi="Arial Narrow" w:cs="Arial Narrow"/>
          <w:sz w:val="22"/>
          <w:szCs w:val="22"/>
        </w:rPr>
        <w:t>lo</w:t>
      </w:r>
      <w:r w:rsidR="00B30203" w:rsidRPr="00E902D0">
        <w:rPr>
          <w:rStyle w:val="normaltextrun"/>
          <w:rFonts w:ascii="Arial Narrow" w:eastAsia="Arial Narrow" w:hAnsi="Arial Narrow" w:cs="Arial Narrow"/>
          <w:sz w:val="22"/>
          <w:szCs w:val="22"/>
        </w:rPr>
        <w:t xml:space="preserve"> siguiente:</w:t>
      </w:r>
    </w:p>
    <w:p w14:paraId="2BB2930D" w14:textId="77777777" w:rsidR="00543B73" w:rsidRPr="00E902D0" w:rsidRDefault="00543B73" w:rsidP="009B5E9A">
      <w:pPr>
        <w:pStyle w:val="Prrafodelista"/>
        <w:ind w:left="567"/>
        <w:jc w:val="both"/>
        <w:rPr>
          <w:rStyle w:val="normaltextrun"/>
          <w:rFonts w:ascii="Arial Narrow" w:eastAsia="Arial Narrow" w:hAnsi="Arial Narrow" w:cs="Arial Narrow"/>
          <w:sz w:val="22"/>
          <w:szCs w:val="22"/>
        </w:rPr>
      </w:pPr>
    </w:p>
    <w:p w14:paraId="5FA14DA4" w14: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eastAsia="Arial Narrow" w:hAnsi="Arial Narrow" w:cs="Arial Narrow"/>
          <w:sz w:val="22"/>
          <w:szCs w:val="22"/>
          <w:lang w:eastAsia="es-ES"/>
        </w:rPr>
        <w:t>Póliza Vehicular Auto Modular </w:t>
      </w:r>
      <w:r w:rsidR="002B6B18"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eastAsia="Arial Narrow" w:hAnsi="Arial Narrow" w:cs="Arial Narrow"/>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w14:paraId="42C8F6BF" w14:textId="77777777" w:rsidR="00543B73" w:rsidRPr="00E902D0" w:rsidRDefault="00543B73" w:rsidP="009B5E9A">
      <w:pPr>
        <w:jc w:val="both"/>
        <w:rPr>
          <w:rFonts w:ascii="Arial Narrow" w:eastAsia="Arial Narrow" w:hAnsi="Arial Narrow" w:cs="Arial Narrow"/>
          <w:sz w:val="22"/>
          <w:szCs w:val="22"/>
        </w:rPr>
      </w:pPr>
    </w:p>
    <w:p w14:paraId="338B623F" w14: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w14:paraId="1A1307FD" w14:textId="77777777" w:rsidR="00DF4A4E" w:rsidRDefault="00DF4A4E" w:rsidP="009B5E9A">
      <w:pPr>
        <w:pStyle w:val="Prrafodelista"/>
        <w:ind w:left="567"/>
        <w:jc w:val="both"/>
        <w:rPr>
          <w:rFonts w:ascii="Arial Narrow" w:eastAsia="Arial Narrow" w:hAnsi="Arial Narrow" w:cs="Arial Narrow"/>
          <w:sz w:val="22"/>
          <w:szCs w:val="22"/>
          <w:u w:val="single"/>
        </w:rPr>
      </w:pPr>
    </w:p>
    <w:p w14:paraId="0709CBC5" w14: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eastAsia="Arial Narrow" w:hAnsi="Arial Narrow" w:cs="Arial Narrow"/>
          <w:sz w:val="22"/>
          <w:szCs w:val="22"/>
        </w:rPr>
        <w:t>Informe Técnico RGD24-1135</w:t>
      </w:r>
      <w:r w:rsidRPr="00E902D0">
        <w:rPr>
          <w:rFonts w:ascii="Arial Narrow" w:eastAsia="Arial Narrow" w:hAnsi="Arial Narrow" w:cs="Arial Narrow"/>
          <w:sz w:val="22"/>
          <w:szCs w:val="22"/>
        </w:rPr>
        <w:t>.</w:t>
      </w:r>
    </w:p>
    <w:p w14:paraId="1BCEC533" w14:textId="77777777" w:rsidR="001F6E0F" w:rsidRPr="00E902D0" w:rsidRDefault="001F6E0F" w:rsidP="009B5E9A">
      <w:pPr>
        <w:jc w:val="both"/>
        <w:rPr>
          <w:rFonts w:ascii="Arial Narrow" w:eastAsia="Arial Narrow" w:hAnsi="Arial Narrow" w:cs="Arial Narrow"/>
          <w:sz w:val="22"/>
          <w:szCs w:val="22"/>
        </w:rPr>
      </w:pPr>
    </w:p>
    <w:p w14:paraId="0D137131" w14:textId="77777777" w:rsidR="00543B73" w:rsidRPr="00E902D0" w:rsidRDefault="00543B73" w:rsidP="009B5E9A">
      <w:pPr>
        <w:jc w:val="both"/>
        <w:rPr>
          <w:rFonts w:ascii="Arial Narrow" w:eastAsia="Arial Narrow" w:hAnsi="Arial Narrow" w:cs="Arial Narrow"/>
          <w:sz w:val="22"/>
          <w:szCs w:val="22"/>
        </w:rPr>
      </w:pPr>
    </w:p>
    <w:p w14:paraId="13303696" w14: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marzo de 2025, subsanado por escrito el 16 de abril de 2025, la cual obra en el apartado medios probatorios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w:r>
      <w:r w:rsidR="001E095E"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9B5E9A">
      <w:pPr>
        <w:jc w:val="both"/>
        <w:rPr>
          <w:rFonts w:ascii="Arial Narrow" w:eastAsia="Arial Narrow" w:hAnsi="Arial Narrow" w:cs="Arial Narrow"/>
          <w:b/>
          <w:sz w:val="22"/>
          <w:szCs w:val="22"/>
        </w:rPr>
      </w:pPr>
    </w:p>
    <w:p w14:paraId="451933ED" w14: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19 de marzo de 2025, subsanado por escrito el 16 de abril de 2025, interpuesta por [DENUNCIANTE] contra Pacífico Compañía de Seguros y Reaseguros S.A., Diveimport S.A. y GD Ajustadores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D61CCA">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0D05DA"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bCs/>
          <w:sz w:val="22"/>
          <w:szCs w:val="22"/>
        </w:rPr>
        <w:t/>
      </w:r>
    </w:p>
    <w:p w14:paraId="117416CC" w14:textId="77777777" w:rsidR="00BF4466" w:rsidRPr="00E902D0" w:rsidRDefault="00BF4466" w:rsidP="009B5E9A">
      <w:pPr>
        <w:jc w:val="both"/>
        <w:rPr>
          <w:rFonts w:ascii="Arial Narrow" w:eastAsia="Arial Narrow" w:hAnsi="Arial Narrow" w:cs="Arial Narrow"/>
          <w:sz w:val="22"/>
          <w:szCs w:val="22"/>
        </w:rPr>
      </w:pPr>
    </w:p>
    <w:p w14:paraId="653CBA92" w14: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eastAsia="Arial Narrow" w:hAnsi="Arial Narrow" w:cs="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eastAsia="Arial Narrow" w:hAnsi="Arial Narrow" w:cs="Arial Narrow"/>
          <w:sz w:val="22"/>
          <w:szCs w:val="22"/>
          <w:lang w:eastAsia="es-ES"/>
        </w:rPr>
        <w:t xml:space="preserve"> BNR-296</w:t>
      </w:r>
      <w:bookmarkEnd w:id="5"/>
      <w:r w:rsidR="007725A9" w:rsidRPr="00E902D0">
        <w:rPr>
          <w:rFonts w:ascii="Arial Narrow" w:eastAsia="Arial Narrow" w:hAnsi="Arial Narrow" w:cs="Arial Narrow"/>
          <w:sz w:val="22"/>
          <w:szCs w:val="22"/>
          <w:lang w:eastAsia="es-ES"/>
        </w:rPr>
        <w:t>.</w:t>
      </w:r>
    </w:p>
    <w:p w14:paraId="33CA61EF" w14:textId="77777777" w:rsidR="005761C7" w:rsidRDefault="005761C7" w:rsidP="009B5E9A">
      <w:pPr>
        <w:pStyle w:val="Prrafodelista"/>
        <w:jc w:val="both"/>
        <w:rPr>
          <w:rFonts w:ascii="Arial Narrow" w:eastAsia="Arial Narrow" w:hAnsi="Arial Narrow" w:cs="Arial Narrow"/>
          <w:sz w:val="22"/>
          <w:szCs w:val="22"/>
        </w:rPr>
      </w:pPr>
    </w:p>
    <w:p w14:paraId="2907AF6B" w14: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eastAsia="Arial Narrow" w:hAnsi="Arial Narrow" w:cs="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eastAsia="Arial Narrow" w:hAnsi="Arial Narrow" w:cs="Arial Narrow"/>
          <w:sz w:val="22"/>
          <w:szCs w:val="22"/>
          <w:lang w:eastAsia="es-ES"/>
        </w:rPr>
        <w:t xml:space="preserve"> BNR-296</w:t>
      </w:r>
      <w:r w:rsidRPr="00E902D0">
        <w:rPr>
          <w:rFonts w:ascii="Arial Narrow" w:eastAsia="Arial Narrow" w:hAnsi="Arial Narrow" w:cs="Arial Narrow"/>
          <w:sz w:val="22"/>
          <w:szCs w:val="22"/>
          <w:lang w:eastAsia="es-ES"/>
        </w:rPr>
        <w:t>.</w:t>
      </w:r>
    </w:p>
    <w:p w14:paraId="3C587830" w14:textId="77777777" w:rsidR="002F3992" w:rsidRDefault="002F3992" w:rsidP="009B5E9A">
      <w:pPr>
        <w:pStyle w:val="Prrafodelista"/>
        <w:jc w:val="both"/>
        <w:rPr>
          <w:rFonts w:ascii="Arial Narrow" w:eastAsia="Arial Narrow" w:hAnsi="Arial Narrow" w:cs="Arial Narrow"/>
          <w:sz w:val="22"/>
          <w:szCs w:val="22"/>
        </w:rPr>
      </w:pPr>
    </w:p>
    <w:p w14:paraId="53D04E93" w14: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eastAsia="Arial Narrow" w:hAnsi="Arial Narrow" w:cs="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eastAsia="Arial Narrow" w:hAnsi="Arial Narrow" w:cs="Arial Narrow"/>
          <w:sz w:val="22"/>
          <w:szCs w:val="22"/>
          <w:lang w:eastAsia="es-ES"/>
        </w:rPr>
        <w:t xml:space="preserve"> BNR-296 presentaba fallas por recalentamiento del motor, condicionando el pago de la Cotización 0102215270 para que </w:t>
      </w:r>
      <w:r w:rsidR="005377F3" w:rsidRPr="0059127A">
        <w:rPr>
          <w:rFonts w:ascii="Arial Narrow" w:eastAsia="Arial Narrow" w:hAnsi="Arial Narrow" w:cs="Arial Narrow"/>
          <w:sz w:val="22"/>
          <w:szCs w:val="22"/>
          <w:lang w:eastAsia="es-ES"/>
        </w:rPr>
        <w:t>continúen con las reparaciones</w:t>
      </w:r>
      <w:r w:rsidR="005377F3">
        <w:rPr>
          <w:rFonts w:ascii="Arial Narrow" w:eastAsia="Arial Narrow" w:hAnsi="Arial Narrow" w:cs="Arial Narrow"/>
          <w:sz w:val="22"/>
          <w:szCs w:val="22"/>
          <w:lang w:eastAsia="es-ES"/>
        </w:rPr>
        <w:t>.</w:t>
      </w:r>
    </w:p>
    <w:p w14:paraId="6BE1E30D" w14:textId="77777777" w:rsidR="005C07D1" w:rsidRPr="00E902D0" w:rsidRDefault="005C07D1" w:rsidP="009B5E9A">
      <w:pPr>
        <w:pStyle w:val="Prrafodelista"/>
        <w:jc w:val="both"/>
        <w:rPr>
          <w:rFonts w:ascii="Arial Narrow" w:eastAsia="Arial Narrow" w:hAnsi="Arial Narrow" w:cs="Arial Narrow"/>
          <w:sz w:val="22"/>
          <w:szCs w:val="22"/>
        </w:rPr>
      </w:pPr>
    </w:p>
    <w:p w14:paraId="2734E88E" w14: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eastAsia="Arial Narrow" w:hAnsi="Arial Narrow" w:cs="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eastAsia="Arial Narrow" w:hAnsi="Arial Narrow" w:cs="Arial Narrow"/>
          <w:sz w:val="22"/>
          <w:szCs w:val="22"/>
          <w:lang w:eastAsia="es-ES"/>
        </w:rPr>
        <w:t xml:space="preserve"> BNR-296, pese a que no se apersonaron al taller donde se encontraba la unidad asegurada</w:t>
      </w:r>
      <w:r w:rsidR="005377F3">
        <w:rPr>
          <w:rFonts w:ascii="Arial Narrow" w:eastAsia="Arial Narrow" w:hAnsi="Arial Narrow" w:cs="Arial Narrow"/>
          <w:sz w:val="22"/>
          <w:szCs w:val="22"/>
          <w:lang w:eastAsia="es-ES"/>
        </w:rPr>
        <w:t>.</w:t>
      </w:r>
    </w:p>
    <w:p w14:paraId="4F8CBFAD" w14:textId="77777777" w:rsidR="002E38D6" w:rsidRPr="00E902D0" w:rsidRDefault="002E38D6" w:rsidP="009B5E9A">
      <w:pPr>
        <w:pBdr>
          <w:top w:val="nil"/>
          <w:left w:val="nil"/>
          <w:bottom w:val="nil"/>
          <w:right w:val="nil"/>
          <w:between w:val="nil"/>
        </w:pBdr>
        <w:jc w:val="both"/>
        <w:rPr>
          <w:rFonts w:ascii="Arial Narrow" w:eastAsia="Arial Narrow" w:hAnsi="Arial Narrow" w:cs="Arial Narrow"/>
          <w:sz w:val="22"/>
          <w:szCs w:val="22"/>
        </w:rPr>
      </w:pPr>
    </w:p>
    <w:p w14:paraId="29C4DA0A" w14: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eastAsia="Arial Narrow" w:hAnsi="Arial Narrow" w:cs="Arial Narrow"/>
          <w:sz w:val="22"/>
          <w:szCs w:val="22"/>
        </w:rPr>
        <w:t xml:space="preserve"> </w:t>
      </w:r>
      <w:r w:rsidR="00151F4E" w:rsidRPr="00E902D0">
        <w:rPr>
          <w:rFonts w:ascii="Arial Narrow" w:eastAsia="Arial Narrow" w:hAnsi="Arial Narrow" w:cs="Arial Narrow"/>
          <w:sz w:val="22"/>
          <w:szCs w:val="22"/>
        </w:rPr>
        <w:t xml:space="preserve">subsanado por escrito el 16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9B5E9A">
      <w:pPr>
        <w:jc w:val="both"/>
        <w:rPr>
          <w:rFonts w:ascii="Arial Narrow" w:eastAsia="Arial Narrow" w:hAnsi="Arial Narrow" w:cs="Arial Narrow"/>
          <w:sz w:val="22"/>
          <w:szCs w:val="22"/>
        </w:rPr>
      </w:pPr>
    </w:p>
    <w:p w14:paraId="2DC92C85" w14:textId="1A38118B" w:rsidR="00A67DAD"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271380">
        <w:rPr>
          <w:rFonts w:ascii="Arial Narrow" w:eastAsia="Arial Narrow" w:hAnsi="Arial Narrow" w:cs="Arial Narrow"/>
          <w:bCs/>
          <w:sz w:val="22"/>
          <w:szCs w:val="22"/>
        </w:rPr>
        <w:t>,</w:t>
      </w:r>
      <w:r w:rsidR="00D457D4" w:rsidRPr="00E902D0">
        <w:rPr>
          <w:rFonts w:ascii="Arial Narrow" w:eastAsia="Arial Narrow" w:hAnsi="Arial Narrow" w:cs="Arial Narrow"/>
          <w:bCs/>
          <w:sz w:val="22"/>
          <w:szCs w:val="22"/>
        </w:rPr>
        <w:t xml:space="preserve"> </w:t>
      </w:r>
      <w:r w:rsidR="001E095E" w:rsidRPr="00E902D0">
        <w:rPr>
          <w:rFonts w:ascii="Arial Narrow" w:eastAsia="Arial Narrow" w:hAnsi="Arial Narrow" w:cs="Arial Narrow"/>
          <w:bCs/>
          <w:sz w:val="22"/>
          <w:szCs w:val="22"/>
        </w:rPr>
        <w:t>Diveimport S.A.</w:t>
      </w:r>
      <w:r w:rsidR="00271380">
        <w:rPr>
          <w:rFonts w:ascii="Arial Narrow" w:eastAsia="Arial Narrow" w:hAnsi="Arial Narrow" w:cs="Arial Narrow"/>
          <w:bCs/>
          <w:sz w:val="22"/>
          <w:szCs w:val="22"/>
        </w:rPr>
        <w:t xml:space="preserve"> y </w:t>
      </w:r>
      <w:r w:rsidR="00271380" w:rsidRPr="00271380">
        <w:rPr>
          <w:rFonts w:ascii="Arial Narrow" w:eastAsia="Arial Narrow" w:hAnsi="Arial Narrow" w:cs="Arial Narrow"/>
          <w:bCs/>
          <w:sz w:val="22"/>
          <w:szCs w:val="22"/>
        </w:rPr>
        <w:t xml:space="preserve">GD Ajustadores </w:t>
      </w:r>
      <w:r w:rsidR="00C91250">
        <w:rPr>
          <w:rFonts w:ascii="Arial Narrow" w:eastAsia="Arial Narrow" w:hAnsi="Arial Narrow" w:cs="Arial Narrow"/>
          <w:bCs/>
          <w:sz w:val="22"/>
          <w:szCs w:val="22"/>
        </w:rPr>
        <w:t>d</w:t>
      </w:r>
      <w:r w:rsidR="00271380" w:rsidRPr="00271380">
        <w:rPr>
          <w:rFonts w:ascii="Arial Narrow" w:eastAsia="Arial Narrow" w:hAnsi="Arial Narrow" w:cs="Arial Narrow"/>
          <w:bCs/>
          <w:sz w:val="22"/>
          <w:szCs w:val="22"/>
        </w:rPr>
        <w:t>e Seguros S.A.C.</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que cumpla</w:t>
      </w:r>
      <w:r w:rsidR="00E21096">
        <w:rPr>
          <w:rFonts w:ascii="Arial Narrow" w:eastAsia="Arial Narrow" w:hAnsi="Arial Narrow" w:cs="Arial Narrow"/>
          <w:sz w:val="22"/>
          <w:szCs w:val="22"/>
        </w:rPr>
        <w:t>n</w:t>
      </w:r>
      <w:r w:rsidR="00A67DAD" w:rsidRPr="00E902D0">
        <w:rPr>
          <w:rFonts w:ascii="Arial Narrow" w:eastAsia="Arial Narrow" w:hAnsi="Arial Narrow" w:cs="Arial Narrow"/>
          <w:sz w:val="22"/>
          <w:szCs w:val="22"/>
        </w:rPr>
        <w:t xml:space="preserve"> con lo siguiente: </w:t>
      </w:r>
    </w:p>
    <w:bookmarkEnd w:id="6"/>
    <w:p w14:paraId="19BDC2CF" w14:textId="77777777" w:rsidR="00A67DAD" w:rsidRPr="00E902D0" w:rsidRDefault="00A67DAD" w:rsidP="009B5E9A">
      <w:pPr>
        <w:autoSpaceDE w:val="0"/>
        <w:autoSpaceDN w:val="0"/>
        <w:adjustRightInd w:val="0"/>
        <w:jc w:val="both"/>
        <w:rPr>
          <w:rFonts w:ascii="Arial Narrow" w:eastAsia="Arial Narrow" w:hAnsi="Arial Narrow" w:cs="Arial Narrow"/>
          <w:sz w:val="22"/>
          <w:szCs w:val="22"/>
        </w:rPr>
      </w:pPr>
    </w:p>
    <w:p w14:paraId="1FE74689"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C67775" w:rsidRDefault="00A67DAD" w:rsidP="009B5E9A">
      <w:pPr>
        <w:widowControl w:val="0"/>
        <w:ind w:left="567" w:hanging="567"/>
        <w:jc w:val="both"/>
        <w:rPr>
          <w:rFonts w:ascii="Arial Narrow" w:eastAsia="Arial Narrow" w:hAnsi="Arial Narrow" w:cs="Arial Narrow"/>
          <w:sz w:val="22"/>
          <w:szCs w:val="22"/>
        </w:rPr>
      </w:pPr>
    </w:p>
    <w:p w14:paraId="69BBACBB"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C67775" w:rsidRDefault="00A67DAD" w:rsidP="009B5E9A">
      <w:pPr>
        <w:widowControl w:val="0"/>
        <w:ind w:left="567"/>
        <w:jc w:val="both"/>
        <w:rPr>
          <w:rFonts w:ascii="Arial Narrow" w:eastAsia="Arial Narrow" w:hAnsi="Arial Narrow" w:cs="Arial Narrow"/>
          <w:sz w:val="22"/>
          <w:szCs w:val="22"/>
        </w:rPr>
      </w:pPr>
    </w:p>
    <w:p w14:paraId="721739B8"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w14:paraId="000E2D60" w14:textId="77777777" w:rsidR="00A67DAD" w:rsidRPr="00C67775" w:rsidRDefault="00A67DAD" w:rsidP="009B5E9A">
      <w:pPr>
        <w:widowControl w:val="0"/>
        <w:ind w:left="567"/>
        <w:jc w:val="both"/>
        <w:rPr>
          <w:rFonts w:ascii="Arial Narrow" w:eastAsia="Arial Narrow" w:hAnsi="Arial Narrow" w:cs="Arial Narrow"/>
          <w:sz w:val="22"/>
          <w:szCs w:val="22"/>
        </w:rPr>
      </w:pPr>
    </w:p>
    <w:p w14:paraId="3AEF7426"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C67775" w:rsidRDefault="00A67DAD" w:rsidP="009B5E9A">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Arial Narrow" w:hAnsi="Arial Narrow" w:cs="Arial Narrow"/>
          <w:sz w:val="22"/>
          <w:szCs w:val="22"/>
          <w:vertAlign w:val="superscript"/>
        </w:rPr>
        <w:footnoteReference w:id="10"/>
      </w:r>
      <w:r w:rsidRPr="00C67775">
        <w:rPr>
          <w:rFonts w:ascii="Arial Narrow" w:eastAsia="Arial Narrow" w:hAnsi="Arial Narrow" w:cs="Arial Narrow"/>
          <w:sz w:val="22"/>
          <w:szCs w:val="22"/>
        </w:rPr>
        <w:t xml:space="preserve">. Ello, a fin de que la Comisión pueda merituar dicha documentación, conforme lo establece el artículo 110 del </w:t>
      </w:r>
      <w:r w:rsidRPr="00C67775">
        <w:rPr>
          <w:rFonts w:ascii="Arial Narrow" w:eastAsia="Arial Narrow" w:hAnsi="Arial Narrow" w:cs="Arial Narrow"/>
          <w:spacing w:val="-2"/>
          <w:sz w:val="22"/>
          <w:szCs w:val="22"/>
        </w:rPr>
        <w:t>Código</w:t>
      </w:r>
      <w:r w:rsidRPr="00C67775">
        <w:rPr>
          <w:rStyle w:val="Refdenotaalpie"/>
          <w:rFonts w:ascii="Arial Narrow" w:eastAsia="Arial Narrow" w:hAnsi="Arial Narrow" w:cs="Arial Narrow"/>
          <w:spacing w:val="-2"/>
          <w:sz w:val="22"/>
          <w:szCs w:val="22"/>
          <w:vertAlign w:val="superscript"/>
        </w:rPr>
        <w:footnoteReference w:id="11"/>
      </w:r>
      <w:r w:rsidRPr="00C67775">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9B5E9A">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Pacífico Seguros y Reaseguros S.A., Diveimport S.A. y GD Ajustadores de Seguros S.A.C.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9B5E9A">
      <w:pPr>
        <w:jc w:val="both"/>
        <w:rPr>
          <w:rFonts w:ascii="Arial Narrow" w:eastAsia="Arial Narrow" w:hAnsi="Arial Narrow" w:cs="Arial Narrow"/>
          <w:b/>
          <w:bCs/>
          <w:spacing w:val="-2"/>
          <w:sz w:val="22"/>
          <w:szCs w:val="22"/>
          <w:lang w:eastAsia="es-ES"/>
        </w:rPr>
      </w:pPr>
    </w:p>
    <w:p w14:paraId="5D99DE99" w14:textId="4A768994" w:rsidR="00294A2E" w:rsidRPr="00E902D0" w:rsidRDefault="00A84D46" w:rsidP="009B5E9A">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294A2E" w:rsidRPr="00E902D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7E5A55" w:rsidRPr="00E902D0">
        <w:rPr>
          <w:rFonts w:ascii="Arial Narrow" w:eastAsia="Arial Narrow" w:hAnsi="Arial Narrow" w:cs="Arial Narrow"/>
          <w:bCs/>
          <w:sz w:val="22"/>
          <w:szCs w:val="22"/>
        </w:rPr>
        <w:t>.</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eastAsia="Arial Narrow" w:hAnsi="Arial Narrow" w:cs="Arial Narrow"/>
          <w:sz w:val="22"/>
          <w:szCs w:val="22"/>
          <w:lang w:eastAsia="es-ES"/>
        </w:rPr>
        <w:t>Póliza Vehicular Auto Modular </w:t>
      </w:r>
      <w:r w:rsidR="002B6B18" w:rsidRPr="00E902D0">
        <w:rPr>
          <w:rFonts w:ascii="Arial Narrow" w:eastAsia="Arial Narrow" w:hAnsi="Arial Narrow" w:cs="Arial Narrow"/>
          <w:sz w:val="22"/>
          <w:szCs w:val="22"/>
        </w:rPr>
        <w:t xml:space="preserve"> </w:t>
      </w:r>
      <w:r w:rsidR="002B6B18" w:rsidRPr="00E902D0">
        <w:rPr>
          <w:rFonts w:ascii="Arial Narrow" w:eastAsia="Arial Narrow" w:hAnsi="Arial Narrow" w:cs="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eastAsia="Arial Narrow" w:hAnsi="Arial Narrow" w:cs="Arial Narrow"/>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w14:paraId="2D029D1F" w14:textId="77777777" w:rsidR="00D457D4" w:rsidRPr="00E902D0" w:rsidRDefault="00D457D4" w:rsidP="009B5E9A">
      <w:pPr>
        <w:jc w:val="both"/>
        <w:rPr>
          <w:rFonts w:ascii="Arial Narrow" w:eastAsia="Arial Narrow" w:hAnsi="Arial Narrow" w:cs="Arial Narrow"/>
          <w:b/>
          <w:bCs/>
          <w:spacing w:val="-2"/>
          <w:sz w:val="22"/>
          <w:szCs w:val="22"/>
          <w:lang w:eastAsia="es-ES"/>
        </w:rPr>
      </w:pPr>
    </w:p>
    <w:p w14:paraId="5852701F" w14:textId="74422694" w:rsidR="00D457D4" w:rsidRDefault="007E5A55" w:rsidP="009B5E9A">
      <w:pPr>
        <w:jc w:val="both"/>
        <w:rPr>
          <w:rFonts w:ascii="Arial Narrow" w:eastAsia="Arial Narrow" w:hAnsi="Arial Narrow" w:cs="Arial Narrow"/>
          <w:sz w:val="22"/>
          <w:szCs w:val="22"/>
        </w:rPr>
      </w:pPr>
      <w:r w:rsidRPr="00E902D0">
        <w:rPr>
          <w:rFonts w:ascii="Arial Narrow" w:eastAsia="Arial Narrow" w:hAnsi="Arial Narrow" w:cs="Arial Narrow"/>
          <w:b/>
          <w:bCs/>
          <w:spacing w:val="-2"/>
          <w:sz w:val="22"/>
          <w:szCs w:val="22"/>
          <w:lang w:eastAsia="es-ES"/>
        </w:rPr>
        <w:t>S</w:t>
      </w:r>
      <w:r w:rsidR="00440CD6">
        <w:rPr>
          <w:rFonts w:ascii="Arial Narrow" w:eastAsia="Arial Narrow" w:hAnsi="Arial Narrow" w:cs="Arial Narrow"/>
          <w:b/>
          <w:bCs/>
          <w:spacing w:val="-2"/>
          <w:sz w:val="22"/>
          <w:szCs w:val="22"/>
          <w:lang w:eastAsia="es-ES"/>
        </w:rPr>
        <w:t>É</w:t>
      </w:r>
      <w:r w:rsidRPr="00E902D0">
        <w:rPr>
          <w:rFonts w:ascii="Arial Narrow" w:eastAsia="Arial Narrow" w:hAnsi="Arial Narrow" w:cs="Arial Narrow"/>
          <w:b/>
          <w:bCs/>
          <w:spacing w:val="-2"/>
          <w:sz w:val="22"/>
          <w:szCs w:val="22"/>
          <w:lang w:eastAsia="es-ES"/>
        </w:rPr>
        <w:t>TIMO</w:t>
      </w:r>
      <w:r w:rsidR="00D457D4" w:rsidRPr="00E902D0">
        <w:rPr>
          <w:rFonts w:ascii="Arial Narrow" w:eastAsia="Arial Narrow" w:hAnsi="Arial Narrow" w:cs="Arial Narrow"/>
          <w:bCs/>
          <w:sz w:val="22"/>
          <w:szCs w:val="22"/>
          <w:lang w:val="es-ES" w:eastAsia="es-ES"/>
        </w:rPr>
        <w:t>:</w:t>
      </w:r>
      <w:r w:rsidR="00D457D4" w:rsidRPr="00E902D0">
        <w:rPr>
          <w:rFonts w:ascii="Arial Narrow" w:eastAsia="Arial Narrow" w:hAnsi="Arial Narrow" w:cs="Arial Narrow"/>
          <w:b/>
          <w:bCs/>
          <w:sz w:val="22"/>
          <w:szCs w:val="22"/>
          <w:lang w:val="es-ES" w:eastAsia="es-ES"/>
        </w:rPr>
        <w:t xml:space="preserve"> </w:t>
      </w:r>
      <w:r w:rsidR="00D457D4" w:rsidRPr="00E902D0">
        <w:rPr>
          <w:rFonts w:ascii="Arial Narrow" w:eastAsia="Arial Narrow" w:hAnsi="Arial Narrow" w:cs="Arial Narrow"/>
          <w:sz w:val="22"/>
          <w:szCs w:val="22"/>
          <w:lang w:val="es-ES" w:eastAsia="es-ES"/>
        </w:rPr>
        <w:t xml:space="preserve">requerir a </w:t>
      </w:r>
      <w:r w:rsidR="00B80358" w:rsidRPr="00E902D0">
        <w:rPr>
          <w:rFonts w:ascii="Arial Narrow" w:eastAsia="Arial Narrow" w:hAnsi="Arial Narrow" w:cs="Arial Narrow"/>
          <w:bCs/>
          <w:sz w:val="22"/>
          <w:szCs w:val="22"/>
        </w:rPr>
        <w:t>Diveimport S.A.</w:t>
      </w:r>
      <w:r w:rsidR="00D457D4" w:rsidRPr="00E902D0">
        <w:rPr>
          <w:rStyle w:val="normaltextrun"/>
          <w:rFonts w:ascii="Arial Narrow" w:eastAsia="Arial Narrow" w:hAnsi="Arial Narrow" w:cs="Arial Narrow"/>
          <w:sz w:val="22"/>
          <w:szCs w:val="22"/>
          <w:shd w:val="clear" w:color="auto" w:fill="FFFFFF"/>
        </w:rPr>
        <w:t xml:space="preserve">, </w:t>
      </w:r>
      <w:r w:rsidR="00D457D4" w:rsidRPr="00E902D0">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eastAsia="Arial Narrow" w:hAnsi="Arial Narrow" w:cs="Arial Narrow"/>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3EAD0A69" w14:textId="77777777" w:rsidR="00440CD6" w:rsidRDefault="00440CD6" w:rsidP="009B5E9A">
      <w:pPr>
        <w:jc w:val="both"/>
        <w:rPr>
          <w:rFonts w:ascii="Arial Narrow" w:eastAsia="Arial Narrow" w:hAnsi="Arial Narrow" w:cs="Arial Narrow"/>
          <w:sz w:val="22"/>
          <w:szCs w:val="22"/>
        </w:rPr>
      </w:pPr>
    </w:p>
    <w:p w14:paraId="36CDAD4A" w14:textId="0A768C0E" w:rsidR="00440CD6" w:rsidRPr="00E902D0" w:rsidRDefault="00440CD6" w:rsidP="00440CD6">
      <w:pPr>
        <w:jc w:val="both"/>
        <w:rPr>
          <w:rFonts w:ascii="Arial Narrow" w:eastAsia="Arial Narrow" w:hAnsi="Arial Narrow" w:cs="Arial Narrow"/>
          <w:sz w:val="22"/>
          <w:szCs w:val="22"/>
          <w:lang w:val="es-ES" w:eastAsia="es-ES"/>
        </w:rPr>
      </w:pPr>
      <w:r>
        <w:rPr>
          <w:rFonts w:ascii="Arial Narrow" w:eastAsia="Arial Narrow" w:hAnsi="Arial Narrow" w:cs="Arial Narrow"/>
          <w:b/>
          <w:bCs/>
          <w:spacing w:val="-2"/>
          <w:sz w:val="22"/>
          <w:szCs w:val="22"/>
          <w:lang w:eastAsia="es-ES"/>
        </w:rPr>
        <w:t>OCTAVO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a </w:t>
      </w:r>
      <w:r w:rsidR="001747D4" w:rsidRPr="001747D4">
        <w:rPr>
          <w:rFonts w:ascii="Arial Narrow" w:eastAsia="Arial Narrow" w:hAnsi="Arial Narrow" w:cs="Arial Narrow"/>
          <w:bCs/>
          <w:sz w:val="22"/>
          <w:szCs w:val="22"/>
        </w:rPr>
        <w:t>GD Ajustadores de Seguros S.A</w:t>
      </w:r>
      <w:r w:rsidRPr="001747D4">
        <w:rPr>
          <w:rFonts w:ascii="Arial Narrow" w:eastAsia="Arial Narrow" w:hAnsi="Arial Narrow" w:cs="Arial Narrow"/>
          <w:bCs/>
          <w:sz w:val="22"/>
          <w:szCs w:val="22"/>
        </w:rPr>
        <w:t>.</w:t>
      </w:r>
      <w:r w:rsidRPr="001747D4">
        <w:rPr>
          <w:rStyle w:val="normaltextrun"/>
          <w:rFonts w:ascii="Arial Narrow" w:eastAsia="Arial Narrow" w:hAnsi="Arial Narrow" w:cs="Arial Narrow"/>
          <w:sz w:val="22"/>
          <w:szCs w:val="22"/>
          <w:shd w:val="clear" w:color="auto" w:fill="FFFFFF"/>
        </w:rPr>
        <w:t xml:space="preserve">, </w:t>
      </w:r>
      <w:r w:rsidRPr="001747D4">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eastAsia="Arial Narrow" w:hAnsi="Arial Narrow" w:cs="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w14:paraId="42601899" w14:textId="77777777" w:rsidR="00A67DAD" w:rsidRPr="00E902D0" w:rsidRDefault="00A67DAD" w:rsidP="009B5E9A">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9B5E9A">
      <w:pPr>
        <w:jc w:val="both"/>
        <w:rPr>
          <w:rFonts w:ascii="Arial Narrow" w:eastAsia="Arial Narrow" w:hAnsi="Arial Narrow" w:cs="Arial Narrow"/>
          <w:spacing w:val="-2"/>
          <w:sz w:val="22"/>
          <w:szCs w:val="22"/>
        </w:rPr>
      </w:pPr>
      <w:bookmarkStart w:id="11"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5"/>
      </w:r>
      <w:r w:rsidRPr="00E902D0">
        <w:rPr>
          <w:rFonts w:ascii="Arial Narrow" w:eastAsia="Arial Narrow" w:hAnsi="Arial Narrow" w:cs="Arial Narrow"/>
          <w:sz w:val="22"/>
          <w:szCs w:val="22"/>
        </w:rPr>
        <w:t>.</w:t>
      </w:r>
    </w:p>
    <w:bookmarkEnd w:id="11"/>
    <w:p w14:paraId="71B707D5"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15B457F0" w14: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9B5E9A">
      <w:pPr>
        <w:shd w:val="clear" w:color="auto" w:fill="FFFFFF"/>
        <w:jc w:val="both"/>
        <w:rPr>
          <w:rFonts w:ascii="Arial Narrow" w:eastAsia="Arial Narrow" w:hAnsi="Arial Narrow" w:cs="Arial Narrow"/>
          <w:sz w:val="22"/>
          <w:szCs w:val="22"/>
        </w:rPr>
      </w:pPr>
    </w:p>
    <w:p w14:paraId="4FC33B52" w14:textId="629464E4" w:rsidR="00A67DAD" w:rsidRPr="00E902D0" w:rsidRDefault="007E5A55" w:rsidP="009B5E9A">
      <w:pPr>
        <w:suppressAutoHyphens/>
        <w:jc w:val="both"/>
        <w:rPr>
          <w:rFonts w:ascii="Arial Narrow" w:eastAsia="Arial Narrow" w:hAnsi="Arial Narrow" w:cs="Arial Narrow"/>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6"/>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u w:val="single"/>
        </w:rPr>
        <w:t>expresamente su facultad para asistir y conciliar en su representación</w:t>
      </w:r>
      <w:r w:rsidR="00A67DAD" w:rsidRPr="00E902D0">
        <w:rPr>
          <w:rFonts w:ascii="Arial Narrow" w:eastAsia="Arial Narrow" w:hAnsi="Arial Narrow" w:cs="Arial Narrow"/>
          <w:sz w:val="22"/>
          <w:szCs w:val="22"/>
        </w:rPr>
        <w:t>.</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3F3E79CD" w14: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w14:paraId="4CA9F2F3" w14:textId="77777777" w:rsidR="00A67DAD" w:rsidRPr="00106EDA" w:rsidRDefault="00A67DAD" w:rsidP="009B5E9A">
      <w:pPr>
        <w:shd w:val="clear" w:color="auto" w:fill="FFFFFF"/>
        <w:rPr>
          <w:rFonts w:ascii="Arial Narrow" w:eastAsia="Arial Narrow" w:hAnsi="Arial Narrow" w:cs="Arial Narrow"/>
          <w:b/>
          <w:bCs/>
          <w:sz w:val="22"/>
          <w:szCs w:val="22"/>
        </w:rPr>
      </w:pPr>
    </w:p>
    <w:p w14:paraId="65ABA9E0" w14:textId="66D59D50" w:rsidR="00106EDA" w:rsidRPr="00106EDA" w:rsidRDefault="00106EDA" w:rsidP="00106EDA">
      <w:pPr>
        <w:shd w:val="clear" w:color="auto" w:fill="FFFFFF"/>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SEGUNDO: </w:t>
      </w:r>
      <w:r w:rsidRPr="00106EDA">
        <w:rPr>
          <w:rFonts w:ascii="Arial Narrow" w:eastAsia="Arial Narrow" w:hAnsi="Arial Narrow" w:cs="Arial Narrow"/>
          <w:sz w:val="22"/>
          <w:szCs w:val="22"/>
        </w:rPr>
        <w:t xml:space="preserve">requerir a [DENUNCIANTE] para que, 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1645">
        <w:rPr>
          <w:rFonts w:ascii="Arial Narrow" w:eastAsia="Arial Narrow" w:hAnsi="Arial Narrow" w:cs="Arial Narrow"/>
          <w:sz w:val="22"/>
          <w:szCs w:val="22"/>
        </w:rPr>
        <w:t/>
      </w:r>
      <w:r w:rsidRPr="00106EDA">
        <w:rPr>
          <w:rFonts w:ascii="Arial Narrow" w:eastAsia="Arial Narrow" w:hAnsi="Arial Narrow" w:cs="Arial Narrow"/>
          <w:sz w:val="22"/>
          <w:szCs w:val="22"/>
        </w:rPr>
        <w:t/>
      </w:r>
      <w:r w:rsidRPr="00106EDA">
        <w:rPr>
          <w:rFonts w:ascii="Arial Narrow" w:eastAsia="Arial Narrow" w:hAnsi="Arial Narrow" w:cs="Arial Narrow"/>
          <w:sz w:val="22"/>
          <w:szCs w:val="22"/>
        </w:rPr>
        <w:t xml:space="preserve"/>
      </w:r>
      <w:r w:rsidRPr="00106EDA">
        <w:rPr>
          <w:rFonts w:ascii="Arial Narrow" w:eastAsia="Arial Narrow" w:hAnsi="Arial Narrow" w:cs="Arial Narrow"/>
          <w:color w:val="000000"/>
          <w:sz w:val="22"/>
          <w:szCs w:val="22"/>
        </w:rPr>
        <w:t xml:space="preserve"/>
      </w:r>
      <w:r w:rsidR="00C165E6" w:rsidRPr="00E902D0">
        <w:rPr>
          <w:rFonts w:ascii="Arial Narrow" w:eastAsia="Arial Narrow" w:hAnsi="Arial Narrow" w:cs="Arial Narrow"/>
          <w:sz w:val="22"/>
          <w:szCs w:val="22"/>
        </w:rPr>
        <w:t/>
      </w:r>
      <w:r w:rsidR="00C165E6">
        <w:rPr>
          <w:rFonts w:ascii="Arial Narrow" w:eastAsia="Arial Narrow" w:hAnsi="Arial Narrow" w:cs="Arial Narrow"/>
          <w:sz w:val="22"/>
          <w:szCs w:val="22"/>
        </w:rPr>
        <w:t/>
      </w:r>
      <w:r w:rsidR="00C165E6" w:rsidRPr="00106EDA">
        <w:rPr>
          <w:rFonts w:ascii="Arial Narrow" w:eastAsia="Arial Narrow" w:hAnsi="Arial Narrow" w:cs="Arial Narrow"/>
          <w:color w:val="000000"/>
          <w:sz w:val="22"/>
          <w:szCs w:val="22"/>
        </w:rPr>
        <w:t xml:space="preserve"/>
      </w:r>
      <w:r w:rsidRPr="00106EDA">
        <w:rPr>
          <w:rFonts w:ascii="Arial Narrow" w:eastAsia="Arial Narrow" w:hAnsi="Arial Narrow" w:cs="Arial Narrow"/>
          <w:color w:val="000000"/>
          <w:sz w:val="22"/>
          <w:szCs w:val="22"/>
        </w:rPr>
        <w:t xml:space="preserve"/>
      </w:r>
      <w:r w:rsidRPr="00106EDA">
        <w:rPr>
          <w:rFonts w:ascii="Arial Narrow" w:eastAsia="Arial Narrow" w:hAnsi="Arial Narrow" w:cs="Arial Narrow"/>
          <w:sz w:val="22"/>
          <w:szCs w:val="22"/>
        </w:rPr>
        <w:t xml:space="preserve"/>
      </w:r>
      <w:r w:rsidRPr="00106EDA">
        <w:rPr>
          <w:rFonts w:ascii="Arial Narrow" w:eastAsia="Arial Narrow" w:hAnsi="Arial Narrow" w:cs="Arial Narrow"/>
          <w:sz w:val="22"/>
          <w:szCs w:val="22"/>
        </w:rPr>
        <w:t/>
      </w:r>
      <w:r w:rsidRPr="00106EDA">
        <w:rPr>
          <w:rStyle w:val="Refdenotaalpie"/>
          <w:rFonts w:ascii="Arial Narrow" w:eastAsia="Arial Narrow" w:hAnsi="Arial Narrow" w:cs="Arial Narrow"/>
          <w:sz w:val="22"/>
          <w:szCs w:val="22"/>
          <w:vertAlign w:val="superscript"/>
        </w:rPr>
        <w:footnoteReference w:id="17"/>
      </w:r>
      <w:r w:rsidRPr="00106EDA">
        <w:rPr>
          <w:rFonts w:ascii="Arial Narrow" w:eastAsia="Arial Narrow" w:hAnsi="Arial Narrow" w:cs="Arial Narrow"/>
          <w:sz w:val="22"/>
          <w:szCs w:val="22"/>
        </w:rPr>
        <w:t/>
      </w:r>
    </w:p>
    <w:p w14:paraId="05A0E9FE" w14:textId="77777777" w:rsidR="00106EDA" w:rsidRPr="00106EDA" w:rsidRDefault="00106EDA" w:rsidP="00106EDA">
      <w:pPr>
        <w:shd w:val="clear" w:color="auto" w:fill="FFFFFF"/>
        <w:jc w:val="both"/>
        <w:rPr>
          <w:rFonts w:ascii="Arial Narrow" w:eastAsia="Arial Narrow" w:hAnsi="Arial Narrow" w:cs="Arial Narrow"/>
          <w:color w:val="000000"/>
          <w:sz w:val="22"/>
          <w:szCs w:val="22"/>
        </w:rPr>
      </w:pPr>
    </w:p>
    <w:p w14:paraId="093D732B" w14:textId="409F4451" w:rsidR="00106EDA" w:rsidRPr="00106EDA" w:rsidRDefault="00106EDA" w:rsidP="00106EDA">
      <w:pPr>
        <w:suppressAutoHyphens/>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sidR="00C165E6">
        <w:rPr>
          <w:rFonts w:ascii="Arial Narrow" w:eastAsia="Arial Narrow" w:hAnsi="Arial Narrow" w:cs="Arial Narrow"/>
          <w:color w:val="000000"/>
          <w:sz w:val="22"/>
          <w:szCs w:val="22"/>
        </w:rPr>
        <w:t xml:space="preserve"> </w:t>
      </w:r>
      <w:r w:rsidR="00C165E6" w:rsidRPr="00C165E6">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C165E6" w:rsidRPr="00C165E6">
        <w:rPr>
          <w:rFonts w:ascii="Arial Narrow" w:eastAsia="Arial Narrow" w:hAnsi="Arial Narrow" w:cs="Arial Narrow"/>
          <w:sz w:val="22"/>
          <w:szCs w:val="22"/>
        </w:rPr>
        <w:t xml:space="preserve"> Compañía de Seguros y Reaseguros S.A., Diveimport S.A. y GD Ajustadores de Seguros S.A</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w:t>
      </w:r>
      <w:r w:rsidR="00DA5F4C">
        <w:rPr>
          <w:rFonts w:ascii="Arial Narrow" w:eastAsia="Arial Narrow" w:hAnsi="Arial Narrow" w:cs="Arial Narrow"/>
          <w:sz w:val="22"/>
          <w:szCs w:val="22"/>
        </w:rPr>
        <w:t>n</w:t>
      </w:r>
      <w:r w:rsidRPr="00106EDA">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w14:paraId="7FB5347D" w14:textId="77777777" w:rsidR="00106EDA" w:rsidRPr="00106EDA" w:rsidRDefault="00106EDA" w:rsidP="009B5E9A">
      <w:pPr>
        <w:shd w:val="clear" w:color="auto" w:fill="FFFFFF"/>
        <w:rPr>
          <w:rFonts w:ascii="Arial Narrow" w:eastAsia="Arial Narrow" w:hAnsi="Arial Narrow" w:cs="Arial Narrow"/>
          <w:b/>
          <w:bCs/>
          <w:sz w:val="22"/>
          <w:szCs w:val="22"/>
        </w:rPr>
      </w:pPr>
    </w:p>
    <w:p w14:paraId="2EDA3383" w14:textId="77777777" w:rsidR="00A67DAD" w:rsidRDefault="00A67DAD" w:rsidP="009B5E9A">
      <w:pPr>
        <w:shd w:val="clear" w:color="auto" w:fill="FFFFFF"/>
        <w:jc w:val="center"/>
        <w:rPr>
          <w:rFonts w:ascii="Arial Narrow" w:eastAsia="Arial Narrow" w:hAnsi="Arial Narrow" w:cs="Arial Narrow"/>
          <w:b/>
          <w:bCs/>
          <w:sz w:val="22"/>
          <w:szCs w:val="22"/>
        </w:rPr>
      </w:pPr>
    </w:p>
    <w:p w14:paraId="0F4E3C8C" w14:textId="77777777" w:rsidR="00106EDA" w:rsidRPr="00E902D0" w:rsidRDefault="00106EDA" w:rsidP="009B5E9A">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9B5E9A">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9B5E9A">
      <w:pPr>
        <w:shd w:val="clear" w:color="auto" w:fill="FFFFFF"/>
        <w:jc w:val="center"/>
        <w:rPr>
          <w:rFonts w:ascii="Arial Narrow" w:eastAsia="Arial Narrow" w:hAnsi="Arial Narrow" w:cs="Arial Narrow"/>
          <w:b/>
          <w:bCs/>
          <w:sz w:val="22"/>
          <w:szCs w:val="22"/>
        </w:rPr>
      </w:pPr>
    </w:p>
    <w:p w14:paraId="4294BD45"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9B5E9A">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9B5E9A">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t xml:space="preserve">Representada por el señor [APELLIDO] . </w:t>
      </w:r>
      <w:r w:rsidR="00115282" w:rsidRPr="00E902D0">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t>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7">
    <w:p w14:paraId="1577ED73" w14:textId="77777777" w:rsidR="00106EDA" w:rsidRPr="00D22D99" w:rsidRDefault="00106EDA" w:rsidP="00106EDA">
      <w:pPr>
        <w:pStyle w:val="Textonotapie"/>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hanging="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