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62F71E5" w:rsidR="00CA59A2" w:rsidRPr="0026598E" w:rsidRDefault="00CA59A2" w:rsidP="00F95A1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87219" w:rsidRPr="00487219">
        <w:rPr>
          <w:rFonts w:ascii="Arial Narrow" w:eastAsia="Arial Narrow" w:hAnsi="Arial Narrow" w:cs="Arial Narrow"/>
          <w:b/>
          <w:bCs/>
          <w:color w:val="000000"/>
          <w:kern w:val="0"/>
          <w:sz w:val="22"/>
          <w:szCs w:val="22"/>
          <w:shd w:val="clear" w:color="auto" w:fill="FFFFFF"/>
          <w:lang w:eastAsia="es-PE"/>
          <w14:ligatures w14:val="none"/>
        </w:rPr>
        <w:t>1929-2025/CC1</w:t>
      </w:r>
    </w:p>
    <w:p w14:paraId="7E5DC22B" w14:textId="375636FB"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DENUNCIADO</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487219" w:rsidRDefault="00CA59A2" w:rsidP="00F95A1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MATERIAS</w:t>
      </w:r>
      <w:r w:rsidRPr="00487219">
        <w:rPr>
          <w:rFonts w:ascii="Arial Narrow" w:eastAsia="Arial Narrow" w:hAnsi="Arial Narrow" w:cs="Arial Narrow"/>
          <w:b/>
          <w:color w:val="000000"/>
          <w:kern w:val="0"/>
          <w:sz w:val="22"/>
          <w:szCs w:val="22"/>
          <w:lang w:eastAsia="es-PE"/>
          <w14:ligatures w14:val="none"/>
        </w:rPr>
        <w:tab/>
        <w:t xml:space="preserve">: </w:t>
      </w:r>
      <w:r w:rsidRPr="0048721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87219" w:rsidRDefault="00CA59A2" w:rsidP="00F95A1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487219" w:rsidRDefault="00CA59A2" w:rsidP="00F95A1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87219">
        <w:rPr>
          <w:rFonts w:ascii="Arial Narrow" w:eastAsia="Arial Narrow" w:hAnsi="Arial Narrow" w:cs="Arial Narrow"/>
          <w:b/>
          <w:color w:val="000000"/>
          <w:kern w:val="0"/>
          <w:sz w:val="22"/>
          <w:szCs w:val="22"/>
          <w:lang w:eastAsia="es-PE"/>
          <w14:ligatures w14:val="none"/>
        </w:rPr>
        <w:t xml:space="preserve">RESOLUCIÓN </w:t>
      </w:r>
      <w:r w:rsidRPr="00487219">
        <w:rPr>
          <w:rFonts w:ascii="Arial Narrow" w:eastAsia="Arial Narrow" w:hAnsi="Arial Narrow" w:cs="Arial Narrow"/>
          <w:b/>
          <w:color w:val="000000"/>
          <w:kern w:val="0"/>
          <w:sz w:val="22"/>
          <w:szCs w:val="22"/>
          <w:lang w:eastAsia="es-PE"/>
          <w14:ligatures w14:val="none"/>
        </w:rPr>
        <w:tab/>
        <w:t>:</w:t>
      </w:r>
      <w:r w:rsidRPr="00487219">
        <w:rPr>
          <w:rFonts w:ascii="Arial Narrow" w:eastAsia="Arial Narrow" w:hAnsi="Arial Narrow" w:cs="Arial Narrow"/>
          <w:b/>
          <w:color w:val="000000"/>
          <w:kern w:val="0"/>
          <w:sz w:val="22"/>
          <w:szCs w:val="22"/>
          <w:lang w:eastAsia="es-PE"/>
          <w14:ligatures w14:val="none"/>
        </w:rPr>
        <w:tab/>
        <w:t>2</w:t>
      </w:r>
    </w:p>
    <w:p w14:paraId="5BA3A18D" w14:textId="77777777" w:rsidR="00CA59A2" w:rsidRPr="00487219"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E542C9"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87219">
        <w:rPr>
          <w:rFonts w:ascii="Arial Narrow" w:eastAsia="Arial Narrow" w:hAnsi="Arial Narrow" w:cs="Arial Narrow"/>
          <w:color w:val="000000"/>
          <w:kern w:val="0"/>
          <w:sz w:val="22"/>
          <w:szCs w:val="22"/>
          <w:shd w:val="clear" w:color="auto" w:fill="FFFFFF"/>
          <w:lang w:eastAsia="es-PE"/>
          <w14:ligatures w14:val="none"/>
        </w:rPr>
        <w:t xml:space="preserve">Lima, </w:t>
      </w:r>
      <w:r w:rsidR="005268A6">
        <w:rPr>
          <w:rFonts w:ascii="Arial Narrow" w:eastAsia="Arial Narrow" w:hAnsi="Arial Narrow" w:cs="Arial Narrow"/>
          <w:color w:val="000000"/>
          <w:kern w:val="0"/>
          <w:sz w:val="22"/>
          <w:szCs w:val="22"/>
          <w:shd w:val="clear" w:color="auto" w:fill="FFFFFF"/>
          <w:lang w:eastAsia="es-PE"/>
          <w14:ligatures w14:val="none"/>
        </w:rPr>
        <w:t xml:space="preserve">12 de setiembre de 2025</w:t>
      </w:r>
      <w:r w:rsidRPr="00487219">
        <w:rPr>
          <w:rFonts w:ascii="Arial Narrow" w:eastAsia="Arial Narrow" w:hAnsi="Arial Narrow" w:cs="Arial Narrow"/>
          <w:color w:val="000000"/>
          <w:kern w:val="0"/>
          <w:sz w:val="22"/>
          <w:szCs w:val="22"/>
          <w:shd w:val="clear" w:color="auto" w:fill="FFFFFF"/>
          <w:lang w:eastAsia="es-PE"/>
          <w14:ligatures w14:val="none"/>
        </w:rPr>
        <w:t xml:space="preserve"/>
      </w:r>
      <w:r w:rsidR="00487219">
        <w:rPr>
          <w:rFonts w:ascii="Arial Narrow" w:eastAsia="Arial Narrow" w:hAnsi="Arial Narrow" w:cs="Arial Narrow"/>
          <w:color w:val="000000"/>
          <w:kern w:val="0"/>
          <w:sz w:val="22"/>
          <w:szCs w:val="22"/>
          <w:shd w:val="clear" w:color="auto" w:fill="FFFFFF"/>
          <w:lang w:eastAsia="es-PE"/>
          <w14:ligatures w14:val="none"/>
        </w:rPr>
        <w:t xml:space="preserve"/>
      </w:r>
      <w:r w:rsidRPr="0048721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95A1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95A1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4973123" w:rsidR="00CA59A2" w:rsidRPr="00BF3AD2" w:rsidRDefault="00CA59A2" w:rsidP="00F95A1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 la señora [APELLIDO] denunció a Rímac por presuntas infracciones a la Ley 29571, Código de Protección y Defensa del Consumidor</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40665">
        <w:rPr>
          <w:rFonts w:ascii="Arial Narrow" w:eastAsia="Arial Narrow" w:hAnsi="Arial Narrow" w:cs="Arial Narrow"/>
          <w:color w:val="000000"/>
          <w:kern w:val="0"/>
          <w:sz w:val="22"/>
          <w:szCs w:val="22"/>
          <w:lang w:val="es-ES" w:eastAsia="es-ES"/>
          <w14:ligatures w14:val="none"/>
        </w:rPr>
        <w:t xml:space="preserve"/>
      </w:r>
      <w:r w:rsidR="00B40665" w:rsidRPr="00B40665">
        <w:rPr>
          <w:rFonts w:ascii="Arial Narrow" w:eastAsia="Arial Narrow" w:hAnsi="Arial Narrow" w:cs="Arial Narrow"/>
          <w:color w:val="000000"/>
          <w:kern w:val="0"/>
          <w:sz w:val="22"/>
          <w:szCs w:val="22"/>
          <w:lang w:val="es-ES" w:eastAsia="es-ES"/>
          <w14:ligatures w14:val="none"/>
        </w:rPr>
        <w:t/>
      </w:r>
      <w:r w:rsidR="00996DC2"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kern w:val="0"/>
          <w14:ligatures w14:val="none"/>
          <w:sz w:val="22"/>
          <w:szCs w:val="22"/>
        </w:rPr>
        <w:t xml:space="preserve"/>
      </w:r>
      <w:r w:rsidR="00B40665" w:rsidRPr="00B40665">
        <w:rPr>
          <w:rFonts w:ascii="Arial Narrow" w:eastAsia="Arial Narrow" w:hAnsi="Arial Narrow" w:cs="Arial Narrow"/>
          <w:kern w:val="0"/>
          <w14:ligatures w14:val="none"/>
          <w:sz w:val="22"/>
          <w:szCs w:val="22"/>
        </w:rPr>
        <w:t xml:space="preserve"/>
      </w:r>
      <w:r w:rsidRPr="00B40665">
        <w:rPr>
          <w:rFonts w:ascii="Arial Narrow" w:eastAsia="Arial Narrow" w:hAnsi="Arial Narrow" w:cs="Arial Narrow"/>
          <w:kern w:val="0"/>
          <w14:ligatures w14:val="none"/>
          <w:sz w:val="22"/>
          <w:szCs w:val="22"/>
        </w:rPr>
        <w:t/>
      </w:r>
      <w:r w:rsidRPr="00B406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w:r>
      <w:r w:rsidRPr="00BF3AD2">
        <w:rPr>
          <w:rFonts w:ascii="Arial Narrow" w:eastAsia="Arial Narrow" w:hAnsi="Arial Narrow" w:cs="Arial Narrow"/>
          <w:color w:val="000000"/>
          <w:kern w:val="0"/>
          <w:sz w:val="22"/>
          <w:szCs w:val="22"/>
          <w:lang w:val="es-ES" w:eastAsia="es-ES"/>
          <w14:ligatures w14:val="none"/>
        </w:rPr>
        <w:t xml:space="preserve"/>
      </w:r>
      <w:r w:rsidRPr="00BF3AD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F3AD2" w:rsidRDefault="00CA59A2" w:rsidP="00F95A1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E126AB7" w14:textId="77777777" w:rsidR="00C21333"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14 de agosto de 2024, contactó telefónicamente con Rímac, siendo atendido por el broker Erick Huertas, quien le ofreció una póliza vehicular con dos cláusulas principales: (i) suma asegurada o valor pactado por US$ 18 000,00 y (ii) deducible cero en caso de robo o pérdida total. </w:t>
      </w:r>
    </w:p>
    <w:p w14:paraId="5B9F7CF0" w14:textId="77777777" w:rsidR="00C21333" w:rsidRPr="00BF3AD2" w:rsidRDefault="00C21333" w:rsidP="00F95A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3D42C4" w14:textId="7496B42D"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Posteriormente, </w:t>
      </w:r>
      <w:r w:rsidR="00FC6D79" w:rsidRPr="00BF3AD2">
        <w:rPr>
          <w:rFonts w:ascii="Arial Narrow" w:eastAsia="Arial Narrow" w:hAnsi="Arial Narrow" w:cs="Arial Narrow"/>
          <w:color w:val="000000"/>
          <w:kern w:val="0"/>
          <w:sz w:val="22"/>
          <w:szCs w:val="22"/>
          <w:lang w:eastAsia="es-ES"/>
          <w14:ligatures w14:val="none"/>
        </w:rPr>
        <w:t>adquirió con Rímac</w:t>
      </w:r>
      <w:r w:rsidRPr="00BF3AD2">
        <w:rPr>
          <w:rFonts w:ascii="Arial Narrow" w:eastAsia="Arial Narrow" w:hAnsi="Arial Narrow" w:cs="Arial Narrow"/>
          <w:color w:val="000000"/>
          <w:kern w:val="0"/>
          <w:sz w:val="22"/>
          <w:szCs w:val="22"/>
          <w:lang w:eastAsia="es-ES"/>
          <w14:ligatures w14:val="none"/>
        </w:rPr>
        <w:t xml:space="preserve"> </w:t>
      </w:r>
      <w:r w:rsidR="00C21333" w:rsidRPr="00BF3AD2">
        <w:rPr>
          <w:rFonts w:ascii="Arial Narrow" w:eastAsia="Arial Narrow" w:hAnsi="Arial Narrow" w:cs="Arial Narrow"/>
          <w:color w:val="000000"/>
          <w:kern w:val="0"/>
          <w:sz w:val="22"/>
          <w:szCs w:val="22"/>
          <w:lang w:eastAsia="es-ES"/>
          <w14:ligatures w14:val="none"/>
        </w:rPr>
        <w:t>el Seguro Vehicular - P</w:t>
      </w:r>
      <w:r w:rsidRPr="00BF3AD2">
        <w:rPr>
          <w:rFonts w:ascii="Arial Narrow" w:eastAsia="Arial Narrow" w:hAnsi="Arial Narrow" w:cs="Arial Narrow"/>
          <w:color w:val="000000"/>
          <w:kern w:val="0"/>
          <w:sz w:val="22"/>
          <w:szCs w:val="22"/>
          <w:lang w:eastAsia="es-ES"/>
          <w14:ligatures w14:val="none"/>
        </w:rPr>
        <w:t>óliza 2101-1453106</w:t>
      </w:r>
      <w:r w:rsidR="00260D26" w:rsidRPr="00BF3AD2">
        <w:rPr>
          <w:rFonts w:ascii="Arial Narrow" w:eastAsia="Arial Narrow" w:hAnsi="Arial Narrow" w:cs="Arial Narrow"/>
          <w:color w:val="000000"/>
          <w:kern w:val="0"/>
          <w:sz w:val="22"/>
          <w:szCs w:val="22"/>
          <w:lang w:eastAsia="es-ES"/>
          <w14:ligatures w14:val="none"/>
        </w:rPr>
        <w:t xml:space="preserve"> (en adelante, Seguro Vehicular)</w:t>
      </w:r>
      <w:r w:rsidR="00FC6D79" w:rsidRPr="00BF3AD2">
        <w:rPr>
          <w:rFonts w:ascii="Arial Narrow" w:eastAsia="Arial Narrow" w:hAnsi="Arial Narrow" w:cs="Arial Narrow"/>
          <w:color w:val="000000"/>
          <w:kern w:val="0"/>
          <w:sz w:val="22"/>
          <w:szCs w:val="22"/>
          <w:lang w:eastAsia="es-ES"/>
          <w14:ligatures w14:val="none"/>
        </w:rPr>
        <w:t>, para el vehículo Hyundai New Elantra 2019</w:t>
      </w:r>
      <w:r w:rsidR="00260D26" w:rsidRPr="00BF3AD2">
        <w:rPr>
          <w:rFonts w:ascii="Arial Narrow" w:eastAsia="Arial Narrow" w:hAnsi="Arial Narrow" w:cs="Arial Narrow"/>
          <w:color w:val="000000"/>
          <w:kern w:val="0"/>
          <w:sz w:val="22"/>
          <w:szCs w:val="22"/>
          <w:lang w:eastAsia="es-ES"/>
          <w14:ligatures w14:val="none"/>
        </w:rPr>
        <w:t xml:space="preserve"> (en adelante, vehículo asegurado)</w:t>
      </w:r>
      <w:r w:rsidR="00FC6D79" w:rsidRPr="00BF3AD2">
        <w:rPr>
          <w:rFonts w:ascii="Arial Narrow" w:eastAsia="Arial Narrow" w:hAnsi="Arial Narrow" w:cs="Arial Narrow"/>
          <w:color w:val="000000"/>
          <w:kern w:val="0"/>
          <w:sz w:val="22"/>
          <w:szCs w:val="22"/>
          <w:lang w:eastAsia="es-ES"/>
          <w14:ligatures w14:val="none"/>
        </w:rPr>
        <w:t>,</w:t>
      </w:r>
      <w:r w:rsidRPr="00BF3AD2">
        <w:rPr>
          <w:rFonts w:ascii="Arial Narrow" w:eastAsia="Arial Narrow" w:hAnsi="Arial Narrow" w:cs="Arial Narrow"/>
          <w:color w:val="000000"/>
          <w:kern w:val="0"/>
          <w:sz w:val="22"/>
          <w:szCs w:val="22"/>
          <w:lang w:eastAsia="es-ES"/>
          <w14:ligatures w14:val="none"/>
        </w:rPr>
        <w:t xml:space="preserve"> por un valor de US$ 19 000,00</w:t>
      </w:r>
      <w:r w:rsidR="00FC6D79" w:rsidRPr="00BF3AD2">
        <w:rPr>
          <w:rFonts w:ascii="Arial Narrow" w:eastAsia="Arial Narrow" w:hAnsi="Arial Narrow" w:cs="Arial Narrow"/>
          <w:color w:val="000000"/>
          <w:kern w:val="0"/>
          <w:sz w:val="22"/>
          <w:szCs w:val="22"/>
          <w:lang w:eastAsia="es-ES"/>
          <w14:ligatures w14:val="none"/>
        </w:rPr>
        <w:t>.</w:t>
      </w:r>
    </w:p>
    <w:p w14:paraId="6E8D3258" w14:textId="77777777" w:rsidR="00FC6D79" w:rsidRPr="00BF3AD2" w:rsidRDefault="00FC6D79" w:rsidP="00F95A1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5039EDE" w14:textId="6101E2A0" w:rsidR="00FC6D7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19 de diciembre de 2024, </w:t>
      </w:r>
      <w:r w:rsidR="00205643">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w:t>
      </w:r>
      <w:r w:rsidR="00260D26" w:rsidRPr="00BF3AD2">
        <w:rPr>
          <w:rFonts w:ascii="Arial Narrow" w:eastAsia="Arial Narrow" w:hAnsi="Arial Narrow" w:cs="Arial Narrow"/>
          <w:color w:val="000000"/>
          <w:kern w:val="0"/>
          <w:sz w:val="22"/>
          <w:szCs w:val="22"/>
          <w:lang w:eastAsia="es-ES"/>
          <w14:ligatures w14:val="none"/>
        </w:rPr>
        <w:t>vehículo</w:t>
      </w:r>
      <w:r w:rsidR="00205643">
        <w:rPr>
          <w:rFonts w:ascii="Arial Narrow" w:eastAsia="Arial Narrow" w:hAnsi="Arial Narrow" w:cs="Arial Narrow"/>
          <w:color w:val="000000"/>
          <w:kern w:val="0"/>
          <w:sz w:val="22"/>
          <w:szCs w:val="22"/>
          <w:lang w:eastAsia="es-ES"/>
          <w14:ligatures w14:val="none"/>
        </w:rPr>
        <w:t xml:space="preserve"> asegurado fue robado y reportó el incidente</w:t>
      </w:r>
      <w:r w:rsidR="00260D26" w:rsidRPr="00BF3AD2">
        <w:rPr>
          <w:rFonts w:ascii="Arial Narrow" w:eastAsia="Arial Narrow" w:hAnsi="Arial Narrow" w:cs="Arial Narrow"/>
          <w:color w:val="000000"/>
          <w:kern w:val="0"/>
          <w:sz w:val="22"/>
          <w:szCs w:val="22"/>
          <w:lang w:eastAsia="es-ES"/>
          <w14:ligatures w14:val="none"/>
        </w:rPr>
        <w:t xml:space="preserve"> a Rímac</w:t>
      </w:r>
      <w:r w:rsidR="00E4335B" w:rsidRPr="00BF3AD2">
        <w:rPr>
          <w:rFonts w:ascii="Arial Narrow" w:eastAsia="Arial Narrow" w:hAnsi="Arial Narrow" w:cs="Arial Narrow"/>
          <w:color w:val="000000"/>
          <w:kern w:val="0"/>
          <w:sz w:val="22"/>
          <w:szCs w:val="22"/>
          <w:lang w:eastAsia="es-ES"/>
          <w14:ligatures w14:val="none"/>
        </w:rPr>
        <w:t xml:space="preserve"> y las autoridades correspondientes</w:t>
      </w:r>
      <w:r w:rsidRPr="00BF3AD2">
        <w:rPr>
          <w:rFonts w:ascii="Arial Narrow" w:eastAsia="Arial Narrow" w:hAnsi="Arial Narrow" w:cs="Arial Narrow"/>
          <w:color w:val="000000"/>
          <w:kern w:val="0"/>
          <w:sz w:val="22"/>
          <w:szCs w:val="22"/>
          <w:lang w:eastAsia="es-ES"/>
          <w14:ligatures w14:val="none"/>
        </w:rPr>
        <w:t xml:space="preserve">. </w:t>
      </w:r>
    </w:p>
    <w:p w14:paraId="36F27919" w14:textId="77777777" w:rsidR="00FC6D79" w:rsidRPr="00BF3AD2" w:rsidRDefault="00FC6D7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BC829EE" w14:textId="463F5150"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22 de enero de 2025, Rímac </w:t>
      </w:r>
      <w:r w:rsidR="00260D26" w:rsidRPr="00BF3AD2">
        <w:rPr>
          <w:rFonts w:ascii="Arial Narrow" w:eastAsia="Arial Narrow" w:hAnsi="Arial Narrow" w:cs="Arial Narrow"/>
          <w:color w:val="000000"/>
          <w:kern w:val="0"/>
          <w:sz w:val="22"/>
          <w:szCs w:val="22"/>
          <w:lang w:eastAsia="es-ES"/>
          <w14:ligatures w14:val="none"/>
        </w:rPr>
        <w:t xml:space="preserve">le </w:t>
      </w:r>
      <w:r w:rsidRPr="00BF3AD2">
        <w:rPr>
          <w:rFonts w:ascii="Arial Narrow" w:eastAsia="Arial Narrow" w:hAnsi="Arial Narrow" w:cs="Arial Narrow"/>
          <w:color w:val="000000"/>
          <w:kern w:val="0"/>
          <w:sz w:val="22"/>
          <w:szCs w:val="22"/>
          <w:lang w:eastAsia="es-ES"/>
          <w14:ligatures w14:val="none"/>
        </w:rPr>
        <w:t>envió una carta indicando que se reconocería solo US$ 9 000,00 como indemnización, aplicando además un deducible del 20 %, equivalente a US$ 1 800,00, lo que reducía el monto final a US$ 7 200,00</w:t>
      </w:r>
      <w:r w:rsidR="00260D26" w:rsidRPr="00BF3AD2">
        <w:rPr>
          <w:rFonts w:ascii="Arial Narrow" w:eastAsia="Arial Narrow" w:hAnsi="Arial Narrow" w:cs="Arial Narrow"/>
          <w:color w:val="000000"/>
          <w:kern w:val="0"/>
          <w:sz w:val="22"/>
          <w:szCs w:val="22"/>
          <w:lang w:eastAsia="es-ES"/>
          <w14:ligatures w14:val="none"/>
        </w:rPr>
        <w:t xml:space="preserve">; la cual fue una </w:t>
      </w:r>
      <w:r w:rsidRPr="00BF3AD2">
        <w:rPr>
          <w:rFonts w:ascii="Arial Narrow" w:eastAsia="Arial Narrow" w:hAnsi="Arial Narrow" w:cs="Arial Narrow"/>
          <w:color w:val="000000"/>
          <w:kern w:val="0"/>
          <w:sz w:val="22"/>
          <w:szCs w:val="22"/>
          <w:lang w:eastAsia="es-ES"/>
          <w14:ligatures w14:val="none"/>
        </w:rPr>
        <w:t xml:space="preserve">propuesta </w:t>
      </w:r>
      <w:r w:rsidR="00260D26" w:rsidRPr="00BF3AD2">
        <w:rPr>
          <w:rFonts w:ascii="Arial Narrow" w:eastAsia="Arial Narrow" w:hAnsi="Arial Narrow" w:cs="Arial Narrow"/>
          <w:color w:val="000000"/>
          <w:kern w:val="0"/>
          <w:sz w:val="22"/>
          <w:szCs w:val="22"/>
          <w:lang w:eastAsia="es-ES"/>
          <w14:ligatures w14:val="none"/>
        </w:rPr>
        <w:t>que</w:t>
      </w:r>
      <w:r w:rsidRPr="00BF3AD2">
        <w:rPr>
          <w:rFonts w:ascii="Arial Narrow" w:eastAsia="Arial Narrow" w:hAnsi="Arial Narrow" w:cs="Arial Narrow"/>
          <w:color w:val="000000"/>
          <w:kern w:val="0"/>
          <w:sz w:val="22"/>
          <w:szCs w:val="22"/>
          <w:lang w:eastAsia="es-ES"/>
          <w14:ligatures w14:val="none"/>
        </w:rPr>
        <w:t xml:space="preserve"> rechaz</w:t>
      </w:r>
      <w:r w:rsidR="00260D26" w:rsidRPr="00BF3AD2">
        <w:rPr>
          <w:rFonts w:ascii="Arial Narrow" w:eastAsia="Arial Narrow" w:hAnsi="Arial Narrow" w:cs="Arial Narrow"/>
          <w:color w:val="000000"/>
          <w:kern w:val="0"/>
          <w:sz w:val="22"/>
          <w:szCs w:val="22"/>
          <w:lang w:eastAsia="es-ES"/>
          <w14:ligatures w14:val="none"/>
        </w:rPr>
        <w:t>ó</w:t>
      </w:r>
      <w:r w:rsidRPr="00BF3AD2">
        <w:rPr>
          <w:rFonts w:ascii="Arial Narrow" w:eastAsia="Arial Narrow" w:hAnsi="Arial Narrow" w:cs="Arial Narrow"/>
          <w:color w:val="000000"/>
          <w:kern w:val="0"/>
          <w:sz w:val="22"/>
          <w:szCs w:val="22"/>
          <w:lang w:eastAsia="es-ES"/>
          <w14:ligatures w14:val="none"/>
        </w:rPr>
        <w:t>.</w:t>
      </w:r>
    </w:p>
    <w:p w14:paraId="18FD3561"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0B3031E" w14:textId="77777777" w:rsidR="009D46F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marzo de 2025, el vehículo fue recuperado por la </w:t>
      </w:r>
      <w:r w:rsidR="009D46F2" w:rsidRPr="00BF3AD2">
        <w:rPr>
          <w:rFonts w:ascii="Arial Narrow" w:eastAsia="Arial Narrow" w:hAnsi="Arial Narrow" w:cs="Arial Narrow"/>
          <w:color w:val="000000"/>
          <w:kern w:val="0"/>
          <w:sz w:val="22"/>
          <w:szCs w:val="22"/>
          <w:lang w:eastAsia="es-ES"/>
          <w14:ligatures w14:val="none"/>
        </w:rPr>
        <w:t xml:space="preserve">Policía Nacional del Perú </w:t>
      </w:r>
      <w:r w:rsidRPr="00BF3AD2">
        <w:rPr>
          <w:rFonts w:ascii="Arial Narrow" w:eastAsia="Arial Narrow" w:hAnsi="Arial Narrow" w:cs="Arial Narrow"/>
          <w:color w:val="000000"/>
          <w:kern w:val="0"/>
          <w:sz w:val="22"/>
          <w:szCs w:val="22"/>
          <w:lang w:eastAsia="es-ES"/>
          <w14:ligatures w14:val="none"/>
        </w:rPr>
        <w:t>y entregado el 2 de abril de 2025, cambiando la condición de robo total a recuperación. Ese mismo día,</w:t>
      </w:r>
      <w:r w:rsidR="009D46F2" w:rsidRPr="00BF3AD2">
        <w:rPr>
          <w:rFonts w:ascii="Arial Narrow" w:eastAsia="Arial Narrow" w:hAnsi="Arial Narrow" w:cs="Arial Narrow"/>
          <w:color w:val="000000"/>
          <w:kern w:val="0"/>
          <w:sz w:val="22"/>
          <w:szCs w:val="22"/>
          <w:lang w:eastAsia="es-ES"/>
          <w14:ligatures w14:val="none"/>
        </w:rPr>
        <w:t xml:space="preserve"> el vehículo asegurado</w:t>
      </w:r>
      <w:r w:rsidRPr="00BF3AD2">
        <w:rPr>
          <w:rFonts w:ascii="Arial Narrow" w:eastAsia="Arial Narrow" w:hAnsi="Arial Narrow" w:cs="Arial Narrow"/>
          <w:color w:val="000000"/>
          <w:kern w:val="0"/>
          <w:sz w:val="22"/>
          <w:szCs w:val="22"/>
          <w:lang w:eastAsia="es-ES"/>
          <w14:ligatures w14:val="none"/>
        </w:rPr>
        <w:t xml:space="preserve"> ingresó al taller “Central SAC” para su evaluación. </w:t>
      </w:r>
    </w:p>
    <w:p w14:paraId="2E8B7954" w14:textId="77777777" w:rsidR="009D46F2" w:rsidRPr="00BF3AD2" w:rsidRDefault="009D46F2"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7992B70" w14:textId="4F9A0F01"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 xml:space="preserve">El 5 de julio de 2025, el taller presentó una cotización por S/ 38 191,00, </w:t>
      </w:r>
      <w:r w:rsidR="009D46F2" w:rsidRPr="00BF3AD2">
        <w:rPr>
          <w:rFonts w:ascii="Arial Narrow" w:eastAsia="Arial Narrow" w:hAnsi="Arial Narrow" w:cs="Arial Narrow"/>
          <w:color w:val="000000"/>
          <w:kern w:val="0"/>
          <w:sz w:val="22"/>
          <w:szCs w:val="22"/>
          <w:lang w:eastAsia="es-ES"/>
          <w14:ligatures w14:val="none"/>
        </w:rPr>
        <w:t>el</w:t>
      </w:r>
      <w:r w:rsidRPr="00BF3AD2">
        <w:rPr>
          <w:rFonts w:ascii="Arial Narrow" w:eastAsia="Arial Narrow" w:hAnsi="Arial Narrow" w:cs="Arial Narrow"/>
          <w:color w:val="000000"/>
          <w:kern w:val="0"/>
          <w:sz w:val="22"/>
          <w:szCs w:val="22"/>
          <w:lang w:eastAsia="es-ES"/>
          <w14:ligatures w14:val="none"/>
        </w:rPr>
        <w:t xml:space="preserve"> cual Rímac declaró nuevamente pérdida total</w:t>
      </w:r>
      <w:r w:rsidR="009D46F2" w:rsidRPr="00BF3AD2">
        <w:rPr>
          <w:rFonts w:ascii="Arial Narrow" w:eastAsia="Arial Narrow" w:hAnsi="Arial Narrow" w:cs="Arial Narrow"/>
          <w:color w:val="000000"/>
          <w:kern w:val="0"/>
          <w:sz w:val="22"/>
          <w:szCs w:val="22"/>
          <w:lang w:eastAsia="es-ES"/>
          <w14:ligatures w14:val="none"/>
        </w:rPr>
        <w:t xml:space="preserve"> del vehículo asegurado</w:t>
      </w:r>
      <w:r w:rsidRPr="00BF3AD2">
        <w:rPr>
          <w:rFonts w:ascii="Arial Narrow" w:eastAsia="Arial Narrow" w:hAnsi="Arial Narrow" w:cs="Arial Narrow"/>
          <w:color w:val="000000"/>
          <w:kern w:val="0"/>
          <w:sz w:val="22"/>
          <w:szCs w:val="22"/>
          <w:lang w:eastAsia="es-ES"/>
          <w14:ligatures w14:val="none"/>
        </w:rPr>
        <w:t>.</w:t>
      </w:r>
    </w:p>
    <w:p w14:paraId="0A243265"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F53839" w14:textId="77777777" w:rsidR="000D5059"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21 de julio de 2025, Rímac emitió una segunda carta confirmando la pérdida total, proponiendo una indemnización de US$ 9 000,00 y aplicando un deducible del 15 %, debido al alto costo de reparación.</w:t>
      </w:r>
    </w:p>
    <w:p w14:paraId="637AB4E7" w14:textId="77777777" w:rsidR="000D5059" w:rsidRPr="00BF3AD2" w:rsidRDefault="000D5059" w:rsidP="00F95A1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5F75364" w:rsidR="00CA59A2" w:rsidRPr="00BF3AD2" w:rsidRDefault="000D5059" w:rsidP="00F95A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3AD2">
        <w:rPr>
          <w:rFonts w:ascii="Arial Narrow" w:eastAsia="Arial Narrow" w:hAnsi="Arial Narrow" w:cs="Arial Narrow"/>
          <w:color w:val="000000"/>
          <w:kern w:val="0"/>
          <w:sz w:val="22"/>
          <w:szCs w:val="22"/>
          <w:lang w:eastAsia="es-ES"/>
          <w14:ligatures w14:val="none"/>
        </w:rPr>
        <w:t>El 12 de agosto de 2025, realizó una llamada a la central de ventas de Rímac, donde la broker Cintya Maytel indicó que el valor asegurado para un vehículo similar era de US$ 15 800,00, con deducible cero, lo cual fue grabado en audio como prueba.</w:t>
      </w:r>
    </w:p>
    <w:p w14:paraId="33E14FF7" w14:textId="77777777" w:rsidR="00CA59A2" w:rsidRPr="000D5059" w:rsidRDefault="00CA59A2" w:rsidP="00F95A1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AE749AE" w:rsidR="00CA59A2" w:rsidRPr="000D5059" w:rsidRDefault="00FA7D83" w:rsidP="00F95A1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5059">
        <w:rPr>
          <w:rFonts w:ascii="Arial Narrow" w:eastAsia="Arial Narrow" w:hAnsi="Arial Narrow" w:cs="Arial Narrow"/>
          <w:kern w:val="0"/>
          <w14:ligatures w14:val="none"/>
          <w:sz w:val="22"/>
          <w:szCs w:val="22"/>
        </w:rPr>
        <w:lastRenderedPageBreak/>
        <w:t xml:space="preserve">La señora [APELLIDO] solicitó, en calidad de medida correctiva, que Rímac cumpla con: (i) entregar todos los audios relacionados con la póliza desde el 14 de agosto de 2024; y, (ii) otorgar el pago de US$ 18 000,00 conforme a lo consignado en la póliza del Vehículo Vehicular.</w:t>
      </w:r>
      <w:r w:rsidR="00CA59A2"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w:r>
      <w:r w:rsidR="000D5059" w:rsidRPr="000D5059">
        <w:rPr>
          <w:rFonts w:ascii="Arial Narrow" w:eastAsia="Arial Narrow" w:hAnsi="Arial Narrow" w:cs="Arial Narrow"/>
          <w:color w:val="000000"/>
          <w:kern w:val="0"/>
          <w:sz w:val="22"/>
          <w:szCs w:val="22"/>
          <w:lang w:val="es-ES" w:eastAsia="es-ES"/>
          <w14:ligatures w14:val="none"/>
        </w:rPr>
        <w:t xml:space="preserve"/>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w:r>
      <w:r w:rsidRPr="000D5059">
        <w:rPr>
          <w:rFonts w:ascii="Arial Narrow" w:eastAsia="Arial Narrow" w:hAnsi="Arial Narrow" w:cs="Arial Narrow"/>
          <w:color w:val="000000"/>
          <w:kern w:val="0"/>
          <w:sz w:val="22"/>
          <w:szCs w:val="22"/>
          <w:lang w:val="es-ES" w:eastAsia="es-ES"/>
          <w14:ligatures w14:val="none"/>
        </w:rPr>
        <w:t xml:space="preserve"/>
      </w:r>
      <w:r w:rsidR="00BF3AD2">
        <w:rPr>
          <w:rFonts w:ascii="Arial Narrow" w:eastAsia="Arial Narrow" w:hAnsi="Arial Narrow" w:cs="Arial Narrow"/>
          <w:color w:val="000000"/>
          <w:kern w:val="0"/>
          <w:sz w:val="22"/>
          <w:szCs w:val="22"/>
          <w:lang w:val="es-ES" w:eastAsia="es-ES"/>
          <w14:ligatures w14:val="none"/>
        </w:rPr>
        <w:t xml:space="preserve"/>
      </w:r>
      <w:r w:rsidR="00CA59A2" w:rsidRPr="000D5059">
        <w:rPr>
          <w:rFonts w:ascii="Arial Narrow" w:eastAsia="Arial Narrow" w:hAnsi="Arial Narrow" w:cs="Arial Narrow"/>
          <w:color w:val="000000"/>
          <w:kern w:val="0"/>
          <w:sz w:val="22"/>
          <w:szCs w:val="22"/>
          <w:lang w:val="es-ES" w:eastAsia="es-ES"/>
          <w14:ligatures w14:val="none"/>
        </w:rPr>
        <w:t/>
      </w:r>
    </w:p>
    <w:p w14:paraId="66005174" w14:textId="77777777" w:rsidR="00CA59A2" w:rsidRPr="000D5059" w:rsidRDefault="00CA59A2" w:rsidP="00F95A1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E0E0D" w:rsidRDefault="00CA59A2" w:rsidP="00F95A1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EB8B3DE" w:rsidR="00121544"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E0E0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DE0E0D">
        <w:rPr>
          <w:rStyle w:val="Refdenotaalpie"/>
          <w:rFonts w:ascii="Arial Narrow" w:eastAsia="Arial Narrow" w:hAnsi="Arial Narrow" w:cs="Arial Narrow"/>
          <w:kern w:val="0"/>
          <w:sz w:val="22"/>
          <w:szCs w:val="22"/>
          <w:vertAlign w:val="superscript"/>
          <w14:ligatures w14:val="none"/>
        </w:rPr>
        <w:footnoteReference w:id="2"/>
      </w:r>
      <w:r w:rsidRPr="00DE0E0D">
        <w:rPr>
          <w:rFonts w:ascii="Arial Narrow" w:eastAsia="Arial Narrow" w:hAnsi="Arial Narrow" w:cs="Arial Narrow"/>
          <w:color w:val="000000"/>
          <w:kern w:val="0"/>
          <w:sz w:val="22"/>
          <w:szCs w:val="22"/>
          <w:lang w:eastAsia="es-PE"/>
          <w14:ligatures w14:val="none"/>
        </w:rPr>
        <w:t xml:space="preserve">, </w:t>
      </w:r>
      <w:r w:rsidR="00121544" w:rsidRPr="00DE0E0D">
        <w:rPr>
          <w:rFonts w:ascii="Arial Narrow" w:eastAsia="Arial Narrow" w:hAnsi="Arial Narrow" w:cs="Arial Narrow"/>
          <w:color w:val="000000"/>
          <w:kern w:val="0"/>
          <w:sz w:val="22"/>
          <w:szCs w:val="22"/>
          <w:lang w:eastAsia="es-PE"/>
          <w14:ligatures w14:val="none"/>
        </w:rPr>
        <w:t xml:space="preserve">considera </w:t>
      </w:r>
      <w:r w:rsidR="00121544" w:rsidRPr="00DE0E0D">
        <w:rPr>
          <w:rFonts w:ascii="Arial Narrow" w:eastAsia="Arial Narrow" w:hAnsi="Arial Narrow" w:cs="Arial Narrow"/>
          <w:kern w:val="0"/>
          <w14:ligatures w14:val="none"/>
          <w:sz w:val="22"/>
          <w:szCs w:val="22"/>
        </w:rPr>
        <w:t xml:space="preserve">que el hecho denunciado, consistente en que </w:t>
      </w:r>
      <w:r w:rsidR="007657BB" w:rsidRPr="007657BB">
        <w:rPr>
          <w:rFonts w:ascii="Arial Narrow" w:eastAsia="Arial Narrow" w:hAnsi="Arial Narrow" w:cs="Arial Narrow"/>
          <w:kern w:val="0"/>
          <w:sz w:val="22"/>
          <w:szCs w:val="22"/>
          <w:shd w:val="clear" w:color="auto" w:fill="FFFFFF"/>
          <w:lang w:eastAsia="es-PE"/>
          <w14:ligatures w14:val="none"/>
        </w:rPr>
        <w:t>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00711750" w:rsidRPr="00DE0E0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y 19</w:t>
      </w:r>
      <w:r w:rsidR="00711750" w:rsidRPr="00DE0E0D">
        <w:rPr>
          <w:rFonts w:ascii="Arial Narrow" w:eastAsia="Arial Narrow" w:hAnsi="Arial Narrow" w:cs="Arial Narrow"/>
          <w:color w:val="000000"/>
          <w:kern w:val="0"/>
          <w:sz w:val="22"/>
          <w:szCs w:val="22"/>
          <w:lang w:eastAsia="es-PE"/>
          <w14:ligatures w14:val="none"/>
        </w:rPr>
        <w:t/>
      </w:r>
      <w:r w:rsidR="00711750" w:rsidRPr="00DE0E0D">
        <w:rPr>
          <w:rFonts w:ascii="Arial Narrow" w:eastAsia="Arial Narrow" w:hAnsi="Arial Narrow" w:cs="Arial Narrow"/>
          <w:kern w:val="0"/>
          <w14:ligatures w14:val="none"/>
          <w:sz w:val="22"/>
          <w:szCs w:val="22"/>
        </w:rPr>
        <w:t xml:space="preserve"> del Código</w:t>
      </w:r>
      <w:r w:rsidR="00711750" w:rsidRPr="00DE0E0D">
        <w:rPr>
          <w:rStyle w:val="Refdenotaalpie"/>
          <w:rFonts w:ascii="Arial Narrow" w:eastAsia="Arial Narrow" w:hAnsi="Arial Narrow" w:cs="Arial Narrow"/>
          <w:kern w:val="0"/>
          <w:sz w:val="22"/>
          <w:szCs w:val="22"/>
          <w:vertAlign w:val="superscript"/>
          <w14:ligatures w14:val="none"/>
        </w:rPr>
        <w:footnoteReference w:id="3"/>
      </w:r>
      <w:r w:rsidR="00711750" w:rsidRPr="00DE0E0D">
        <w:rPr>
          <w:rFonts w:ascii="Arial Narrow" w:eastAsia="Arial Narrow" w:hAnsi="Arial Narrow" w:cs="Arial Narrow"/>
          <w:kern w:val="0"/>
          <w14:ligatures w14:val="none"/>
          <w:sz w:val="22"/>
          <w:szCs w:val="22"/>
        </w:rPr>
        <w:t>.</w:t>
      </w:r>
    </w:p>
    <w:p w14:paraId="01834AA8" w14:textId="77777777" w:rsidR="00234887" w:rsidRPr="00DE0E0D" w:rsidRDefault="00234887" w:rsidP="00F95A1B">
      <w:pPr>
        <w:pStyle w:val="Prrafodelista"/>
        <w:spacing w:before="0" w:after="0" w:line="240" w:lineRule="auto"/>
        <w:rPr>
          <w:rFonts w:ascii="Arial Narrow" w:eastAsia="Arial Narrow" w:hAnsi="Arial Narrow" w:cs="Arial Narrow"/>
          <w:color w:val="000000"/>
          <w:kern w:val="0"/>
          <w:sz w:val="22"/>
          <w:szCs w:val="22"/>
          <w:lang w:eastAsia="es-PE"/>
          <w14:ligatures w14:val="none"/>
        </w:rPr>
      </w:pPr>
    </w:p>
    <w:p w14:paraId="463134E5" w14:textId="206C3618" w:rsidR="00CA59A2" w:rsidRPr="00DE0E0D" w:rsidRDefault="00CA59A2" w:rsidP="00F95A1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E0E0D">
        <w:rPr>
          <w:rStyle w:val="Refdenotaalpie"/>
          <w:rFonts w:ascii="Arial Narrow" w:eastAsia="Arial Narrow" w:hAnsi="Arial Narrow" w:cs="Arial Narrow"/>
          <w:sz w:val="22"/>
          <w:szCs w:val="22"/>
          <w:vertAlign w:val="superscript"/>
        </w:rPr>
        <w:footnoteReference w:id="4"/>
      </w:r>
      <w:r w:rsidRPr="00DE0E0D">
        <w:rPr>
          <w:rFonts w:ascii="Arial Narrow" w:eastAsia="Arial Narrow" w:hAnsi="Arial Narrow" w:cs="Arial Narrow"/>
          <w:color w:val="000000"/>
          <w:kern w:val="0"/>
          <w:sz w:val="22"/>
          <w:szCs w:val="22"/>
          <w:lang w:eastAsia="es-PE"/>
          <w14:ligatures w14:val="none"/>
        </w:rPr>
        <w:t>.</w:t>
      </w:r>
    </w:p>
    <w:p w14:paraId="68C71625" w14:textId="77777777" w:rsidR="00CA59A2" w:rsidRPr="00DE0E0D" w:rsidRDefault="00CA59A2" w:rsidP="00F95A1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DE0E0D"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DE0E0D" w:rsidRDefault="00CA59A2" w:rsidP="00F95A1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EA8B7A9" w:rsidR="00CA59A2" w:rsidRPr="0026598E" w:rsidRDefault="00CA59A2" w:rsidP="00F95A1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E0E0D">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w:t>
      </w:r>
      <w:r w:rsidRPr="0026598E">
        <w:rPr>
          <w:rFonts w:ascii="Arial Narrow" w:eastAsia="Arial Narrow" w:hAnsi="Arial Narrow" w:cs="Arial Narrow"/>
          <w:color w:val="000000"/>
          <w:kern w:val="0"/>
          <w:sz w:val="22"/>
          <w:szCs w:val="22"/>
          <w:lang w:val="es-ES" w:eastAsia="es-ES"/>
          <w14:ligatures w14:val="none"/>
        </w:rPr>
        <w:t>, en ejercicio de las facultades que la ley le confiere, convien</w:t>
      </w:r>
      <w:r w:rsidRPr="00715405">
        <w:rPr>
          <w:rFonts w:ascii="Arial Narrow" w:eastAsia="Arial Narrow" w:hAnsi="Arial Narrow" w:cs="Arial Narrow"/>
          <w:color w:val="000000"/>
          <w:kern w:val="0"/>
          <w:sz w:val="22"/>
          <w:szCs w:val="22"/>
          <w:lang w:val="es-ES" w:eastAsia="es-ES"/>
          <w14:ligatures w14:val="none"/>
        </w:rPr>
        <w:t xml:space="preserve">e requerir </w:t>
      </w:r>
      <w:r w:rsidR="00715405" w:rsidRPr="00715405">
        <w:rPr>
          <w:rFonts w:ascii="Arial Narrow" w:eastAsia="Arial Narrow" w:hAnsi="Arial Narrow" w:cs="Arial Narrow"/>
          <w:color w:val="000000"/>
          <w:kern w:val="0"/>
          <w:sz w:val="22"/>
          <w:szCs w:val="22"/>
          <w:lang w:val="es-ES" w:eastAsia="es-ES"/>
          <w14:ligatures w14:val="none"/>
        </w:rPr>
        <w:t xml:space="preserve">a la </w:t>
      </w:r>
      <w:r w:rsidR="00715405" w:rsidRPr="00715405">
        <w:rPr>
          <w:rFonts w:ascii="Arial Narrow" w:eastAsia="Arial Narrow" w:hAnsi="Arial Narrow" w:cs="Arial Narrow"/>
          <w:color w:val="000000"/>
          <w:kern w:val="0"/>
          <w:sz w:val="22"/>
          <w:szCs w:val="22"/>
          <w:lang w:val="es-ES" w:eastAsia="es-ES"/>
          <w14:ligatures w14:val="none"/>
        </w:rPr>
        <w:lastRenderedPageBreak/>
        <w:t>compañía aseguradora</w:t>
      </w:r>
      <w:r w:rsidRPr="00715405">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w:t>
      </w:r>
      <w:r w:rsidRPr="00EB255D">
        <w:rPr>
          <w:rFonts w:ascii="Arial Narrow" w:eastAsia="Arial Narrow" w:hAnsi="Arial Narrow" w:cs="Arial Narrow"/>
          <w:color w:val="000000"/>
          <w:kern w:val="0"/>
          <w:sz w:val="22"/>
          <w:szCs w:val="22"/>
          <w:lang w:val="es-ES" w:eastAsia="es-ES"/>
          <w14:ligatures w14:val="none"/>
        </w:rPr>
        <w:t xml:space="preserve">pla con lo siguiente: </w:t>
      </w:r>
      <w:r w:rsidR="00F74683" w:rsidRPr="00F7468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EB255D">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74683" w:rsidRDefault="00CA59A2" w:rsidP="00F7468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95A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95A1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0291C5" w14:textId="3D761B85" w:rsidR="00121544" w:rsidRPr="00D60C6D" w:rsidRDefault="00CA59A2" w:rsidP="00D60C6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interpuesta por la señora [DENUNCIANTE] contra Rímac Seguros y Reaseguros S.A., por la presunta infracción a los artículos 18 y 19 de la Ley 29571, Código de Protección y Defensa del Consumidor, en tanto la compañía aseguradora habría pretendido otorgar injustificadamente al denunciante US$ 9,000 menos el deducible del 15% por la pérdida total de la unidad asegurada debido al siniestro del 19 de diciembre de 2024 en virtud de la cobertura Seguro Vehicular – Póliza 2101-1453106.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6A42" w:rsidRPr="00F96A42">
        <w:rPr>
          <w:rFonts w:ascii="Arial Narrow" w:eastAsia="Arial Narrow" w:hAnsi="Arial Narrow" w:cs="Arial Narrow"/>
          <w:color w:val="000000"/>
          <w:kern w:val="0"/>
          <w:sz w:val="22"/>
          <w:szCs w:val="22"/>
          <w:shd w:val="clear" w:color="auto" w:fill="FFFFFF"/>
          <w:lang w:eastAsia="es-PE"/>
          <w14:ligatures w14:val="none"/>
        </w:rPr>
        <w:t/>
      </w:r>
      <w:r w:rsidR="00F96A42">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15405">
        <w:rPr>
          <w:rFonts w:ascii="Arial Narrow" w:eastAsia="Arial Narrow" w:hAnsi="Arial Narrow" w:cs="Arial Narrow"/>
          <w:color w:val="000000"/>
          <w:kern w:val="0"/>
          <w:sz w:val="22"/>
          <w:szCs w:val="22"/>
          <w:shd w:val="clear" w:color="auto" w:fill="FFFFFF"/>
          <w:lang w:eastAsia="es-PE"/>
          <w14:ligatures w14:val="none"/>
        </w:rPr>
        <w:t/>
      </w:r>
      <w:r w:rsidR="00D60C6D">
        <w:rPr>
          <w:rFonts w:ascii="Arial Narrow" w:eastAsia="Arial Narrow" w:hAnsi="Arial Narrow" w:cs="Arial Narrow"/>
          <w:color w:val="000000"/>
          <w:kern w:val="0"/>
          <w:sz w:val="22"/>
          <w:szCs w:val="22"/>
          <w:shd w:val="clear" w:color="auto" w:fill="FFFFFF"/>
          <w:lang w:eastAsia="es-PE"/>
          <w14:ligatures w14:val="none"/>
        </w:rPr>
        <w:t/>
      </w:r>
      <w:r w:rsidR="00711750" w:rsidRPr="00D60C6D">
        <w:rPr>
          <w:rFonts w:ascii="Arial Narrow" w:eastAsia="Arial Narrow" w:hAnsi="Arial Narrow" w:cs="Arial Narrow"/>
          <w:color w:val="000000"/>
          <w:kern w:val="0"/>
          <w:sz w:val="22"/>
          <w:szCs w:val="22"/>
          <w:lang w:eastAsia="es-PE"/>
          <w14:ligatures w14:val="none"/>
        </w:rPr>
        <w:t/>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711750" w:rsidRPr="00D60C6D">
        <w:rPr>
          <w:rFonts w:ascii="Arial Narrow" w:eastAsia="Arial Narrow" w:hAnsi="Arial Narrow" w:cs="Arial Narrow"/>
          <w:kern w:val="0"/>
          <w:sz w:val="22"/>
          <w:szCs w:val="22"/>
          <w:lang w:eastAsia="es-PE"/>
          <w14:ligatures w14:val="none"/>
        </w:rPr>
        <w:t xml:space="preserve"/>
      </w:r>
      <w:r w:rsidR="00711750"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510EC4" w:rsidRPr="00D60C6D">
        <w:rPr>
          <w:rFonts w:ascii="Arial Narrow" w:eastAsia="Arial Narrow" w:hAnsi="Arial Narrow" w:cs="Arial Narrow"/>
          <w:kern w:val="0"/>
          <w:sz w:val="22"/>
          <w:szCs w:val="22"/>
          <w:shd w:val="clear" w:color="auto" w:fill="FFFFFF"/>
          <w:lang w:eastAsia="es-PE"/>
          <w14:ligatures w14:val="none"/>
        </w:rPr>
        <w:t xml:space="preserve"/>
      </w:r>
      <w:r w:rsidR="00205643" w:rsidRPr="00D60C6D">
        <w:rPr>
          <w:rFonts w:ascii="Arial Narrow" w:eastAsia="Arial Narrow" w:hAnsi="Arial Narrow" w:cs="Arial Narrow"/>
          <w:kern w:val="0"/>
          <w:sz w:val="22"/>
          <w:szCs w:val="22"/>
          <w:shd w:val="clear" w:color="auto" w:fill="FFFFFF"/>
          <w:lang w:eastAsia="es-PE"/>
          <w14:ligatures w14:val="none"/>
        </w:rPr>
        <w:t/>
      </w:r>
      <w:r w:rsidR="00467775" w:rsidRPr="00D60C6D">
        <w:rPr>
          <w:rFonts w:ascii="Arial Narrow" w:eastAsia="Arial Narrow" w:hAnsi="Arial Narrow" w:cs="Arial Narrow"/>
          <w:kern w:val="0"/>
          <w14:ligatures w14:val="none"/>
          <w:sz w:val="22"/>
          <w:szCs w:val="22"/>
        </w:rPr>
        <w:t xml:space="preserve"/>
      </w:r>
      <w:r w:rsidR="00467775" w:rsidRPr="00D60C6D">
        <w:rPr>
          <w:rFonts w:ascii="Arial Narrow" w:eastAsia="Arial Narrow" w:hAnsi="Arial Narrow" w:cs="Arial Narrow"/>
          <w:kern w:val="0"/>
          <w:sz w:val="22"/>
          <w:szCs w:val="22"/>
          <w:shd w:val="clear" w:color="auto" w:fill="FFFFFF"/>
          <w:lang w:eastAsia="es-PE"/>
          <w14:ligatures w14:val="none"/>
        </w:rPr>
        <w:t xml:space="preserve"/>
      </w:r>
      <w:r w:rsidR="00467775" w:rsidRPr="00D60C6D">
        <w:rPr>
          <w:rFonts w:ascii="Arial Narrow" w:eastAsia="Arial Narrow" w:hAnsi="Arial Narrow" w:cs="Arial Narrow"/>
          <w:color w:val="000000"/>
          <w:kern w:val="0"/>
          <w:sz w:val="22"/>
          <w:szCs w:val="22"/>
          <w:lang w:eastAsia="es-ES"/>
          <w14:ligatures w14:val="none"/>
        </w:rPr>
        <w:t/>
      </w:r>
    </w:p>
    <w:p w14:paraId="042B3F54" w14:textId="777BBF33" w:rsidR="00CA59A2" w:rsidRPr="00DE0E0D" w:rsidRDefault="00CA59A2" w:rsidP="00F95A1B">
      <w:pPr>
        <w:spacing w:before="0" w:after="0" w:line="240" w:lineRule="auto"/>
        <w:jc w:val="both"/>
        <w:rPr>
          <w:rFonts w:ascii="Arial Narrow" w:eastAsia="Arial Narrow" w:hAnsi="Arial Narrow" w:cs="Arial Narrow"/>
          <w:kern w:val="0"/>
          <w14:ligatures w14:val="none"/>
          <w:sz w:val="22"/>
          <w:szCs w:val="22"/>
        </w:rPr>
      </w:pPr>
    </w:p>
    <w:p w14:paraId="0A292C9F" w14:textId="18D4A426" w:rsidR="00CA59A2" w:rsidRPr="00DE0E0D" w:rsidRDefault="00CA59A2" w:rsidP="00F95A1B">
      <w:pPr>
        <w:spacing w:line="240" w:lineRule="auto"/>
        <w:contextualSpacing/>
        <w:jc w:val="both"/>
        <w:rPr>
          <w:rFonts w:ascii="Arial Narrow" w:eastAsia="Arial Narrow" w:hAnsi="Arial Narrow" w:cs="Arial Narrow"/>
          <w:kern w:val="0"/>
          <w14:ligatures w14:val="none"/>
          <w:sz w:val="22"/>
          <w:szCs w:val="22"/>
        </w:rPr>
      </w:pPr>
      <w:r w:rsidRPr="00DE0E0D">
        <w:rPr>
          <w:rFonts w:ascii="Arial Narrow" w:eastAsia="Arial Narrow" w:hAnsi="Arial Narrow" w:cs="Arial Narrow"/>
          <w:b/>
          <w:color w:val="000000"/>
          <w:kern w:val="0"/>
          <w:sz w:val="22"/>
          <w:szCs w:val="22"/>
          <w:lang w:eastAsia="es-PE"/>
          <w14:ligatures w14:val="none"/>
        </w:rPr>
        <w:t>SEGUNDO:</w:t>
      </w:r>
      <w:r w:rsidRPr="00DE0E0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0E0D">
        <w:rPr>
          <w:rFonts w:ascii="Arial Narrow" w:eastAsia="Arial Narrow" w:hAnsi="Arial Narrow" w:cs="Arial Narrow"/>
          <w:color w:val="000000"/>
          <w:kern w:val="0"/>
          <w:sz w:val="22"/>
          <w:szCs w:val="22"/>
          <w:lang w:val="es-ES" w:eastAsia="es-ES"/>
          <w14:ligatures w14:val="none"/>
        </w:rPr>
        <w:t xml:space="preserve">del </w:t>
      </w:r>
      <w:r w:rsidR="00F96A42" w:rsidRPr="00DE0E0D">
        <w:rPr>
          <w:rFonts w:ascii="Arial Narrow" w:eastAsia="Arial Narrow" w:hAnsi="Arial Narrow" w:cs="Arial Narrow"/>
          <w:color w:val="000000"/>
          <w:kern w:val="0"/>
          <w:sz w:val="22"/>
          <w:szCs w:val="22"/>
          <w:lang w:val="es-ES" w:eastAsia="es-ES"/>
          <w14:ligatures w14:val="none"/>
        </w:rPr>
        <w:t>12 de agosto de 2025</w:t>
      </w:r>
      <w:r w:rsidRPr="00DE0E0D">
        <w:rPr>
          <w:rFonts w:ascii="Arial Narrow" w:eastAsia="Arial Narrow" w:hAnsi="Arial Narrow" w:cs="Arial Narrow"/>
          <w:kern w:val="0"/>
          <w14:ligatures w14:val="none"/>
          <w:sz w:val="22"/>
          <w:szCs w:val="22"/>
        </w:rPr>
        <w:t>.</w:t>
      </w:r>
    </w:p>
    <w:p w14:paraId="68A17E97" w14:textId="77777777" w:rsidR="00CA59A2" w:rsidRPr="00DE0E0D" w:rsidRDefault="00CA59A2" w:rsidP="00F95A1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DE0E0D">
        <w:rPr>
          <w:rFonts w:ascii="Arial Narrow" w:eastAsia="Arial Narrow" w:hAnsi="Arial Narrow" w:cs="Arial Narrow"/>
          <w:b/>
          <w:color w:val="000000"/>
          <w:kern w:val="0"/>
          <w:sz w:val="22"/>
          <w:szCs w:val="22"/>
          <w:lang w:eastAsia="es-PE"/>
          <w14:ligatures w14:val="none"/>
        </w:rPr>
        <w:t xml:space="preserve">TERCERO:</w:t>
      </w:r>
      <w:r w:rsidRPr="00DE0E0D">
        <w:rPr>
          <w:rFonts w:ascii="Arial Narrow" w:eastAsia="Arial Narrow" w:hAnsi="Arial Narrow" w:cs="Arial Narrow"/>
          <w:color w:val="000000"/>
          <w:kern w:val="0"/>
          <w:sz w:val="22"/>
          <w:szCs w:val="22"/>
          <w:lang w:eastAsia="es-PE"/>
          <w14:ligatures w14:val="none"/>
        </w:rPr>
        <w:t xml:space="preserve"> </w:t>
      </w:r>
      <w:r w:rsidRPr="00DE0E0D">
        <w:rPr>
          <w:rFonts w:ascii="Arial Narrow" w:eastAsia="Arial Narrow" w:hAnsi="Arial Narrow" w:cs="Arial Narrow"/>
          <w:color w:val="000000"/>
          <w:kern w:val="0"/>
          <w:sz w:val="22"/>
          <w:szCs w:val="22"/>
          <w:lang w:eastAsia="es-PE"/>
          <w14:ligatures w14:val="none"/>
        </w:rPr>
        <w:t>requerir a Rímac Seguros</w:t>
      </w:r>
      <w:r w:rsidRPr="00304237">
        <w:rPr>
          <w:rFonts w:ascii="Arial Narrow" w:eastAsia="Arial Narrow" w:hAnsi="Arial Narrow" w:cs="Arial Narrow"/>
          <w:color w:val="000000"/>
          <w:kern w:val="0"/>
          <w:sz w:val="22"/>
          <w:szCs w:val="22"/>
          <w:lang w:eastAsia="es-PE"/>
          <w14:ligatures w14:val="none"/>
        </w:rPr>
        <w:t xml:space="preserve"> y Reaseguros S.A.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95A1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95A1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agosto de 2025 a Rímac Seguros y Reaseguros S.A. para que, de conformidad con lo dispuesto por el artículo 26 de la Ley sobre Facultades, Normas y Organización del Indecopi, aprobada por Decreto Legislativo 807</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F3AD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95A1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B59180F" w:rsidR="00CA59A2" w:rsidRPr="0026598E" w:rsidRDefault="00CA59A2" w:rsidP="00F95A1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EB255D" w:rsidRPr="00EB255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2101-1453106 del Seguro Vehicular, así como el cargo de remisión de la póliza; (ii) presentar los medios probatorios que acrediten el valor a indemnizar del vehículo asegurado de acuerdo a los términos y condiciones de la póliza;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95A1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95A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95A1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95A1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95A1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F95A1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95A1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95A1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F95A1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8EBD697" w:rsidR="00CA59A2" w:rsidRPr="00A67ADF" w:rsidRDefault="00CA59A2" w:rsidP="00F95A1B">
      <w:pPr>
        <w:suppressAutoHyphens/>
        <w:spacing w:after="0" w:line="240" w:lineRule="auto"/>
        <w:jc w:val="both"/>
        <w:rPr>
          <w:rFonts w:ascii="Arial Narrow" w:eastAsia="Arial Narrow" w:hAnsi="Arial Narrow" w:cs="Arial Narrow"/>
          <w:sz w:val="22"/>
          <w:szCs w:val="22"/>
        </w:rPr>
      </w:pPr>
      <w:r w:rsidRPr="00715405">
        <w:rPr>
          <w:rFonts w:ascii="Arial Narrow" w:eastAsia="Arial Narrow" w:hAnsi="Arial Narrow" w:cs="Arial Narrow"/>
          <w:b/>
          <w:bCs/>
          <w:sz w:val="22"/>
          <w:szCs w:val="22"/>
        </w:rPr>
        <w:t xml:space="preserve">DÉCIMO:</w:t>
      </w:r>
      <w:r w:rsidRPr="00715405">
        <w:rPr>
          <w:rFonts w:ascii="Arial Narrow" w:eastAsia="Arial Narrow" w:hAnsi="Arial Narrow" w:cs="Arial Narrow"/>
          <w:sz w:val="22"/>
          <w:szCs w:val="22"/>
        </w:rPr>
        <w:t xml:space="preserve"> </w:t>
      </w:r>
      <w:r w:rsidRPr="00715405">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5405">
        <w:rPr>
          <w:rFonts w:ascii="Arial Narrow" w:eastAsia="Arial Narrow" w:hAnsi="Arial Narrow" w:cs="Arial Narrow"/>
          <w:spacing w:val="-3"/>
          <w:kern w:val="0"/>
          <w14:ligatures w14:val="none"/>
          <w:sz w:val="22"/>
          <w:szCs w:val="22"/>
        </w:rPr>
        <w:t/>
      </w:r>
      <w:r w:rsidRPr="00715405">
        <w:rPr>
          <w:rFonts w:ascii="Arial Narrow" w:eastAsia="Arial Narrow" w:hAnsi="Arial Narrow" w:cs="Arial Narrow"/>
          <w:spacing w:val="-3"/>
          <w:kern w:val="0"/>
          <w14:ligatures w14:val="none"/>
          <w:sz w:val="22"/>
          <w:szCs w:val="22"/>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w:r>
      <w:r w:rsidR="00715405">
        <w:rPr>
          <w:rFonts w:ascii="Arial Narrow" w:eastAsia="Arial Narrow" w:hAnsi="Arial Narrow" w:cs="Arial Narrow"/>
          <w:color w:val="000000"/>
          <w:kern w:val="0"/>
          <w:sz w:val="22"/>
          <w:szCs w:val="22"/>
          <w:shd w:val="clear" w:color="auto" w:fill="FFFFFF"/>
          <w:lang w:eastAsia="es-PE"/>
          <w14:ligatures w14:val="none"/>
        </w:rPr>
        <w:t xml:space="preserve"/>
      </w:r>
      <w:r w:rsidR="00715405" w:rsidRPr="00715405">
        <w:rPr>
          <w:rFonts w:ascii="Arial Narrow" w:eastAsia="Arial Narrow" w:hAnsi="Arial Narrow" w:cs="Arial Narrow"/>
          <w:color w:val="000000"/>
          <w:kern w:val="0"/>
          <w:sz w:val="22"/>
          <w:szCs w:val="22"/>
          <w:shd w:val="clear" w:color="auto" w:fill="FFFFFF"/>
          <w:lang w:eastAsia="es-PE"/>
          <w14:ligatures w14:val="none"/>
        </w:rPr>
        <w:t xml:space="preserve"/>
      </w:r>
      <w:r w:rsidR="00304237">
        <w:rPr>
          <w:rFonts w:ascii="Arial Narrow" w:eastAsia="Arial Narrow" w:hAnsi="Arial Narrow" w:cs="Arial Narrow"/>
          <w:color w:val="000000"/>
          <w:kern w:val="0"/>
          <w:sz w:val="22"/>
          <w:szCs w:val="22"/>
          <w:shd w:val="clear" w:color="auto" w:fill="FFFFFF"/>
          <w:lang w:eastAsia="es-PE"/>
          <w14:ligatures w14:val="none"/>
        </w:rPr>
        <w:t xml:space="preserve"/>
      </w:r>
      <w:r w:rsidRPr="007154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715405">
        <w:rPr>
          <w:rFonts w:ascii="Arial Narrow" w:eastAsia="Arial Narrow" w:hAnsi="Arial Narrow" w:cs="Arial Narrow"/>
          <w:color w:val="000000"/>
          <w:sz w:val="22"/>
          <w:szCs w:val="22"/>
        </w:rPr>
        <w:t/>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xml:space="preserve"/>
      </w:r>
      <w:r w:rsidR="00715405"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sz w:val="22"/>
          <w:szCs w:val="22"/>
        </w:rPr>
        <w:t/>
      </w:r>
      <w:r w:rsidRPr="00715405">
        <w:rPr>
          <w:rFonts w:ascii="Arial Narrow" w:eastAsia="Arial Narrow" w:hAnsi="Arial Narrow" w:cs="Arial Narrow"/>
          <w:color w:val="000000"/>
          <w:kern w:val="0"/>
          <w:sz w:val="22"/>
          <w:szCs w:val="22"/>
          <w:lang w:eastAsia="es-PE"/>
          <w14:ligatures w14:val="none"/>
        </w:rPr>
        <w:t/>
      </w:r>
      <w:r w:rsidRPr="0071540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95A1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F95A1B">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3716787" w14:textId="77777777" w:rsidR="00CA59A2" w:rsidRPr="0026598E" w:rsidRDefault="00CA59A2" w:rsidP="00F95A1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95A1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95A1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95A1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95A1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95A1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F95A1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FEAD32" w14:textId="77777777" w:rsidR="0066243E" w:rsidRDefault="0066243E" w:rsidP="00DA79A0">
      <w:pPr>
        <w:spacing w:after="0" w:line="240" w:lineRule="auto"/>
      </w:pPr>
      <w:r>
        <w:separator/>
      </w:r>
    </w:p>
  </w:endnote>
  <w:endnote w:type="continuationSeparator" w:id="0">
    <w:p w14:paraId="75B1CD41" w14:textId="77777777" w:rsidR="0066243E" w:rsidRDefault="0066243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DBF7455" w14:textId="77777777" w:rsidR="0066243E" w:rsidRDefault="0066243E" w:rsidP="00DA79A0">
      <w:pPr>
        <w:spacing w:after="0" w:line="240" w:lineRule="auto"/>
      </w:pPr>
      <w:r>
        <w:separator/>
      </w:r>
    </w:p>
  </w:footnote>
  <w:footnote w:type="continuationSeparator" w:id="0">
    <w:p w14:paraId="685EAAB4" w14:textId="77777777" w:rsidR="0066243E" w:rsidRDefault="0066243E" w:rsidP="00DA79A0">
      <w:pPr>
        <w:spacing w:after="0" w:line="240" w:lineRule="auto"/>
      </w:pPr>
      <w:r>
        <w:continuationSeparator/>
      </w:r>
    </w:p>
  </w:footnote>
  <w:footnote w:id="1">
    <w:p w14:paraId="1A82CAE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tab/>
        <w:t>Publicado</w:t>
      </w:r>
      <w:r w:rsidRPr="00C44439">
        <w:rPr>
          <w:rFonts w:ascii="Arial Narrow" w:eastAsia="Arial Narrow" w:hAnsi="Arial Narrow" w:cs="Arial Narrow"/>
          <w:b/>
          <w:sz w:val="16"/>
          <w:szCs w:val="16"/>
        </w:rPr>
        <w:t xml:space="preserve"> </w:t>
      </w:r>
      <w:r w:rsidRPr="00C4443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b/>
        <w:t>Artículo 105.- Autoridad competente.</w:t>
      </w:r>
    </w:p>
    <w:p w14:paraId="7C7DEEBE"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04590F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ab/>
        <w:t>Artículo 27.-</w:t>
      </w:r>
      <w:r w:rsidRPr="00C44439">
        <w:rPr>
          <w:rFonts w:ascii="Arial Narrow" w:eastAsia="Arial Narrow" w:hAnsi="Arial Narrow" w:cs="Arial Narrow"/>
          <w:sz w:val="16"/>
          <w:szCs w:val="16"/>
        </w:rPr>
        <w:t xml:space="preserve"> De la Comisión de Protección al Consumidor.- </w:t>
      </w:r>
    </w:p>
    <w:p w14:paraId="5B348423"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C4443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4439" w:rsidRDefault="00711750" w:rsidP="00711750">
      <w:pPr>
        <w:pStyle w:val="Textonotapie"/>
        <w:ind w:left="567" w:right="-1"/>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 xml:space="preserve">Artículo 18.- Idoneidad </w:t>
      </w:r>
    </w:p>
    <w:p w14:paraId="478C8B3B"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b/>
          <w:bCs/>
          <w:sz w:val="16"/>
          <w:szCs w:val="16"/>
        </w:rPr>
        <w:t xml:space="preserve">Artículo 19.- Obligación de los proveedores </w:t>
      </w:r>
    </w:p>
    <w:p w14:paraId="21160F25" w14:textId="77777777" w:rsidR="00711750" w:rsidRPr="00C44439" w:rsidRDefault="00711750" w:rsidP="00711750">
      <w:pPr>
        <w:pStyle w:val="Textonotapie"/>
        <w:ind w:left="567" w:right="-1"/>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LEY SOBRE FACULTADES, NORMAS Y ORGANIZACIÓN DEL INDECOPI, APROBADA POR DECRETO LEGISLATIVO 807 Artículo 24.-</w:t>
      </w:r>
      <w:r w:rsidRPr="00C44439">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t>
      </w:r>
    </w:p>
    <w:p w14:paraId="7B2AB955"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4443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D8A2F03" w14:textId="77777777" w:rsidR="00CA59A2" w:rsidRPr="00C44439" w:rsidRDefault="00CA59A2" w:rsidP="00CA59A2">
      <w:pPr>
        <w:pStyle w:val="Textonotapie"/>
        <w:ind w:left="567" w:hanging="567"/>
        <w:jc w:val="both"/>
        <w:rPr>
          <w:rFonts w:ascii="Arial Narrow" w:eastAsia="Arial Narrow" w:hAnsi="Arial Narrow" w:cs="Arial Narrow"/>
          <w:b/>
          <w:bCs/>
          <w:sz w:val="16"/>
          <w:szCs w:val="16"/>
        </w:rPr>
      </w:pPr>
      <w:r w:rsidRPr="00C44439">
        <w:rPr>
          <w:rFonts w:ascii="Arial Narrow" w:eastAsia="Arial Narrow" w:hAnsi="Arial Narrow" w:cs="Arial Narrow"/>
          <w:sz w:val="16"/>
          <w:szCs w:val="16"/>
        </w:rPr>
        <w:tab/>
      </w:r>
      <w:r w:rsidRPr="00C44439">
        <w:rPr>
          <w:rFonts w:ascii="Arial Narrow" w:eastAsia="Arial Narrow" w:hAnsi="Arial Narrow" w:cs="Arial Narrow"/>
          <w:b/>
          <w:bCs/>
          <w:sz w:val="16"/>
          <w:szCs w:val="16"/>
        </w:rPr>
        <w:t>Artículo 110.- Sanciones Administrativas</w:t>
      </w:r>
    </w:p>
    <w:p w14:paraId="693A834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14:paraId="04CBC22B"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443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443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vertAlign w:val="superscript"/>
        </w:rPr>
        <w:t xml:space="preserve"/>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4BC9BF8D" w14:textId="77777777" w:rsidR="00CA59A2" w:rsidRPr="00C44439" w:rsidRDefault="00CA59A2" w:rsidP="00CA59A2">
      <w:pPr>
        <w:spacing w:after="0" w:line="240" w:lineRule="auto"/>
        <w:ind w:left="567" w:hanging="567"/>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110.- Sanciones administrativas</w:t>
      </w:r>
    </w:p>
    <w:p w14:paraId="15C6524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leves, con una amonestación o con una multa de hasta cincuenta (50) UIT.</w:t>
      </w:r>
    </w:p>
    <w:p w14:paraId="3EC7469A"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graves, con una multa de hasta ciento cincuenta (150) UIT.</w:t>
      </w:r>
    </w:p>
    <w:p w14:paraId="7DEC6213" w14:textId="77777777" w:rsidR="00CA59A2" w:rsidRPr="00C4443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4439">
        <w:rPr>
          <w:rFonts w:ascii="Arial Narrow" w:eastAsia="Arial Narrow" w:hAnsi="Arial Narrow" w:cs="Arial Narrow"/>
          <w:sz w:val="16"/>
          <w:szCs w:val="16"/>
        </w:rPr>
        <w:t>Infracciones muy graves, con una multa de hasta cuatrocientos cincuenta (450) UIT.</w:t>
      </w:r>
    </w:p>
    <w:p w14:paraId="707B74D3"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C4443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44439"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
      </w:r>
      <w:r w:rsidRPr="00C44439">
        <w:rPr>
          <w:rFonts w:ascii="Arial Narrow" w:eastAsia="Arial Narrow" w:hAnsi="Arial Narrow" w:cs="Arial Narrow"/>
          <w:b/>
          <w:sz w:val="16"/>
          <w:szCs w:val="16"/>
        </w:rPr>
        <w:t>Artículo 114.- Medidas correctivas</w:t>
      </w:r>
    </w:p>
    <w:p w14:paraId="1B3B1F6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4439" w:rsidRDefault="00CA59A2" w:rsidP="00CA59A2">
      <w:pPr>
        <w:spacing w:after="0" w:line="240" w:lineRule="auto"/>
        <w:ind w:left="567" w:hanging="567"/>
        <w:jc w:val="both"/>
        <w:rPr>
          <w:rFonts w:ascii="Arial Narrow" w:eastAsia="Arial Narrow" w:hAnsi="Arial Narrow" w:cs="Arial Narrow"/>
          <w:sz w:val="16"/>
          <w:szCs w:val="16"/>
        </w:rPr>
      </w:pPr>
      <w:r w:rsidRPr="00C44439">
        <w:rPr>
          <w:rFonts w:ascii="Arial Narrow" w:eastAsia="Arial Narrow" w:hAnsi="Arial Narrow" w:cs="Arial Narrow"/>
          <w:b/>
          <w:sz w:val="16"/>
          <w:szCs w:val="16"/>
        </w:rPr>
        <w:tab/>
        <w:t>Artículo 115.- Medidas correctivas reparadoras</w:t>
      </w:r>
    </w:p>
    <w:p w14:paraId="0A0E4012" w14:textId="77777777" w:rsidR="00CA59A2" w:rsidRPr="00C44439" w:rsidRDefault="00CA59A2" w:rsidP="00CA59A2">
      <w:pPr>
        <w:spacing w:after="0" w:line="240" w:lineRule="auto"/>
        <w:ind w:left="567" w:hanging="283"/>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Reparar productos.</w:t>
      </w:r>
    </w:p>
    <w:p w14:paraId="64B5280D"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443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4439">
        <w:rPr>
          <w:rFonts w:ascii="Arial Narrow" w:eastAsia="Arial Narrow" w:hAnsi="Arial Narrow" w:cs="Arial Narrow"/>
          <w:sz w:val="16"/>
          <w:szCs w:val="16"/>
        </w:rPr>
        <w:t>Otras medidas reparadoras análogas de efectos equivalentes a las anteriores.</w:t>
      </w:r>
    </w:p>
    <w:p w14:paraId="764F3361" w14:textId="77777777" w:rsidR="00CA59A2" w:rsidRPr="00C44439" w:rsidRDefault="00CA59A2" w:rsidP="00CA59A2">
      <w:pPr>
        <w:pStyle w:val="Sinespaciad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4439" w:rsidRDefault="00CA59A2" w:rsidP="00CA59A2">
      <w:pPr>
        <w:spacing w:after="0" w:line="240" w:lineRule="auto"/>
        <w:ind w:left="567"/>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116.- Medidas correctivas complementarias</w:t>
      </w:r>
    </w:p>
    <w:p w14:paraId="795BD0E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4439" w:rsidRDefault="00CA59A2" w:rsidP="00CA59A2">
      <w:pPr>
        <w:spacing w:after="0" w:line="240" w:lineRule="auto"/>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LEY 29571, CÓDIGO DE PROTECCIÓN Y DEFENSA DEL CONSUMIDOR</w:t>
      </w:r>
      <w:r w:rsidRPr="00C44439">
        <w:rPr>
          <w:rFonts w:ascii="Arial Narrow" w:eastAsia="Arial Narrow" w:hAnsi="Arial Narrow" w:cs="Arial Narrow"/>
          <w:b/>
          <w:bCs/>
          <w:sz w:val="16"/>
          <w:szCs w:val="16"/>
        </w:rPr>
        <w:t xml:space="preserve">, </w:t>
      </w:r>
      <w:r w:rsidRPr="00C44439">
        <w:rPr>
          <w:rFonts w:ascii="Arial Narrow" w:eastAsia="Arial Narrow" w:hAnsi="Arial Narrow" w:cs="Arial Narrow"/>
          <w:b/>
          <w:sz w:val="16"/>
          <w:szCs w:val="16"/>
        </w:rPr>
        <w:t>publicado el 2 de setiembre de 2010 y modificado por Decreto Legislativo 1308</w:t>
      </w:r>
    </w:p>
    <w:p w14:paraId="6927EAA2" w14:textId="77777777" w:rsidR="00CA59A2" w:rsidRPr="00C44439" w:rsidRDefault="00CA59A2" w:rsidP="00CA59A2">
      <w:pPr>
        <w:pStyle w:val="Textonotapie"/>
        <w:tabs>
          <w:tab w:val="left" w:pos="567"/>
        </w:tabs>
        <w:jc w:val="both"/>
        <w:rPr>
          <w:rFonts w:ascii="Arial Narrow" w:eastAsia="Arial Narrow" w:hAnsi="Arial Narrow" w:cs="Arial Narrow"/>
          <w:b/>
          <w:sz w:val="16"/>
          <w:szCs w:val="16"/>
        </w:rPr>
      </w:pPr>
      <w:r w:rsidRPr="00C44439">
        <w:rPr>
          <w:rFonts w:ascii="Arial Narrow" w:eastAsia="Arial Narrow" w:hAnsi="Arial Narrow" w:cs="Arial Narrow"/>
          <w:b/>
          <w:sz w:val="16"/>
          <w:szCs w:val="16"/>
        </w:rPr>
        <w:tab/>
        <w:t>Artículo 112.- Criterios de graduación de las sanciones administrativas</w:t>
      </w:r>
    </w:p>
    <w:p w14:paraId="3B612D08"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1A09602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Se consideran circunstancias atenuantes especiales, las siguientes:</w:t>
      </w:r>
    </w:p>
    <w:p w14:paraId="74B98BC1" w14:textId="77777777" w:rsidR="00CA59A2" w:rsidRPr="00C44439" w:rsidRDefault="00CA59A2" w:rsidP="00CA59A2">
      <w:pPr>
        <w:pStyle w:val="Textonotapie"/>
        <w:tabs>
          <w:tab w:val="left" w:pos="567"/>
        </w:tabs>
        <w:jc w:val="both"/>
        <w:rPr>
          <w:rFonts w:ascii="Arial Narrow" w:eastAsia="Arial Narrow" w:hAnsi="Arial Narrow" w:cs="Arial Narrow"/>
          <w:sz w:val="16"/>
          <w:szCs w:val="16"/>
        </w:rPr>
      </w:pPr>
      <w:r w:rsidRPr="00C44439">
        <w:rPr>
          <w:rFonts w:ascii="Arial Narrow" w:eastAsia="Arial Narrow" w:hAnsi="Arial Narrow" w:cs="Arial Narrow"/>
          <w:sz w:val="16"/>
          <w:szCs w:val="16"/>
        </w:rPr>
        <w:tab/>
        <w:t>(…)</w:t>
      </w:r>
    </w:p>
    <w:p w14:paraId="0D336D0B" w14:textId="77777777" w:rsidR="00CA59A2" w:rsidRPr="00C44439" w:rsidRDefault="00CA59A2" w:rsidP="00CA59A2">
      <w:pPr>
        <w:pStyle w:val="Textonotapie"/>
        <w:tabs>
          <w:tab w:val="left" w:pos="567"/>
        </w:tabs>
        <w:ind w:left="567"/>
        <w:jc w:val="both"/>
        <w:rPr>
          <w:rFonts w:ascii="Arial Narrow" w:eastAsia="Arial Narrow" w:hAnsi="Arial Narrow" w:cs="Arial Narrow"/>
          <w:sz w:val="16"/>
          <w:szCs w:val="16"/>
        </w:rPr>
      </w:pPr>
      <w:r w:rsidRPr="00C44439">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44439"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4439">
        <w:rPr>
          <w:rStyle w:val="Refdenotaalpie"/>
          <w:rFonts w:ascii="Arial Narrow" w:eastAsia="Arial Narrow" w:hAnsi="Arial Narrow" w:cs="Arial Narrow"/>
          <w:b/>
          <w:bCs/>
          <w:sz w:val="16"/>
          <w:szCs w:val="16"/>
          <w:vertAlign w:val="superscript"/>
        </w:rPr>
        <w:footnoteRef/>
      </w:r>
      <w:r w:rsidRPr="00C44439">
        <w:rPr>
          <w:rFonts w:ascii="Arial Narrow" w:eastAsia="Arial Narrow" w:hAnsi="Arial Narrow" w:cs="Arial Narrow"/>
          <w:b/>
          <w:bCs/>
          <w:sz w:val="16"/>
          <w:szCs w:val="16"/>
        </w:rPr>
        <w:t xml:space="preserve"/>
      </w:r>
      <w:r w:rsidRPr="00C44439">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44439" w:rsidRDefault="00CA59A2" w:rsidP="00CA59A2">
      <w:pPr>
        <w:pStyle w:val="NormalWeb"/>
        <w:spacing w:after="0" w:line="240" w:lineRule="auto"/>
        <w:ind w:left="567"/>
        <w:jc w:val="both"/>
        <w:rPr>
          <w:rFonts w:ascii="Arial Narrow" w:eastAsia="Arial Narrow" w:hAnsi="Arial Narrow" w:cs="Arial Narrow"/>
          <w:bCs/>
          <w:sz w:val="16"/>
          <w:szCs w:val="16"/>
        </w:rPr>
      </w:pPr>
      <w:r w:rsidRPr="00C44439">
        <w:rPr>
          <w:rFonts w:ascii="Arial Narrow" w:eastAsia="Arial Narrow" w:hAnsi="Arial Narrow" w:cs="Arial Narrow"/>
          <w:b/>
          <w:sz w:val="16"/>
          <w:szCs w:val="16"/>
        </w:rPr>
        <w:t xml:space="preserve">Artículo 29.- </w:t>
      </w:r>
      <w:r w:rsidRPr="00C44439">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C44439" w:rsidRDefault="00CA59A2" w:rsidP="00CA59A2">
      <w:pPr>
        <w:pStyle w:val="Textonotapie"/>
        <w:tabs>
          <w:tab w:val="left" w:pos="567"/>
        </w:tabs>
        <w:ind w:left="567" w:hanging="567"/>
        <w:jc w:val="both"/>
        <w:rPr>
          <w:rFonts w:ascii="Arial Narrow" w:eastAsia="Arial Narrow" w:hAnsi="Arial Narrow" w:cs="Arial Narrow"/>
          <w:sz w:val="16"/>
          <w:szCs w:val="16"/>
        </w:rPr>
      </w:pPr>
      <w:r w:rsidRPr="00C44439">
        <w:rPr>
          <w:rStyle w:val="Refdenotaalpie"/>
          <w:rFonts w:ascii="Arial Narrow" w:eastAsia="Arial Narrow" w:hAnsi="Arial Narrow" w:cs="Arial Narrow"/>
          <w:sz w:val="16"/>
          <w:szCs w:val="16"/>
          <w:vertAlign w:val="superscript"/>
        </w:rPr>
        <w:footnoteRef/>
      </w:r>
      <w:r w:rsidRPr="00C44439">
        <w:rPr>
          <w:rFonts w:ascii="Arial Narrow" w:eastAsia="Arial Narrow" w:hAnsi="Arial Narrow" w:cs="Arial Narrow"/>
          <w:sz w:val="16"/>
          <w:szCs w:val="16"/>
        </w:rPr>
        <w:t xml:space="preserve"/>
      </w:r>
      <w:r w:rsidRPr="00C44439">
        <w:rPr>
          <w:rFonts w:ascii="Arial Narrow" w:eastAsia="Arial Narrow" w:hAnsi="Arial Narrow" w:cs="Arial Narrow"/>
          <w:sz w:val="16"/>
          <w:szCs w:val="16"/>
        </w:rPr>
      </w:r>
      <w:r w:rsidRPr="00C4443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44439" w:rsidRDefault="00CA59A2" w:rsidP="00CA59A2">
      <w:pPr>
        <w:pStyle w:val="Textonotapie"/>
        <w:ind w:left="1134"/>
        <w:jc w:val="both"/>
        <w:rPr>
          <w:rFonts w:ascii="Arial Narrow" w:eastAsia="Arial Narrow" w:hAnsi="Arial Narrow" w:cs="Arial Narrow"/>
          <w:b/>
          <w:bCs/>
          <w:sz w:val="16"/>
          <w:szCs w:val="16"/>
        </w:rPr>
      </w:pPr>
      <w:r w:rsidRPr="00C44439">
        <w:rPr>
          <w:rFonts w:ascii="Arial Narrow" w:eastAsia="Arial Narrow" w:hAnsi="Arial Narrow" w:cs="Arial Narrow"/>
          <w:b/>
          <w:bCs/>
          <w:sz w:val="16"/>
          <w:szCs w:val="16"/>
        </w:rPr>
        <w:t>Artículo 20.- Modalidades de notificación</w:t>
      </w:r>
    </w:p>
    <w:p w14:paraId="23580398" w14:textId="77777777" w:rsidR="00CA59A2" w:rsidRPr="00C44439" w:rsidRDefault="00CA59A2" w:rsidP="00CA59A2">
      <w:pPr>
        <w:pStyle w:val="Textonotapie"/>
        <w:ind w:left="1134" w:hanging="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20.4. </w:t>
      </w:r>
      <w:r w:rsidRPr="00C4443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4439" w:rsidRDefault="00CA59A2" w:rsidP="00CA59A2">
      <w:pPr>
        <w:pStyle w:val="Textonotapie"/>
        <w:ind w:left="1134"/>
        <w:jc w:val="both"/>
        <w:rPr>
          <w:rFonts w:ascii="Arial Narrow" w:eastAsia="Arial Narrow" w:hAnsi="Arial Narrow" w:cs="Arial Narrow"/>
          <w:sz w:val="16"/>
          <w:szCs w:val="16"/>
        </w:rPr>
      </w:pPr>
      <w:r w:rsidRPr="00C4443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04FF"/>
    <w:rsid w:val="00061BCE"/>
    <w:rsid w:val="0008134D"/>
    <w:rsid w:val="000A2C5A"/>
    <w:rsid w:val="000C03E0"/>
    <w:rsid w:val="000D0811"/>
    <w:rsid w:val="000D5059"/>
    <w:rsid w:val="001174DA"/>
    <w:rsid w:val="00121544"/>
    <w:rsid w:val="00182DEE"/>
    <w:rsid w:val="00183452"/>
    <w:rsid w:val="001B5674"/>
    <w:rsid w:val="001B6FB2"/>
    <w:rsid w:val="001D3F79"/>
    <w:rsid w:val="00205643"/>
    <w:rsid w:val="00234887"/>
    <w:rsid w:val="00260D26"/>
    <w:rsid w:val="00290C55"/>
    <w:rsid w:val="002B0771"/>
    <w:rsid w:val="002B2DF7"/>
    <w:rsid w:val="002C02D2"/>
    <w:rsid w:val="002F6B96"/>
    <w:rsid w:val="00304237"/>
    <w:rsid w:val="003748FB"/>
    <w:rsid w:val="003B4A64"/>
    <w:rsid w:val="003D2841"/>
    <w:rsid w:val="00467775"/>
    <w:rsid w:val="00487219"/>
    <w:rsid w:val="00510EC4"/>
    <w:rsid w:val="005268A6"/>
    <w:rsid w:val="005560B2"/>
    <w:rsid w:val="005615AA"/>
    <w:rsid w:val="0058044E"/>
    <w:rsid w:val="005D7A26"/>
    <w:rsid w:val="00626395"/>
    <w:rsid w:val="0066243E"/>
    <w:rsid w:val="00665856"/>
    <w:rsid w:val="006F1C6A"/>
    <w:rsid w:val="00711750"/>
    <w:rsid w:val="00715405"/>
    <w:rsid w:val="00750CF7"/>
    <w:rsid w:val="007657BB"/>
    <w:rsid w:val="00827EDD"/>
    <w:rsid w:val="0083186C"/>
    <w:rsid w:val="008834B0"/>
    <w:rsid w:val="00890B1F"/>
    <w:rsid w:val="0089579A"/>
    <w:rsid w:val="008E746F"/>
    <w:rsid w:val="008F2A20"/>
    <w:rsid w:val="00987623"/>
    <w:rsid w:val="00996DC2"/>
    <w:rsid w:val="009D2900"/>
    <w:rsid w:val="009D46F2"/>
    <w:rsid w:val="009D7D45"/>
    <w:rsid w:val="00A37879"/>
    <w:rsid w:val="00A84194"/>
    <w:rsid w:val="00A87B9B"/>
    <w:rsid w:val="00AA1996"/>
    <w:rsid w:val="00AC634C"/>
    <w:rsid w:val="00AE2D20"/>
    <w:rsid w:val="00B40665"/>
    <w:rsid w:val="00B906B1"/>
    <w:rsid w:val="00B91E42"/>
    <w:rsid w:val="00BD2086"/>
    <w:rsid w:val="00BD7737"/>
    <w:rsid w:val="00BF3AD2"/>
    <w:rsid w:val="00C21333"/>
    <w:rsid w:val="00C44439"/>
    <w:rsid w:val="00C56FC4"/>
    <w:rsid w:val="00CA59A2"/>
    <w:rsid w:val="00CB758C"/>
    <w:rsid w:val="00CD0C8E"/>
    <w:rsid w:val="00CD62B5"/>
    <w:rsid w:val="00D06E24"/>
    <w:rsid w:val="00D60C6D"/>
    <w:rsid w:val="00D610AD"/>
    <w:rsid w:val="00DA02A5"/>
    <w:rsid w:val="00DA79A0"/>
    <w:rsid w:val="00DB6197"/>
    <w:rsid w:val="00DE0E0D"/>
    <w:rsid w:val="00E4335B"/>
    <w:rsid w:val="00E6140E"/>
    <w:rsid w:val="00EB255D"/>
    <w:rsid w:val="00ED4B2D"/>
    <w:rsid w:val="00EE3204"/>
    <w:rsid w:val="00EF6877"/>
    <w:rsid w:val="00F531AB"/>
    <w:rsid w:val="00F74683"/>
    <w:rsid w:val="00F95A1B"/>
    <w:rsid w:val="00F96A42"/>
    <w:rsid w:val="00FA7D83"/>
    <w:rsid w:val="00FC6D7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7775"/>
    <w:rPr>
      <w:sz w:val="16"/>
      <w:szCs w:val="16"/>
    </w:rPr>
  </w:style>
  <w:style w:type="paragraph" w:styleId="Textocomentario">
    <w:name w:val="annotation text"/>
    <w:basedOn w:val="Normal"/>
    <w:link w:val="TextocomentarioCar"/>
    <w:uiPriority w:val="99"/>
    <w:unhideWhenUsed/>
    <w:rsid w:val="00467775"/>
    <w:pPr>
      <w:spacing w:line="240" w:lineRule="auto"/>
    </w:pPr>
    <w:rPr>
      <w:sz w:val="20"/>
      <w:szCs w:val="20"/>
    </w:rPr>
  </w:style>
  <w:style w:type="character" w:customStyle="1" w:styleId="TextocomentarioCar">
    <w:name w:val="Texto comentario Car"/>
    <w:basedOn w:val="Fuentedeprrafopredeter"/>
    <w:link w:val="Textocomentario"/>
    <w:uiPriority w:val="99"/>
    <w:rsid w:val="00467775"/>
    <w:rPr>
      <w:sz w:val="20"/>
      <w:szCs w:val="20"/>
    </w:rPr>
  </w:style>
  <w:style w:type="paragraph" w:styleId="Asuntodelcomentario">
    <w:name w:val="annotation subject"/>
    <w:basedOn w:val="Textocomentario"/>
    <w:next w:val="Textocomentario"/>
    <w:link w:val="AsuntodelcomentarioCar"/>
    <w:uiPriority w:val="99"/>
    <w:semiHidden/>
    <w:unhideWhenUsed/>
    <w:rsid w:val="00467775"/>
    <w:rPr>
      <w:b/>
      <w:bCs/>
    </w:rPr>
  </w:style>
  <w:style w:type="character" w:customStyle="1" w:styleId="AsuntodelcomentarioCar">
    <w:name w:val="Asunto del comentario Car"/>
    <w:basedOn w:val="TextocomentarioCar"/>
    <w:link w:val="Asuntodelcomentario"/>
    <w:uiPriority w:val="99"/>
    <w:semiHidden/>
    <w:rsid w:val="004677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6</Pages>
  <Words>1583</Words>
  <Characters>8711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2025-09-16T19:37:00Z</dcterms:modified>
</cp:coreProperties>
</file>