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29C90A6" w14:textId="77777777" w:rsidR="008138F5" w:rsidRPr="0026598E" w:rsidRDefault="008138F5" w:rsidP="00A833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96448">
        <w:rPr>
          <w:rFonts w:ascii="Arial Narrow" w:eastAsia="Arial Narrow" w:hAnsi="Arial Narrow" w:cs="Arial Narrow"/>
          <w:b/>
          <w:bCs/>
          <w:color w:val="000000"/>
          <w:kern w:val="0"/>
          <w:sz w:val="22"/>
          <w:szCs w:val="22"/>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DENUNCIADO</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MATERIAS</w:t>
      </w:r>
      <w:r w:rsidRPr="005909D8">
        <w:rPr>
          <w:rFonts w:ascii="Arial Narrow" w:eastAsia="Arial Narrow" w:hAnsi="Arial Narrow" w:cs="Arial Narrow"/>
          <w:b/>
          <w:color w:val="000000"/>
          <w:kern w:val="0"/>
          <w:sz w:val="22"/>
          <w:szCs w:val="22"/>
          <w:lang w:eastAsia="es-PE"/>
          <w14:ligatures w14:val="none"/>
        </w:rPr>
        <w:tab/>
        <w:t xml:space="preserve">: </w:t>
      </w:r>
      <w:r w:rsidRPr="005909D8">
        <w:rPr>
          <w:rFonts w:ascii="Arial Narrow" w:eastAsia="Arial Narrow" w:hAnsi="Arial Narrow" w:cs="Arial Narrow"/>
          <w:b/>
          <w:color w:val="000000"/>
          <w:kern w:val="0"/>
          <w:sz w:val="22"/>
          <w:szCs w:val="22"/>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RESOLUCIÓN </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09D8">
        <w:rPr>
          <w:rFonts w:ascii="Arial Narrow" w:eastAsia="Arial Narrow" w:hAnsi="Arial Narrow" w:cs="Arial Narrow"/>
          <w:color w:val="000000"/>
          <w:kern w:val="0"/>
          <w:sz w:val="22"/>
          <w:szCs w:val="22"/>
          <w:shd w:val="clear" w:color="auto" w:fill="FFFFFF"/>
          <w:lang w:eastAsia="es-PE"/>
          <w14:ligatures w14:val="none"/>
        </w:rPr>
        <w:t xml:space="preserve">Lima, </w:t>
      </w:r>
      <w:r w:rsidR="00F75956">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5909D8">
        <w:rPr>
          <w:rFonts w:ascii="Arial Narrow" w:eastAsia="Arial Narrow" w:hAnsi="Arial Narrow" w:cs="Arial Narrow"/>
          <w:color w:val="000000"/>
          <w:kern w:val="0"/>
          <w:sz w:val="22"/>
          <w:szCs w:val="22"/>
          <w:shd w:val="clear" w:color="auto" w:fill="FFFFFF"/>
          <w:lang w:eastAsia="es-PE"/>
          <w14:ligatures w14:val="none"/>
        </w:rPr>
        <w:t xml:space="preserve"/>
      </w:r>
    </w:p>
    <w:p w14:paraId="658054FD" w14:textId="77777777"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25A510A2"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3D83">
        <w:rPr>
          <w:rFonts w:ascii="Arial Narrow" w:eastAsia="Arial Narrow" w:hAnsi="Arial Narrow" w:cs="Arial Narrow"/>
          <w:color w:val="000000"/>
          <w:kern w:val="0"/>
          <w:sz w:val="22"/>
          <w:szCs w:val="22"/>
          <w:lang w:val="es-ES" w:eastAsia="es-ES"/>
          <w14:ligatures w14:val="none"/>
        </w:rPr>
        <w:t xml:space="preserve">Mediante el escrito del 20 de marzo de 2025</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3D83">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3D8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20C4E">
        <w:rPr>
          <w:rFonts w:ascii="Arial Narrow" w:eastAsia="Arial Narrow" w:hAnsi="Arial Narrow" w:cs="Arial Narrow"/>
          <w:color w:val="000000"/>
          <w:kern w:val="0"/>
          <w:sz w:val="22"/>
          <w:szCs w:val="22"/>
          <w:lang w:val="es-ES" w:eastAsia="es-ES"/>
          <w14:ligatures w14:val="none"/>
        </w:rPr>
        <w:t/>
      </w:r>
      <w:r w:rsidRPr="00220C4E">
        <w:rPr>
          <w:rFonts w:ascii="Arial Narrow" w:eastAsia="Arial Narrow" w:hAnsi="Arial Narrow" w:cs="Arial Narrow"/>
          <w:kern w:val="0"/>
          <w14:ligatures w14:val="none"/>
          <w:sz w:val="22"/>
          <w:szCs w:val="22"/>
        </w:rPr>
        <w:t/>
      </w:r>
      <w:r w:rsidRPr="00220C4E">
        <w:rPr>
          <w:rFonts w:ascii="Arial Narrow" w:eastAsia="Arial Narrow" w:hAnsi="Arial Narrow" w:cs="Arial Narrow"/>
          <w:color w:val="000000"/>
          <w:kern w:val="0"/>
          <w:sz w:val="22"/>
          <w:szCs w:val="22"/>
          <w:lang w:val="es-ES" w:eastAsia="es-ES"/>
          <w14:ligatures w14:val="none"/>
        </w:rPr>
        <w:t/>
      </w:r>
      <w:r w:rsidRPr="00220C4E">
        <w:rPr>
          <w:rFonts w:ascii="Arial Narrow" w:eastAsia="Arial Narrow" w:hAnsi="Arial Narrow" w:cs="Arial Narrow"/>
          <w:color w:val="000000"/>
          <w:kern w:val="0"/>
          <w:sz w:val="22"/>
          <w:szCs w:val="22"/>
          <w:lang w:val="es-ES" w:eastAsia="es-ES"/>
          <w14:ligatures w14:val="none"/>
        </w:rPr>
        <w:t xml:space="preserve"/>
      </w:r>
      <w:r w:rsidRPr="00220C4E">
        <w:rPr>
          <w:rFonts w:ascii="Arial Narrow" w:eastAsia="Arial Narrow" w:hAnsi="Arial Narrow" w:cs="Arial Narrow"/>
          <w:bCs/>
          <w:color w:val="000000"/>
          <w:kern w:val="0"/>
          <w:sz w:val="22"/>
          <w:szCs w:val="22"/>
          <w:lang w:val="es-ES" w:eastAsia="es-ES"/>
          <w14:ligatures w14:val="none"/>
        </w:rPr>
        <w:t/>
      </w:r>
    </w:p>
    <w:p w14:paraId="53AE406A" w14:textId="77777777" w:rsidR="008138F5" w:rsidRPr="00220C4E" w:rsidRDefault="008138F5" w:rsidP="00A8336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27 de febrero de 2023, contrató con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El 27 de febrero de 2025, renovó el Seguro Vehicular y se emitió la Póliza </w:t>
      </w:r>
      <w:r w:rsidRPr="00220C4E">
        <w:rPr>
          <w:rFonts w:ascii="Arial Narrow" w:eastAsia="Arial Narrow" w:hAnsi="Arial Narrow" w:cs="Arial Narrow"/>
          <w:sz w:val="22"/>
          <w:szCs w:val="22"/>
        </w:rPr>
        <w:t xml:space="preserve"> </w:t>
      </w:r>
      <w:r w:rsidRPr="00220C4E">
        <w:rPr>
          <w:rFonts w:ascii="Arial Narrow" w:eastAsia="Arial Narrow" w:hAnsi="Arial Narrow" w:cs="Arial Narrow"/>
          <w:color w:val="000000"/>
          <w:kern w:val="0"/>
          <w:sz w:val="22"/>
          <w:szCs w:val="22"/>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Durante la vigencia del Seguro Vehicular,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Arial Narrow" w:hAnsi="Arial Narrow" w:cs="Arial Narrow"/>
          <w:color w:val="000000"/>
          <w:kern w:val="0"/>
          <w:sz w:val="22"/>
          <w:szCs w:val="22"/>
          <w:lang w:eastAsia="es-ES"/>
          <w14:ligatures w14:val="none"/>
        </w:rPr>
        <w:t>el proveedor</w:t>
      </w:r>
      <w:r w:rsidRPr="00220C4E">
        <w:rPr>
          <w:rFonts w:ascii="Arial Narrow" w:eastAsia="Arial Narrow" w:hAnsi="Arial Narrow" w:cs="Arial Narrow"/>
          <w:color w:val="000000"/>
          <w:kern w:val="0"/>
          <w:sz w:val="22"/>
          <w:szCs w:val="22"/>
          <w:lang w:eastAsia="es-ES"/>
          <w14:ligatures w14:val="none"/>
        </w:rPr>
        <w:t xml:space="preserve"> en las comunicaciones de fechas 21 de octubre de 2024, 18 de febrero de 2025, 25 de febrero de 2025 y 13 de marzo de 2025. Asimismo, </w:t>
      </w:r>
      <w:r>
        <w:rPr>
          <w:rFonts w:ascii="Arial Narrow" w:eastAsia="Arial Narrow" w:hAnsi="Arial Narrow" w:cs="Arial Narrow"/>
          <w:color w:val="000000"/>
          <w:kern w:val="0"/>
          <w:sz w:val="22"/>
          <w:szCs w:val="22"/>
          <w:lang w:eastAsia="es-ES"/>
          <w14:ligatures w14:val="none"/>
        </w:rPr>
        <w:t>remitió</w:t>
      </w:r>
      <w:r w:rsidRPr="00220C4E">
        <w:rPr>
          <w:rFonts w:ascii="Arial Narrow" w:eastAsia="Arial Narrow" w:hAnsi="Arial Narrow" w:cs="Arial Narrow"/>
          <w:color w:val="000000"/>
          <w:kern w:val="0"/>
          <w:sz w:val="22"/>
          <w:szCs w:val="22"/>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20 de marzo de 2025, durante la audiencia de conciliación ante Indecopi, Rímac se comprometió a </w:t>
      </w:r>
      <w:r>
        <w:rPr>
          <w:rFonts w:ascii="Arial Narrow" w:eastAsia="Arial Narrow" w:hAnsi="Arial Narrow" w:cs="Arial Narrow"/>
          <w:color w:val="000000"/>
          <w:kern w:val="0"/>
          <w:sz w:val="22"/>
          <w:szCs w:val="22"/>
          <w:lang w:eastAsia="es-ES"/>
          <w14:ligatures w14:val="none"/>
        </w:rPr>
        <w:t>desvincular los</w:t>
      </w:r>
      <w:r w:rsidRPr="00220C4E">
        <w:rPr>
          <w:rFonts w:ascii="Arial Narrow" w:eastAsia="Arial Narrow" w:hAnsi="Arial Narrow" w:cs="Arial Narrow"/>
          <w:color w:val="000000"/>
          <w:kern w:val="0"/>
          <w:sz w:val="22"/>
          <w:szCs w:val="22"/>
          <w:lang w:eastAsia="es-ES"/>
          <w14:ligatures w14:val="none"/>
        </w:rPr>
        <w:t xml:space="preserve"> números telefónicos de terceros. Sin embargo, </w:t>
      </w:r>
      <w:r>
        <w:rPr>
          <w:rFonts w:ascii="Arial Narrow" w:eastAsia="Arial Narrow" w:hAnsi="Arial Narrow" w:cs="Arial Narrow"/>
          <w:color w:val="000000"/>
          <w:kern w:val="0"/>
          <w:sz w:val="22"/>
          <w:szCs w:val="22"/>
          <w:lang w:eastAsia="es-ES"/>
          <w14:ligatures w14:val="none"/>
        </w:rPr>
        <w:t>luego de</w:t>
      </w:r>
      <w:r w:rsidRPr="00220C4E">
        <w:rPr>
          <w:rFonts w:ascii="Arial Narrow" w:eastAsia="Arial Narrow" w:hAnsi="Arial Narrow" w:cs="Arial Narrow"/>
          <w:color w:val="000000"/>
          <w:kern w:val="0"/>
          <w:sz w:val="22"/>
          <w:szCs w:val="22"/>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0C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Arial Narrow" w:hAnsi="Arial Narrow" w:cs="Arial Narrow"/>
          <w:kern w:val="0"/>
          <w14:ligatures w14:val="none"/>
          <w:sz w:val="22"/>
          <w:szCs w:val="22"/>
        </w:rPr>
        <w:t xml:space="preserve"/>
      </w:r>
      <w:r w:rsidRPr="00220C4E">
        <w:rPr>
          <w:rFonts w:ascii="Arial Narrow" w:eastAsia="Arial Narrow" w:hAnsi="Arial Narrow" w:cs="Arial Narrow"/>
          <w:color w:val="000000"/>
          <w:kern w:val="0"/>
          <w:sz w:val="22"/>
          <w:szCs w:val="22"/>
          <w:lang w:val="es-ES" w:eastAsia="es-ES"/>
          <w14:ligatures w14:val="none"/>
        </w:rPr>
        <w:t xml:space="preserve"/>
      </w:r>
    </w:p>
    <w:p w14:paraId="6E18EB7C" w14:textId="77777777" w:rsidR="008138F5" w:rsidRPr="0026598E" w:rsidRDefault="008138F5" w:rsidP="00A8336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FC6038E" w14:textId="77777777" w:rsidR="008138F5" w:rsidRPr="0026598E" w:rsidRDefault="008138F5" w:rsidP="00A8336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C22A03">
        <w:rPr>
          <w:rFonts w:ascii="Arial Narrow" w:eastAsia="Arial Narrow" w:hAnsi="Arial Narrow" w:cs="Arial Narrow"/>
          <w:color w:val="000000"/>
          <w:kern w:val="0"/>
          <w:sz w:val="22"/>
          <w:szCs w:val="22"/>
          <w:lang w:eastAsia="es-PE"/>
          <w14:ligatures w14:val="none"/>
        </w:rPr>
        <w:t xml:space="preserve">, considera </w:t>
      </w:r>
      <w:r w:rsidRPr="00C22A03">
        <w:rPr>
          <w:rFonts w:ascii="Arial Narrow" w:eastAsia="Arial Narrow" w:hAnsi="Arial Narrow" w:cs="Arial Narrow"/>
          <w:kern w:val="0"/>
          <w14:ligatures w14:val="none"/>
          <w:sz w:val="22"/>
          <w:szCs w:val="22"/>
        </w:rPr>
        <w:t xml:space="preserve">que el hecho denunciado, consistente en que </w:t>
      </w:r>
      <w:r w:rsidR="00C22A03" w:rsidRPr="00C22A03">
        <w:rPr>
          <w:rFonts w:ascii="Arial Narrow" w:eastAsia="Arial Narrow" w:hAnsi="Arial Narrow" w:cs="Arial Narrow"/>
          <w:kern w:val="0"/>
          <w14:ligatures w14:val="none"/>
          <w:sz w:val="22"/>
          <w:szCs w:val="22"/>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 tipificado en el literal e) del numeral 58.1 del artículo 58 del Código</w:t>
      </w:r>
      <w:r w:rsidRPr="00711C0E">
        <w:rPr>
          <w:rStyle w:val="Refdenotaalpie"/>
          <w:rFonts w:ascii="Arial Narrow" w:eastAsia="Arial Narrow" w:hAnsi="Arial Narrow" w:cs="Arial Narrow"/>
          <w:bCs/>
          <w:color w:val="000000"/>
          <w:sz w:val="22"/>
          <w:szCs w:val="22"/>
          <w:vertAlign w:val="superscript"/>
          <w:lang w:eastAsia="es-PE"/>
        </w:rPr>
        <w:footnoteReference w:id="4"/>
      </w:r>
      <w:r w:rsidRPr="00C22A03">
        <w:rPr>
          <w:rFonts w:ascii="Arial Narrow" w:eastAsia="Arial Narrow" w:hAnsi="Arial Narrow" w:cs="Arial Narrow"/>
          <w:bCs/>
          <w:color w:val="000000"/>
          <w:kern w:val="0"/>
          <w:sz w:val="22"/>
          <w:szCs w:val="22"/>
          <w:lang w:eastAsia="es-PE"/>
          <w14:ligatures w14:val="none"/>
        </w:rPr>
        <w:t xml:space="preserve">. </w:t>
      </w:r>
    </w:p>
    <w:p w14:paraId="5DD092F8" w14:textId="77777777" w:rsidR="00C22A03" w:rsidRPr="00C22A03" w:rsidRDefault="00C22A03" w:rsidP="00C22A03">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913F15C" w14:textId="77777777" w:rsidR="008138F5" w:rsidRPr="0026598E" w:rsidRDefault="008138F5" w:rsidP="00A8336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BEB014C"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Arial Narrow" w:hAnsi="Arial Narrow" w:cs="Arial Narrow"/>
          <w:color w:val="000000"/>
          <w:kern w:val="0"/>
          <w:sz w:val="22"/>
          <w:szCs w:val="22"/>
          <w:lang w:val="es-ES" w:eastAsia="es-ES"/>
          <w14:ligatures w14:val="none"/>
        </w:rPr>
        <w:t>ii</w:t>
      </w:r>
      <w:proofErr w:type="spellEnd"/>
      <w:r w:rsidR="005E6B5F" w:rsidRPr="005E6B5F">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21E5715F" w14:textId="77777777" w:rsidR="008138F5" w:rsidRPr="0026598E" w:rsidRDefault="008138F5" w:rsidP="00A8336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6A32994" w14:textId="77777777" w:rsidR="008138F5" w:rsidRPr="0026598E" w:rsidRDefault="008138F5" w:rsidP="00A8336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930F34F" w14:textId="1B923EE0" w:rsidR="008138F5" w:rsidRPr="005E6B5F" w:rsidRDefault="008138F5" w:rsidP="005E6B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0176D">
        <w:rPr>
          <w:rFonts w:ascii="Arial Narrow" w:eastAsia="Arial Narrow" w:hAnsi="Arial Narrow" w:cs="Arial Narrow"/>
          <w:color w:val="000000"/>
          <w:kern w:val="0"/>
          <w:sz w:val="22"/>
          <w:szCs w:val="22"/>
          <w:shd w:val="clear" w:color="auto" w:fill="FFFFFF"/>
          <w:lang w:eastAsia="es-PE"/>
          <w14:ligatures w14:val="none"/>
        </w:rPr>
        <w:t/>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201A4">
        <w:rPr>
          <w:rFonts w:ascii="Arial Narrow" w:eastAsia="Arial Narrow" w:hAnsi="Arial Narrow" w:cs="Arial Narrow"/>
          <w:color w:val="000000"/>
          <w:kern w:val="0"/>
          <w:sz w:val="22"/>
          <w:szCs w:val="22"/>
          <w:shd w:val="clear" w:color="auto" w:fill="FFFFFF"/>
          <w:lang w:eastAsia="es-PE"/>
          <w14:ligatures w14:val="none"/>
        </w:rPr>
        <w:t/>
      </w:r>
      <w:proofErr w:type="spellEnd"/>
      <w:r w:rsidRPr="004201A4">
        <w:rPr>
          <w:rFonts w:ascii="Arial Narrow" w:eastAsia="Arial Narrow" w:hAnsi="Arial Narrow" w:cs="Arial Narrow"/>
          <w:color w:val="000000"/>
          <w:kern w:val="0"/>
          <w:sz w:val="22"/>
          <w:szCs w:val="22"/>
          <w:shd w:val="clear" w:color="auto" w:fill="FFFFFF"/>
          <w:lang w:eastAsia="es-PE"/>
          <w14:ligatures w14:val="none"/>
        </w:rPr>
        <w:t xml:space="preserve"/>
      </w:r>
      <w:r w:rsidRPr="004201A4">
        <w:rPr>
          <w:rFonts w:ascii="Arial Narrow" w:eastAsia="Arial Narrow" w:hAnsi="Arial Narrow" w:cs="Arial Narrow"/>
          <w:sz w:val="22"/>
          <w:szCs w:val="22"/>
        </w:rPr>
        <w:t/>
      </w:r>
      <w:r w:rsidRPr="00485ACB">
        <w:rPr>
          <w:rFonts w:ascii="Arial Narrow" w:eastAsia="Arial Narrow" w:hAnsi="Arial Narrow" w:cs="Arial Narrow"/>
          <w:sz w:val="22"/>
          <w:szCs w:val="22"/>
        </w:rPr>
        <w:t xml:space="preserve"/>
      </w:r>
      <w:r w:rsidRPr="00215234">
        <w:rPr>
          <w:rFonts w:ascii="Arial Narrow" w:eastAsia="Arial Narrow" w:hAnsi="Arial Narrow" w:cs="Arial Narrow"/>
          <w:color w:val="000000"/>
          <w:kern w:val="0"/>
          <w:sz w:val="22"/>
          <w:szCs w:val="22"/>
          <w:shd w:val="clear" w:color="auto" w:fill="FFFFFF"/>
          <w:lang w:eastAsia="es-PE"/>
          <w14:ligatures w14:val="none"/>
        </w:rPr>
        <w:t xml:space="preserve"/>
      </w:r>
      <w:r w:rsidRPr="00C22A03">
        <w:rPr>
          <w:rFonts w:ascii="Arial Narrow" w:eastAsia="Arial Narrow" w:hAnsi="Arial Narrow" w:cs="Arial Narrow"/>
          <w:color w:val="000000"/>
          <w:kern w:val="0"/>
          <w:sz w:val="22"/>
          <w:szCs w:val="22"/>
          <w:shd w:val="clear" w:color="auto" w:fill="FFFFFF"/>
          <w:lang w:eastAsia="es-PE"/>
          <w14:ligatures w14:val="none"/>
        </w:rPr>
        <w:t/>
      </w:r>
      <w:r w:rsidR="005E6B5F" w:rsidRPr="00C22A03">
        <w:rPr>
          <w:rFonts w:ascii="Arial Narrow" w:eastAsia="Arial Narrow" w:hAnsi="Arial Narrow" w:cs="Arial Narrow"/>
          <w:color w:val="000000"/>
          <w:kern w:val="0"/>
          <w:sz w:val="22"/>
          <w:szCs w:val="22"/>
          <w:shd w:val="clear" w:color="auto" w:fill="FFFFFF"/>
          <w:lang w:eastAsia="es-PE"/>
          <w14:ligatures w14:val="none"/>
        </w:rPr>
        <w:t/>
      </w:r>
      <w:r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color w:val="000000"/>
          <w:kern w:val="0"/>
          <w:sz w:val="22"/>
          <w:szCs w:val="22"/>
          <w:lang w:eastAsia="es-ES"/>
          <w14:ligatures w14:val="none"/>
        </w:rPr>
        <w:t xml:space="preserve"/>
      </w:r>
      <w:r w:rsidR="00A83365" w:rsidRPr="00C22A03">
        <w:rPr>
          <w:rFonts w:ascii="Arial Narrow" w:eastAsia="Arial Narrow" w:hAnsi="Arial Narrow" w:cs="Arial Narrow"/>
          <w:color w:val="000000"/>
          <w:kern w:val="0"/>
          <w:sz w:val="22"/>
          <w:szCs w:val="22"/>
          <w:lang w:eastAsia="es-ES"/>
          <w14:ligatures w14:val="none"/>
        </w:rPr>
        <w:t xml:space="preserve"/>
      </w:r>
      <w:r w:rsidRPr="00C22A03">
        <w:rPr>
          <w:rFonts w:ascii="Arial Narrow" w:eastAsia="Arial Narrow" w:hAnsi="Arial Narrow" w:cs="Arial Narrow"/>
          <w:kern w:val="0"/>
          <w14:ligatures w14:val="none"/>
          <w:sz w:val="22"/>
          <w:szCs w:val="22"/>
        </w:rPr>
        <w:t/>
      </w:r>
      <w:r w:rsidR="00A83365"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kern w:val="0"/>
          <w14:ligatures w14:val="none"/>
          <w:sz w:val="22"/>
          <w:szCs w:val="22"/>
        </w:rPr>
        <w:t/>
      </w:r>
    </w:p>
    <w:p w14:paraId="4129C7AE" w14:textId="77777777" w:rsidR="008138F5" w:rsidRPr="0026598E" w:rsidRDefault="008138F5" w:rsidP="00A83365">
      <w:pPr>
        <w:spacing w:before="0" w:after="0" w:line="240" w:lineRule="auto"/>
        <w:jc w:val="both"/>
        <w:rPr>
          <w:rFonts w:ascii="Arial Narrow" w:eastAsia="Arial Narrow" w:hAnsi="Arial Narrow" w:cs="Arial Narrow"/>
          <w:kern w:val="0"/>
          <w14:ligatures w14:val="none"/>
          <w:sz w:val="22"/>
          <w:szCs w:val="22"/>
        </w:rPr>
      </w:pPr>
    </w:p>
    <w:p w14:paraId="7ADE4229" w14:textId="52A7D3D7" w:rsidR="008138F5" w:rsidRPr="0026598E" w:rsidRDefault="008138F5" w:rsidP="00A8336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0176D">
        <w:rPr>
          <w:rFonts w:ascii="Arial Narrow" w:eastAsia="Arial Narrow" w:hAnsi="Arial Narrow" w:cs="Arial Narrow"/>
          <w:color w:val="000000"/>
          <w:kern w:val="0"/>
          <w:sz w:val="22"/>
          <w:szCs w:val="22"/>
          <w:lang w:val="es-ES" w:eastAsia="es-ES"/>
          <w14:ligatures w14:val="none"/>
        </w:rPr>
        <w:t>20 de marzo de 2025</w:t>
      </w:r>
      <w:r w:rsidRPr="0026598E">
        <w:rPr>
          <w:rFonts w:ascii="Arial Narrow" w:eastAsia="Arial Narrow" w:hAnsi="Arial Narrow" w:cs="Arial Narrow"/>
          <w:kern w:val="0"/>
          <w14:ligatures w14:val="none"/>
          <w:sz w:val="22"/>
          <w:szCs w:val="22"/>
        </w:rPr>
        <w:t>.</w:t>
      </w:r>
    </w:p>
    <w:p w14:paraId="3B9D2AF0" w14:textId="77777777" w:rsidR="008138F5" w:rsidRPr="0026598E" w:rsidRDefault="008138F5" w:rsidP="00A8336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85ACB">
        <w:rPr>
          <w:rFonts w:ascii="Arial Narrow" w:eastAsia="Arial Narrow" w:hAnsi="Arial Narrow" w:cs="Arial Narrow"/>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446A719"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292EEC34" w14:textId="77777777" w:rsidR="008138F5" w:rsidRPr="0026598E" w:rsidRDefault="008138F5" w:rsidP="00A8336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marzo de 2025 a Rímac Seguros y Reaseguros S.A. para que, de conformidad con lo dispuesto por el artículo 26 de la Ley sobre Facultades, Normas y Organización del Indecopi, aprobada por Decreto Legislativo 807</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44EC6E"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2EF64E" w14:textId="3980AFF4" w:rsidR="008138F5" w:rsidRPr="0026598E" w:rsidRDefault="008138F5" w:rsidP="00A833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564AAA">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Arial Narrow" w:hAnsi="Arial Narrow" w:cs="Arial Narrow"/>
          <w:color w:val="000000"/>
          <w:kern w:val="0"/>
          <w:sz w:val="22"/>
          <w:szCs w:val="22"/>
          <w:lang w:eastAsia="es-ES"/>
          <w14:ligatures w14:val="none"/>
        </w:rPr>
        <w:t>; y, (</w:t>
      </w:r>
      <w:proofErr w:type="spellStart"/>
      <w:r w:rsidRPr="00564AAA">
        <w:rPr>
          <w:rFonts w:ascii="Arial Narrow" w:eastAsia="Arial Narrow" w:hAnsi="Arial Narrow" w:cs="Arial Narrow"/>
          <w:color w:val="000000"/>
          <w:kern w:val="0"/>
          <w:sz w:val="22"/>
          <w:szCs w:val="22"/>
          <w:lang w:eastAsia="es-ES"/>
          <w14:ligatures w14:val="none"/>
        </w:rPr>
        <w:t>ii</w:t>
      </w:r>
      <w:proofErr w:type="spellEnd"/>
      <w:r w:rsidRPr="00564AAA">
        <w:rPr>
          <w:rFonts w:ascii="Arial Narrow" w:eastAsia="Arial Narrow" w:hAnsi="Arial Narrow" w:cs="Arial Narrow"/>
          <w:color w:val="000000"/>
          <w:kern w:val="0"/>
          <w:sz w:val="22"/>
          <w:szCs w:val="22"/>
          <w:lang w:eastAsia="es-ES"/>
          <w14:ligatures w14:val="none"/>
        </w:rPr>
        <w:t xml:space="preserve">) </w:t>
      </w:r>
      <w:r w:rsidRPr="00564AAA">
        <w:rPr>
          <w:rFonts w:ascii="Arial Narrow" w:eastAsia="Arial Narrow" w:hAnsi="Arial Narrow" w:cs="Arial Narrow"/>
          <w:color w:val="000000"/>
          <w:kern w:val="0"/>
          <w:sz w:val="22"/>
          <w:szCs w:val="22"/>
          <w:lang w:val="es-ES" w:eastAsia="es-ES"/>
          <w14:ligatures w14:val="none"/>
        </w:rPr>
        <w:t xml:space="preserve">presentar todas las comunicaciones cursadas con </w:t>
      </w:r>
      <w:r w:rsidR="00A83365">
        <w:rPr>
          <w:rFonts w:ascii="Arial Narrow" w:eastAsia="Arial Narrow" w:hAnsi="Arial Narrow" w:cs="Arial Narrow"/>
          <w:color w:val="000000"/>
          <w:kern w:val="0"/>
          <w:sz w:val="22"/>
          <w:szCs w:val="22"/>
          <w:lang w:val="es-ES" w:eastAsia="es-ES"/>
          <w14:ligatures w14:val="none"/>
        </w:rPr>
        <w:t>la</w:t>
      </w:r>
      <w:r w:rsidRPr="00564AA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p>
    <w:p w14:paraId="75ABC69B" w14:textId="77777777" w:rsidR="008138F5" w:rsidRPr="0026598E" w:rsidRDefault="008138F5" w:rsidP="00A8336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4390C257" w14:textId="77777777" w:rsidR="008138F5" w:rsidRPr="0026598E" w:rsidRDefault="008138F5" w:rsidP="00A8336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6AB1912" w14:textId="0B594A8A" w:rsidR="008138F5" w:rsidRPr="0026598E" w:rsidRDefault="008138F5" w:rsidP="00A833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color w:val="000000"/>
          <w:sz w:val="22"/>
          <w:szCs w:val="22"/>
        </w:rPr>
        <w:t/>
      </w:r>
      <w:r w:rsidRPr="004201A4">
        <w:rPr>
          <w:rFonts w:ascii="Arial Narrow" w:eastAsia="Arial Narrow" w:hAnsi="Arial Narrow" w:cs="Arial Narrow"/>
          <w:color w:val="000000"/>
          <w:sz w:val="22"/>
          <w:szCs w:val="22"/>
        </w:rPr>
        <w:t/>
      </w:r>
      <w:r w:rsidRPr="004201A4">
        <w:rPr>
          <w:rFonts w:ascii="Arial Narrow" w:eastAsia="Arial Narrow" w:hAnsi="Arial Narrow" w:cs="Arial Narrow"/>
          <w:color w:val="000000"/>
          <w:kern w:val="0"/>
          <w:sz w:val="22"/>
          <w:szCs w:val="22"/>
          <w:lang w:eastAsia="es-PE"/>
          <w14:ligatures w14:val="none"/>
        </w:rPr>
        <w:t/>
      </w:r>
      <w:r w:rsidRPr="004201A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F2AD01A"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87E49BE"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3FDFBEC3" w14:textId="77777777" w:rsidR="008138F5" w:rsidRPr="0026598E" w:rsidRDefault="008138F5" w:rsidP="00A8336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FB1A105" w14:textId="77777777" w:rsidR="008138F5" w:rsidRPr="0026598E" w:rsidRDefault="008138F5" w:rsidP="00A833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eastAsia="Arial Narrow" w:hAnsi="Arial Narrow" w:cs="Arial Narrow"/>
          <w:sz w:val="22"/>
          <w:szCs w:val="22"/>
        </w:rPr>
      </w:pPr>
    </w:p>
    <w:p w14:paraId="4B93A082" w14:textId="77777777" w:rsidR="008138F5" w:rsidRPr="0026598E" w:rsidRDefault="008138F5" w:rsidP="00A83365">
      <w:pPr>
        <w:spacing w:line="240" w:lineRule="auto"/>
        <w:rPr>
          <w:rFonts w:ascii="Arial Narrow" w:eastAsia="Arial Narrow" w:hAnsi="Arial Narrow" w:cs="Arial Narrow"/>
          <w:sz w:val="22"/>
          <w:szCs w:val="22"/>
        </w:rPr>
      </w:pPr>
    </w:p>
    <w:p w14:paraId="79818AF1" w14:textId="77777777" w:rsidR="008138F5" w:rsidRPr="0026598E" w:rsidRDefault="008138F5" w:rsidP="00A83365">
      <w:pPr>
        <w:spacing w:line="240" w:lineRule="auto"/>
        <w:rPr>
          <w:rFonts w:ascii="Arial Narrow" w:eastAsia="Arial Narrow" w:hAnsi="Arial Narrow" w:cs="Arial Narrow"/>
          <w:sz w:val="22"/>
          <w:szCs w:val="22"/>
        </w:rPr>
      </w:pPr>
    </w:p>
    <w:p w14:paraId="74AAB5F4" w14:textId="77777777" w:rsidR="001B5674" w:rsidRDefault="001B5674" w:rsidP="00A8336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tab/>
        <w:t xml:space="preserve">Denuncia remitida a esta Comisión mediante MEMORANDUM 001173-2025-PS1/INDECOPI de fecha 28 de mayo de 2025, </w:t>
      </w:r>
      <w:proofErr w:type="spellStart"/>
      <w:r w:rsidRPr="00A83365">
        <w:rPr>
          <w:rFonts w:ascii="Arial Narrow" w:eastAsia="Arial Narrow" w:hAnsi="Arial Narrow" w:cs="Arial Narrow"/>
          <w:sz w:val="16"/>
          <w:szCs w:val="16"/>
        </w:rPr>
        <w:t xml:space="preserve">recibida</w:t>
      </w:r>
      <w:proofErr w:type="spellEnd"/>
      <w:r w:rsidRPr="00A83365">
        <w:rPr>
          <w:rFonts w:ascii="Arial Narrow" w:eastAsia="Arial Narrow" w:hAnsi="Arial Narrow" w:cs="Arial Narrow"/>
          <w:sz w:val="16"/>
          <w:szCs w:val="16"/>
        </w:rPr>
        <w:t xml:space="preserve"> el 28 de mayo de 2025.</w:t>
      </w:r>
    </w:p>
    <w:p>
      <w:pPr>
        <w:pStyle w:val="Textonotapie"/>
        <w:ind w:left="567" w:hanging="567"/>
        <w:jc w:val="both"/>
        <w:rPr>
          <w:rFonts w:ascii="Arial Narrow" w:eastAsia="Arial Narrow" w:hAnsi="Arial Narrow" w:cs="Arial Narrow"/>
          <w:sz w:val="16"/>
          <w:szCs w:val="16"/>
        </w:rPr>
      </w:pPr>
    </w:p>
  </w:footnote>
  <w:footnote w:id="2">
    <w:p w14:paraId="653E07F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tab/>
        <w:t>Publicado</w:t>
      </w:r>
      <w:r w:rsidRPr="00A83365">
        <w:rPr>
          <w:rFonts w:ascii="Arial Narrow" w:eastAsia="Arial Narrow" w:hAnsi="Arial Narrow" w:cs="Arial Narrow"/>
          <w:b/>
          <w:sz w:val="16"/>
          <w:szCs w:val="16"/>
        </w:rPr>
        <w:t xml:space="preserve"> </w:t>
      </w:r>
      <w:r w:rsidRPr="00A833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b/>
          <w:bCs/>
          <w:sz w:val="16"/>
          <w:szCs w:val="16"/>
        </w:rPr>
        <w:tab/>
        <w:t>Artículo 27.-</w:t>
      </w:r>
      <w:r w:rsidRPr="00A83365">
        <w:rPr>
          <w:rFonts w:ascii="Arial Narrow" w:eastAsia="Arial Narrow" w:hAnsi="Arial Narrow" w:cs="Arial Narrow"/>
          <w:sz w:val="16"/>
          <w:szCs w:val="16"/>
        </w:rPr>
        <w:t xml:space="preserve"> De la Comisión de Protección al </w:t>
      </w:r>
      <w:proofErr w:type="gramStart"/>
      <w:r w:rsidRPr="00A83365">
        <w:rPr>
          <w:rFonts w:ascii="Arial Narrow" w:eastAsia="Arial Narrow" w:hAnsi="Arial Narrow" w:cs="Arial Narrow"/>
          <w:sz w:val="16"/>
          <w:szCs w:val="16"/>
        </w:rPr>
        <w:t>Consumidor.-</w:t>
      </w:r>
      <w:proofErr w:type="gramEnd"/>
      <w:r w:rsidRPr="00A83365">
        <w:rPr>
          <w:rFonts w:ascii="Arial Narrow" w:eastAsia="Arial Narrow" w:hAnsi="Arial Narrow" w:cs="Arial Narrow"/>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 xml:space="preserve">LEY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LEY SOBRE FACULTADES, NORMAS Y ORGANIZACIÓN DEL INDECOPI, APROBADA POR DECRETO LEGISLATIVO 807 Artículo 24.-</w:t>
      </w:r>
      <w:r w:rsidRPr="00A83365">
        <w:rPr>
          <w:rFonts w:ascii="Arial Narrow" w:eastAsia="Arial Narrow" w:hAnsi="Arial Narrow" w:cs="Arial Narrow"/>
          <w:sz w:val="16"/>
          <w:szCs w:val="16"/>
        </w:rPr>
        <w:t xml:space="preserve"> El </w:t>
      </w:r>
      <w:proofErr w:type="gramStart"/>
      <w:r w:rsidRPr="00A83365">
        <w:rPr>
          <w:rFonts w:ascii="Arial Narrow" w:eastAsia="Arial Narrow" w:hAnsi="Arial Narrow" w:cs="Arial Narrow"/>
          <w:sz w:val="16"/>
          <w:szCs w:val="16"/>
        </w:rPr>
        <w:t>Secretario Técnico</w:t>
      </w:r>
      <w:proofErr w:type="gramEnd"/>
      <w:r w:rsidRPr="00A83365">
        <w:rPr>
          <w:rFonts w:ascii="Arial Narrow" w:eastAsia="Arial Narrow" w:hAnsi="Arial Narrow" w:cs="Arial Narrow"/>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EC4DEB5"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83365">
        <w:rPr>
          <w:rFonts w:ascii="Arial Narrow" w:eastAsia="Arial Narrow" w:hAnsi="Arial Narrow" w:cs="Arial Narrow"/>
          <w:sz w:val="16"/>
          <w:szCs w:val="16"/>
        </w:rPr>
        <w:t/>
      </w:r>
      <w:proofErr w:type="spellEnd"/>
      <w:r w:rsidRPr="00A8336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eastAsia="Arial Narrow" w:hAnsi="Arial Narrow" w:cs="Arial Narrow"/>
          <w:sz w:val="16"/>
          <w:szCs w:val="16"/>
        </w:rPr>
        <w:t>entrada en vigencia</w:t>
      </w:r>
      <w:proofErr w:type="gramEnd"/>
      <w:r w:rsidRPr="00A833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FA47B"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BEC02A" w14:textId="77777777" w:rsidR="008138F5" w:rsidRPr="00A83365" w:rsidRDefault="008138F5" w:rsidP="00A83365">
      <w:pPr>
        <w:tabs>
          <w:tab w:val="left" w:pos="567"/>
        </w:tabs>
        <w:spacing w:after="0" w:line="240" w:lineRule="auto"/>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vertAlign w:val="superscript"/>
        </w:rPr>
        <w:t xml:space="preserve"/>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62D20E" w14:textId="77777777" w:rsidR="008138F5" w:rsidRPr="00A83365" w:rsidRDefault="008138F5" w:rsidP="00A83365">
      <w:pPr>
        <w:tabs>
          <w:tab w:val="left" w:pos="567"/>
        </w:tabs>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r>
      <w:r w:rsidRPr="00A83365">
        <w:rPr>
          <w:rFonts w:ascii="Arial Narrow" w:eastAsia="Arial Narrow" w:hAnsi="Arial Narrow" w:cs="Arial Narrow"/>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Las medidas correctivas complementarias pueden dictarse de oficio o a pedido de parte.</w:t>
      </w:r>
    </w:p>
    <w:p w14:paraId="6243B833"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los supuestos de pagos indebidos o en exceso, devolver estos montos, más los intereses correspondientes.</w:t>
      </w:r>
    </w:p>
    <w:p w14:paraId="7901970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Pagar los gastos incurridos por el consumidor para mitigar las consecuencias de la infracción administrativa.</w:t>
      </w:r>
    </w:p>
    <w:p w14:paraId="4D0BE7B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eastAsia="Arial Narrow" w:hAnsi="Arial Narrow" w:cs="Arial Narrow"/>
          <w:sz w:val="16"/>
          <w:szCs w:val="16"/>
        </w:rPr>
        <w:t>conjuntamente con</w:t>
      </w:r>
      <w:proofErr w:type="gramEnd"/>
      <w:r w:rsidRPr="00A833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8D1835" w14:textId="77777777" w:rsidR="008138F5" w:rsidRPr="00A83365" w:rsidRDefault="008138F5" w:rsidP="00A83365">
      <w:pPr>
        <w:spacing w:after="0" w:line="240" w:lineRule="auto"/>
        <w:ind w:left="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d. En caso de infracciones muy graves y de reincidencia o </w:t>
      </w:r>
      <w:proofErr w:type="spellStart"/>
      <w:r w:rsidRPr="00A83365">
        <w:rPr>
          <w:rFonts w:ascii="Arial Narrow" w:eastAsia="Arial Narrow" w:hAnsi="Arial Narrow" w:cs="Arial Narrow"/>
          <w:sz w:val="16"/>
          <w:szCs w:val="16"/>
        </w:rPr>
        <w:t>reiterancia</w:t>
      </w:r>
      <w:proofErr w:type="spellEnd"/>
      <w:r w:rsidRPr="00A83365">
        <w:rPr>
          <w:rFonts w:ascii="Arial Narrow" w:eastAsia="Arial Narrow" w:hAnsi="Arial Narrow" w:cs="Arial Narrow"/>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roofErr w:type="spellStart"/>
      <w:r w:rsidRPr="00A83365">
        <w:rPr>
          <w:rFonts w:ascii="Arial Narrow" w:eastAsia="Arial Narrow" w:hAnsi="Arial Narrow" w:cs="Arial Narrow"/>
          <w:sz w:val="16"/>
          <w:szCs w:val="16"/>
        </w:rPr>
        <w:t>ii</w:t>
      </w:r>
      <w:proofErr w:type="spellEnd"/>
      <w:r w:rsidRPr="00A833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e. Publicación de avisos </w:t>
      </w:r>
      <w:proofErr w:type="spellStart"/>
      <w:r w:rsidRPr="00A83365">
        <w:rPr>
          <w:rFonts w:ascii="Arial Narrow" w:eastAsia="Arial Narrow" w:hAnsi="Arial Narrow" w:cs="Arial Narrow"/>
          <w:sz w:val="16"/>
          <w:szCs w:val="16"/>
        </w:rPr>
        <w:t>rectificatorios</w:t>
      </w:r>
      <w:proofErr w:type="spellEnd"/>
      <w:r w:rsidRPr="00A833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505038E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b/>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Narrow"/>
          <w:sz w:val="16"/>
          <w:szCs w:val="16"/>
        </w:rPr>
        <w:t>liminarmente</w:t>
      </w:r>
      <w:proofErr w:type="spellEnd"/>
      <w:r w:rsidRPr="00A833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473F6BC" w14:textId="77777777" w:rsidR="008138F5" w:rsidRPr="00A83365" w:rsidRDefault="008138F5" w:rsidP="00A8336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b/>
          <w:bCs/>
          <w:sz w:val="16"/>
          <w:szCs w:val="16"/>
          <w:vertAlign w:val="superscript"/>
        </w:rPr>
        <w:footnoteRef/>
      </w:r>
      <w:r w:rsidRPr="00A83365">
        <w:rPr>
          <w:rFonts w:ascii="Arial Narrow" w:eastAsia="Arial Narrow" w:hAnsi="Arial Narrow" w:cs="Arial Narrow"/>
          <w:b/>
          <w:bCs/>
          <w:sz w:val="16"/>
          <w:szCs w:val="16"/>
        </w:rPr>
        <w:t xml:space="preserve"/>
      </w:r>
      <w:r w:rsidRPr="00A83365">
        <w:rPr>
          <w:rFonts w:ascii="Arial Narrow" w:eastAsia="Arial Narrow" w:hAnsi="Arial Narrow" w:cs="Arial Narrow"/>
          <w:b/>
          <w:bCs/>
          <w:sz w:val="16"/>
          <w:szCs w:val="16"/>
        </w:rPr>
        <w:tab/>
        <w:t xml:space="preserve">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eastAsia="Arial Narrow" w:hAnsi="Arial Narrow" w:cs="Arial Narrow"/>
          <w:bCs/>
          <w:sz w:val="16"/>
          <w:szCs w:val="16"/>
        </w:rPr>
      </w:pPr>
      <w:r w:rsidRPr="00A83365">
        <w:rPr>
          <w:rFonts w:ascii="Arial Narrow" w:eastAsia="Arial Narrow" w:hAnsi="Arial Narrow" w:cs="Arial Narrow"/>
          <w:b/>
          <w:sz w:val="16"/>
          <w:szCs w:val="16"/>
        </w:rPr>
        <w:t xml:space="preserve">Artículo 29.- </w:t>
      </w:r>
      <w:r w:rsidRPr="00A833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883A083"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20.- Modalidades de notificación</w:t>
      </w:r>
    </w:p>
    <w:p w14:paraId="10B969C5" w14:textId="77777777" w:rsidR="008138F5" w:rsidRPr="00A83365" w:rsidRDefault="008138F5" w:rsidP="00A83365">
      <w:pPr>
        <w:pStyle w:val="Textonotapie"/>
        <w:ind w:left="1134" w:hanging="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20.4. </w:t>
      </w:r>
      <w:r w:rsidRPr="00A833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