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166B2E9"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A2BB8" w:rsidRPr="004A2BB8">
        <w:rPr>
          <w:rFonts w:ascii="Arial Narrow" w:eastAsia="Arial Narrow" w:hAnsi="Arial Narrow" w:cs="Arial Narrow"/>
          <w:b/>
          <w:bCs/>
          <w:color w:val="000000"/>
          <w:kern w:val="0"/>
          <w:sz w:val="22"/>
          <w:szCs w:val="22"/>
          <w:shd w:val="clear" w:color="auto" w:fill="FFFFFF"/>
          <w:lang w:eastAsia="es-PE"/>
          <w14:ligatures w14:val="none"/>
        </w:rPr>
        <w:t>1889-2025</w:t>
      </w:r>
      <w:r w:rsidRPr="004A2BB8">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2DCEEAC9"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1B6A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sidRPr="00DF41D1">
        <w:rPr>
          <w:rFonts w:ascii="Arial Narrow" w:eastAsia="Arial Narrow" w:hAnsi="Arial Narrow" w:cs="Arial Narrow"/>
          <w:b/>
          <w:color w:val="000000"/>
          <w:kern w:val="0"/>
          <w:sz w:val="22"/>
          <w:szCs w:val="22"/>
          <w:lang w:eastAsia="es-PE"/>
          <w14:ligatures w14:val="none"/>
        </w:rPr>
        <w:t>PACÍFICO COMPAÑÍA DE SEGUROS Y REASEGUROS S.A</w:t>
      </w:r>
      <w:r w:rsidR="00DF41D1" w:rsidRPr="008D14DF">
        <w:rPr>
          <w:rFonts w:ascii="Arial Narrow" w:eastAsia="Arial Narrow" w:hAnsi="Arial Narrow" w:cs="Arial Narrow"/>
          <w:b/>
          <w:color w:val="000000"/>
          <w:kern w:val="0"/>
          <w:sz w:val="22"/>
          <w:szCs w:val="22"/>
          <w:lang w:eastAsia="es-PE"/>
          <w14:ligatures w14:val="none"/>
        </w:rPr>
        <w:t xml:space="preserve">. </w:t>
      </w:r>
      <w:r w:rsidRPr="008D14DF">
        <w:rPr>
          <w:rFonts w:ascii="Arial Narrow" w:eastAsia="Arial Narrow" w:hAnsi="Arial Narrow" w:cs="Arial Narrow"/>
          <w:b/>
          <w:color w:val="000000"/>
          <w:kern w:val="0"/>
          <w:sz w:val="22"/>
          <w:szCs w:val="22"/>
          <w:lang w:eastAsia="es-PE"/>
          <w14:ligatures w14:val="none"/>
        </w:rPr>
        <w:t>(</w:t>
      </w:r>
      <w:r w:rsidR="00DF41D1" w:rsidRPr="008D14DF">
        <w:rPr>
          <w:rFonts w:ascii="Arial Narrow" w:eastAsia="Arial Narrow" w:hAnsi="Arial Narrow" w:cs="Arial Narrow"/>
          <w:b/>
          <w:color w:val="000000"/>
          <w:kern w:val="0"/>
          <w:sz w:val="22"/>
          <w:szCs w:val="22"/>
          <w:lang w:eastAsia="es-PE"/>
          <w14:ligatures w14:val="none"/>
        </w:rPr>
        <w:t>PACÍFICO</w:t>
      </w:r>
      <w:r w:rsidRPr="008D14DF">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41FF9C9"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DF41D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391389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D14D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D14DF">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F5BD6A8"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D14DF">
        <w:rPr>
          <w:rFonts w:ascii="Arial Narrow" w:eastAsia="Arial Narrow" w:hAnsi="Arial Narrow" w:cs="Arial Narrow"/>
          <w:color w:val="000000"/>
          <w:kern w:val="0"/>
          <w:sz w:val="22"/>
          <w:szCs w:val="22"/>
          <w:lang w:val="es-ES" w:eastAsia="es-ES"/>
          <w14:ligatures w14:val="none"/>
        </w:rPr>
        <w:t xml:space="preserve">Mediante el escrito del 5 de junio de 2025</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D14DF">
        <w:rPr>
          <w:rFonts w:ascii="Arial Narrow" w:eastAsia="Arial Narrow" w:hAnsi="Arial Narrow" w:cs="Arial Narrow"/>
          <w:color w:val="000000"/>
          <w:kern w:val="0"/>
          <w:sz w:val="22"/>
          <w:szCs w:val="22"/>
          <w:lang w:val="es-ES" w:eastAsia="es-ES"/>
          <w14:ligatures w14:val="none"/>
        </w:rPr>
        <w:t xml:space="preserve">, subsanada mediante escrito del 8 de julio de 2025, el señor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D14D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8D14DF" w:rsidRPr="008D14DF">
        <w:rPr>
          <w:rFonts w:ascii="Arial Narrow" w:eastAsia="Arial Narrow" w:hAnsi="Arial Narrow" w:cs="Arial Narrow"/>
          <w:color w:val="000000"/>
          <w:kern w:val="0"/>
          <w:sz w:val="22"/>
          <w:szCs w:val="22"/>
          <w:lang w:val="es-ES" w:eastAsia="es-ES"/>
          <w14:ligatures w14:val="none"/>
        </w:rPr>
        <w:t/>
      </w:r>
      <w:r w:rsidR="00996DC2"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00996DC2" w:rsidRPr="008D14DF">
        <w:rPr>
          <w:rFonts w:ascii="Arial Narrow" w:eastAsia="Arial Narrow" w:hAnsi="Arial Narrow" w:cs="Arial Narrow"/>
          <w:color w:val="000000"/>
          <w:kern w:val="0"/>
          <w:sz w:val="22"/>
          <w:szCs w:val="22"/>
          <w:lang w:val="es-ES" w:eastAsia="es-ES"/>
          <w14:ligatures w14:val="none"/>
        </w:rPr>
        <w:t/>
      </w:r>
      <w:r w:rsidR="00996DC2"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kern w:val="0"/>
          <w14:ligatures w14:val="none"/>
          <w:sz w:val="22"/>
          <w:szCs w:val="22"/>
        </w:rPr>
        <w:t xml:space="preserve"/>
      </w:r>
      <w:r w:rsidR="008D14DF" w:rsidRPr="008D14DF">
        <w:rPr>
          <w:rFonts w:ascii="Arial Narrow" w:eastAsia="Arial Narrow" w:hAnsi="Arial Narrow" w:cs="Arial Narrow"/>
          <w:kern w:val="0"/>
          <w14:ligatures w14:val="none"/>
          <w:sz w:val="22"/>
          <w:szCs w:val="22"/>
        </w:rPr>
        <w:t xml:space="preserve"/>
      </w:r>
      <w:r w:rsidRPr="008D14DF">
        <w:rPr>
          <w:rFonts w:ascii="Arial Narrow" w:eastAsia="Arial Narrow" w:hAnsi="Arial Narrow" w:cs="Arial Narrow"/>
          <w:kern w:val="0"/>
          <w14:ligatures w14:val="none"/>
          <w:sz w:val="22"/>
          <w:szCs w:val="22"/>
        </w:rPr>
        <w:t/>
      </w:r>
      <w:r w:rsidRPr="008D14DF">
        <w:rPr>
          <w:rFonts w:ascii="Arial Narrow" w:eastAsia="Arial Narrow" w:hAnsi="Arial Narrow" w:cs="Arial Narrow"/>
          <w:color w:val="000000"/>
          <w:kern w:val="0"/>
          <w:sz w:val="22"/>
          <w:szCs w:val="22"/>
          <w:lang w:val="es-ES" w:eastAsia="es-ES"/>
          <w14:ligatures w14:val="none"/>
        </w:rPr>
        <w:t xml:space="preserve"/>
      </w:r>
      <w:r w:rsidR="008D14DF" w:rsidRPr="008D14DF">
        <w:rPr>
          <w:rFonts w:ascii="Arial Narrow" w:eastAsia="Arial Narrow" w:hAnsi="Arial Narrow" w:cs="Arial Narrow"/>
          <w:color w:val="000000"/>
          <w:kern w:val="0"/>
          <w:sz w:val="22"/>
          <w:szCs w:val="22"/>
          <w:lang w:val="es-ES" w:eastAsia="es-ES"/>
          <w14:ligatures w14:val="none"/>
        </w:rPr>
        <w:t xml:space="preserve"/>
      </w:r>
      <w:r w:rsidRPr="008D14D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ED45AC" w14:textId="42287F0D"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Con anterioridad al 4 de abril de 2023, su empleador contrató a su favor el Seguro Vida Ley – Póliza 85099 </w:t>
      </w:r>
      <w:r>
        <w:rPr>
          <w:rFonts w:ascii="Arial Narrow" w:eastAsia="Arial Narrow" w:hAnsi="Arial Narrow" w:cs="Arial Narrow"/>
          <w:color w:val="000000"/>
          <w:kern w:val="0"/>
          <w:sz w:val="22"/>
          <w:szCs w:val="22"/>
          <w:lang w:eastAsia="es-ES"/>
          <w14:ligatures w14:val="none"/>
        </w:rPr>
        <w:t xml:space="preserve">emitido por Pacífico </w:t>
      </w:r>
      <w:r w:rsidRPr="00E97826">
        <w:rPr>
          <w:rFonts w:ascii="Arial Narrow" w:eastAsia="Arial Narrow" w:hAnsi="Arial Narrow" w:cs="Arial Narrow"/>
          <w:color w:val="000000"/>
          <w:kern w:val="0"/>
          <w:sz w:val="22"/>
          <w:szCs w:val="22"/>
          <w:lang w:eastAsia="es-ES"/>
          <w14:ligatures w14:val="none"/>
        </w:rPr>
        <w:t>(en adelante, “Seguro Vida Ley”) con cobertura por invalidez total y permanente</w:t>
      </w:r>
      <w:r>
        <w:rPr>
          <w:rFonts w:ascii="Arial Narrow" w:eastAsia="Arial Narrow" w:hAnsi="Arial Narrow" w:cs="Arial Narrow"/>
          <w:color w:val="000000"/>
          <w:kern w:val="0"/>
          <w:sz w:val="22"/>
          <w:szCs w:val="22"/>
          <w:lang w:eastAsia="es-ES"/>
          <w14:ligatures w14:val="none"/>
        </w:rPr>
        <w:t>.</w:t>
      </w:r>
    </w:p>
    <w:p w14:paraId="720E345B" w14:textId="77777777" w:rsidR="00D04D02" w:rsidRPr="00E97826" w:rsidRDefault="00D04D02" w:rsidP="00D04D0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996B84A"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4 de abril de 2023, sufrió una caída súbita en su domicilio, perdiendo el conocimiento. Fue trasladado de urgencia al Hospital Nacional Guillermo Almenara, donde ingresó inconsciente. La tomografía cerebral detectó un hematoma epidural y un aneurisma cerebral roto en la región frontal derecha. </w:t>
      </w:r>
    </w:p>
    <w:p w14:paraId="799185DF" w14:textId="77777777" w:rsidR="00E97826" w:rsidRPr="00E97826" w:rsidRDefault="00E97826" w:rsidP="00E978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EC9AD14" w14:textId="78AC5F8A"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Desde el 4 de abril de 2023 hasta el 4 de mayo de 2023, permaneció internado en la Unidad de Cuidados Intensivos</w:t>
      </w:r>
      <w:r w:rsidR="00D04D02">
        <w:rPr>
          <w:rFonts w:ascii="Arial Narrow" w:eastAsia="Arial Narrow" w:hAnsi="Arial Narrow" w:cs="Arial Narrow"/>
          <w:color w:val="000000"/>
          <w:kern w:val="0"/>
          <w:sz w:val="22"/>
          <w:szCs w:val="22"/>
          <w:lang w:eastAsia="es-ES"/>
          <w14:ligatures w14:val="none"/>
        </w:rPr>
        <w:t xml:space="preserve"> (en adelante, UCI)</w:t>
      </w:r>
      <w:r w:rsidRPr="00E97826">
        <w:rPr>
          <w:rFonts w:ascii="Arial Narrow" w:eastAsia="Arial Narrow" w:hAnsi="Arial Narrow" w:cs="Arial Narrow"/>
          <w:color w:val="000000"/>
          <w:kern w:val="0"/>
          <w:sz w:val="22"/>
          <w:szCs w:val="22"/>
          <w:lang w:eastAsia="es-ES"/>
          <w14:ligatures w14:val="none"/>
        </w:rPr>
        <w:t xml:space="preserve">. Se le practicaron tres intervenciones quirúrgicas: la primera para colocar clips en el aneurisma, seguida de dos craniectomías descompresivas debido a edema cerebral severo. Al egresar de la UCI, presentaba traqueostomía, sonda nasogástrica, hemiparesia izquierda y pérdida de capacidad de habla. </w:t>
      </w:r>
    </w:p>
    <w:p w14:paraId="2EAA4104"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8D019B"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Del 4 de mayo de 2023 al 25 de mayo de 2023, continuó inconsciente, con traqueostomía, sonda nasogástrica e inmovilidad en las cuatro extremidades. </w:t>
      </w:r>
    </w:p>
    <w:p w14:paraId="0EA9A432"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D0CBD53" w14:textId="5A357122"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El 25 de mayo de 2023, fue trasladado al Hospital Geriátrico San Isidro Labrador</w:t>
      </w:r>
      <w:r w:rsidR="004B4A2D">
        <w:rPr>
          <w:rFonts w:ascii="Arial Narrow" w:eastAsia="Arial Narrow" w:hAnsi="Arial Narrow" w:cs="Arial Narrow"/>
          <w:color w:val="000000"/>
          <w:kern w:val="0"/>
          <w:sz w:val="22"/>
          <w:szCs w:val="22"/>
          <w:lang w:eastAsia="es-ES"/>
          <w14:ligatures w14:val="none"/>
        </w:rPr>
        <w:t xml:space="preserve"> (en adelante, el Hospital)</w:t>
      </w:r>
      <w:r w:rsidRPr="00E97826">
        <w:rPr>
          <w:rFonts w:ascii="Arial Narrow" w:eastAsia="Arial Narrow" w:hAnsi="Arial Narrow" w:cs="Arial Narrow"/>
          <w:color w:val="000000"/>
          <w:kern w:val="0"/>
          <w:sz w:val="22"/>
          <w:szCs w:val="22"/>
          <w:lang w:eastAsia="es-ES"/>
          <w14:ligatures w14:val="none"/>
        </w:rPr>
        <w:t xml:space="preserve"> para rehabilitación física. Presentaba movilidad reducida (desplazamiento en silla de ruedas), desorientación temporal, amnesia reciente, alteración del juicio y dependencia en actividades básicas. </w:t>
      </w:r>
    </w:p>
    <w:p w14:paraId="6B99E4C6"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9EA714D"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De junio a diciembre de 2023, durante su internamiento en San Isidro Labrador, se le diagnosticó epilepsia sintomática con crisis convulsivas tónico-clónicas generalizadas periódicas. Presentó alteración de la marcha, debilidad en el hemicuerpo izquierdo y disminución del campo visual izquierdo. </w:t>
      </w:r>
    </w:p>
    <w:p w14:paraId="38773B17" w14:textId="77777777" w:rsidR="00E97826" w:rsidRPr="00E97826" w:rsidRDefault="00E97826" w:rsidP="00E978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22AE02" w14:textId="77777777" w:rsidR="00E97826" w:rsidRP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En la primera semana de diciembre de 2023, sufrió su primera crisis epiléptica generalizada, por lo que se le prescribió fenitoína. Las crisis persistieron semanalmente. </w:t>
      </w:r>
    </w:p>
    <w:p w14:paraId="05A51CAD" w14:textId="77777777" w:rsidR="00E97826" w:rsidRPr="00E97826" w:rsidRDefault="00E97826" w:rsidP="00E978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A49CC53" w14:textId="01865CCB" w:rsidR="00E97826" w:rsidRDefault="00E97826" w:rsidP="00E978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lastRenderedPageBreak/>
        <w:t xml:space="preserve">Hasta fines de diciembre de 2023, continuó en rehabilitación </w:t>
      </w:r>
      <w:r w:rsidR="004B4A2D">
        <w:rPr>
          <w:rFonts w:ascii="Arial Narrow" w:eastAsia="Arial Narrow" w:hAnsi="Arial Narrow" w:cs="Arial Narrow"/>
          <w:color w:val="000000"/>
          <w:kern w:val="0"/>
          <w:sz w:val="22"/>
          <w:szCs w:val="22"/>
          <w:lang w:eastAsia="es-ES"/>
          <w14:ligatures w14:val="none"/>
        </w:rPr>
        <w:t>el Hospital</w:t>
      </w:r>
      <w:r w:rsidRPr="00E97826">
        <w:rPr>
          <w:rFonts w:ascii="Arial Narrow" w:eastAsia="Arial Narrow" w:hAnsi="Arial Narrow" w:cs="Arial Narrow"/>
          <w:color w:val="000000"/>
          <w:kern w:val="0"/>
          <w:sz w:val="22"/>
          <w:szCs w:val="22"/>
          <w:lang w:eastAsia="es-ES"/>
          <w14:ligatures w14:val="none"/>
        </w:rPr>
        <w:t xml:space="preserve">. Logró recuperación parcial de la marcha, pero con inseguridad, debilidad en extremidades izquierdas y dependencia para actividades cotidianas. </w:t>
      </w:r>
      <w:r w:rsidR="004B4A2D">
        <w:rPr>
          <w:rFonts w:ascii="Arial Narrow" w:eastAsia="Arial Narrow" w:hAnsi="Arial Narrow" w:cs="Arial Narrow"/>
          <w:color w:val="000000"/>
          <w:kern w:val="0"/>
          <w:sz w:val="22"/>
          <w:szCs w:val="22"/>
          <w:lang w:eastAsia="es-ES"/>
          <w14:ligatures w14:val="none"/>
        </w:rPr>
        <w:t xml:space="preserve"> </w:t>
      </w:r>
    </w:p>
    <w:p w14:paraId="44972EA5" w14:textId="77777777" w:rsidR="00842472" w:rsidRPr="00842472" w:rsidRDefault="00842472" w:rsidP="00842472">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24E0B9" w14:textId="218038AA" w:rsidR="00842472" w:rsidRPr="00865E1C" w:rsidRDefault="00842472" w:rsidP="00865E1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 15 de abril de 2024, se emitió e</w:t>
      </w:r>
      <w:r w:rsidRPr="00842472">
        <w:rPr>
          <w:rFonts w:ascii="Arial Narrow" w:eastAsia="Arial Narrow" w:hAnsi="Arial Narrow" w:cs="Arial Narrow"/>
          <w:color w:val="000000"/>
          <w:kern w:val="0"/>
          <w:sz w:val="22"/>
          <w:szCs w:val="22"/>
          <w:lang w:eastAsia="es-ES"/>
          <w14:ligatures w14:val="none"/>
        </w:rPr>
        <w:t xml:space="preserve">l Dictamen de Evaluación y Calificación de la COMAFP </w:t>
      </w:r>
      <w:r w:rsidR="00AD7EAF">
        <w:rPr>
          <w:rFonts w:ascii="Arial Narrow" w:eastAsia="Arial Narrow" w:hAnsi="Arial Narrow" w:cs="Arial Narrow"/>
          <w:color w:val="000000"/>
          <w:kern w:val="0"/>
          <w:sz w:val="22"/>
          <w:szCs w:val="22"/>
          <w:lang w:eastAsia="es-ES"/>
          <w14:ligatures w14:val="none"/>
        </w:rPr>
        <w:t>mediante el cual</w:t>
      </w:r>
      <w:r>
        <w:rPr>
          <w:rFonts w:ascii="Arial Narrow" w:eastAsia="Arial Narrow" w:hAnsi="Arial Narrow" w:cs="Arial Narrow"/>
          <w:color w:val="000000"/>
          <w:kern w:val="0"/>
          <w:sz w:val="22"/>
          <w:szCs w:val="22"/>
          <w:lang w:eastAsia="es-ES"/>
          <w14:ligatures w14:val="none"/>
        </w:rPr>
        <w:t xml:space="preserve"> </w:t>
      </w:r>
      <w:r w:rsidR="00A27E23" w:rsidRPr="00A27E23">
        <w:rPr>
          <w:rFonts w:ascii="Arial Narrow" w:eastAsia="Arial Narrow" w:hAnsi="Arial Narrow" w:cs="Arial Narrow"/>
          <w:color w:val="000000"/>
          <w:kern w:val="0"/>
          <w:sz w:val="22"/>
          <w:szCs w:val="22"/>
          <w:lang w:eastAsia="es-ES"/>
          <w14:ligatures w14:val="none"/>
        </w:rPr>
        <w:t xml:space="preserve">quedó establecido </w:t>
      </w:r>
      <w:r w:rsidR="00A27E23">
        <w:rPr>
          <w:rFonts w:ascii="Arial Narrow" w:eastAsia="Arial Narrow" w:hAnsi="Arial Narrow" w:cs="Arial Narrow"/>
          <w:color w:val="000000"/>
          <w:kern w:val="0"/>
          <w:sz w:val="22"/>
          <w:szCs w:val="22"/>
          <w:lang w:eastAsia="es-ES"/>
          <w14:ligatures w14:val="none"/>
        </w:rPr>
        <w:t>su</w:t>
      </w:r>
      <w:r w:rsidR="00A27E23" w:rsidRPr="00A27E23">
        <w:rPr>
          <w:rFonts w:ascii="Arial Narrow" w:eastAsia="Arial Narrow" w:hAnsi="Arial Narrow" w:cs="Arial Narrow"/>
          <w:color w:val="000000"/>
          <w:kern w:val="0"/>
          <w:sz w:val="22"/>
          <w:szCs w:val="22"/>
          <w:lang w:eastAsia="es-ES"/>
          <w14:ligatures w14:val="none"/>
        </w:rPr>
        <w:t xml:space="preserve"> condición neurológica actual que </w:t>
      </w:r>
      <w:r w:rsidR="00A27E23">
        <w:rPr>
          <w:rFonts w:ascii="Arial Narrow" w:eastAsia="Arial Narrow" w:hAnsi="Arial Narrow" w:cs="Arial Narrow"/>
          <w:color w:val="000000"/>
          <w:kern w:val="0"/>
          <w:sz w:val="22"/>
          <w:szCs w:val="22"/>
          <w:lang w:eastAsia="es-ES"/>
          <w14:ligatures w14:val="none"/>
        </w:rPr>
        <w:t>le</w:t>
      </w:r>
      <w:r w:rsidR="00A27E23" w:rsidRPr="00A27E23">
        <w:rPr>
          <w:rFonts w:ascii="Arial Narrow" w:eastAsia="Arial Narrow" w:hAnsi="Arial Narrow" w:cs="Arial Narrow"/>
          <w:color w:val="000000"/>
          <w:kern w:val="0"/>
          <w:sz w:val="22"/>
          <w:szCs w:val="22"/>
          <w:lang w:eastAsia="es-ES"/>
          <w14:ligatures w14:val="none"/>
        </w:rPr>
        <w:t xml:space="preserve"> inhabilita de forma permanente y total para realizar cualquier trabajo u ocupación</w:t>
      </w:r>
      <w:r w:rsidR="00A27E23">
        <w:rPr>
          <w:rFonts w:ascii="Arial Narrow" w:eastAsia="Arial Narrow" w:hAnsi="Arial Narrow" w:cs="Arial Narrow"/>
          <w:color w:val="000000"/>
          <w:kern w:val="0"/>
          <w:sz w:val="22"/>
          <w:szCs w:val="22"/>
          <w:lang w:eastAsia="es-ES"/>
          <w14:ligatures w14:val="none"/>
        </w:rPr>
        <w:t>.</w:t>
      </w:r>
      <w:r w:rsidR="00865E1C">
        <w:rPr>
          <w:rFonts w:ascii="Arial Narrow" w:eastAsia="Arial Narrow" w:hAnsi="Arial Narrow" w:cs="Arial Narrow"/>
          <w:color w:val="000000"/>
          <w:kern w:val="0"/>
          <w:sz w:val="22"/>
          <w:szCs w:val="22"/>
          <w:lang w:eastAsia="es-ES"/>
          <w14:ligatures w14:val="none"/>
        </w:rPr>
        <w:t xml:space="preserve"> </w:t>
      </w:r>
      <w:r w:rsidRPr="00865E1C">
        <w:rPr>
          <w:rFonts w:ascii="Arial Narrow" w:eastAsia="Arial Narrow" w:hAnsi="Arial Narrow" w:cs="Arial Narrow"/>
          <w:color w:val="000000"/>
          <w:kern w:val="0"/>
          <w:sz w:val="22"/>
          <w:szCs w:val="22"/>
          <w:lang w:eastAsia="es-ES"/>
          <w14:ligatures w14:val="none"/>
        </w:rPr>
        <w:t xml:space="preserve">Posteriormente, solicitó a Pacífico el otorgamiento de cobertura </w:t>
      </w:r>
      <w:r w:rsidR="007E30E4" w:rsidRPr="00865E1C">
        <w:rPr>
          <w:rFonts w:ascii="Arial Narrow" w:eastAsia="Arial Narrow" w:hAnsi="Arial Narrow" w:cs="Arial Narrow"/>
          <w:color w:val="000000"/>
          <w:kern w:val="0"/>
          <w:sz w:val="22"/>
          <w:szCs w:val="22"/>
          <w:lang w:eastAsia="es-ES"/>
          <w14:ligatures w14:val="none"/>
        </w:rPr>
        <w:t>del Seguro Vida Ley.</w:t>
      </w:r>
    </w:p>
    <w:p w14:paraId="176B7BBD" w14:textId="77777777" w:rsidR="00E97826" w:rsidRPr="00CF7547" w:rsidRDefault="00E97826" w:rsidP="00CF754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215E215C" w:rsidR="00CA59A2" w:rsidRPr="00235E2C" w:rsidRDefault="00E97826" w:rsidP="00E978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97826">
        <w:rPr>
          <w:rFonts w:ascii="Arial Narrow" w:eastAsia="Arial Narrow" w:hAnsi="Arial Narrow" w:cs="Arial Narrow"/>
          <w:color w:val="000000"/>
          <w:kern w:val="0"/>
          <w:sz w:val="22"/>
          <w:szCs w:val="22"/>
          <w:lang w:eastAsia="es-ES"/>
          <w14:ligatures w14:val="none"/>
        </w:rPr>
        <w:t xml:space="preserve">El 28 de octubre de 2024, mediante Carta BEN-011024/2024, Pacífico Seguros rechazó el pago de la cobertura por invalidez total y permanente del Seguro Vida Ley, argumentando que no cumplía los supuestos contractuales de invalidez absoluta. </w:t>
      </w:r>
    </w:p>
    <w:p w14:paraId="33E14FF7" w14:textId="77777777" w:rsidR="00CA59A2" w:rsidRPr="00235E2C"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F0A8D2D" w:rsidR="00CA59A2" w:rsidRPr="00235E2C" w:rsidRDefault="008D14DF"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5E2C">
        <w:rPr>
          <w:rFonts w:ascii="Arial Narrow" w:eastAsia="Arial Narrow" w:hAnsi="Arial Narrow" w:cs="Arial Narrow"/>
          <w:kern w:val="0"/>
          <w14:ligatures w14:val="none"/>
          <w:sz w:val="22"/>
          <w:szCs w:val="22"/>
        </w:rPr>
        <w:t xml:space="preserve">El señor [APELLIDO] solicitó, en calidad de medida correctiva, que Pacífico cumpla con: (i) reconocer y activar la cobertura por incapacidad total y permanente conforme a lo establecido en la póliza contratada; y, (ii) otorgar la suma de S/ 53 386,56 por el concepto de 32 remuneraciones mensuales percibidas asegurables.</w:t>
      </w:r>
      <w:r w:rsidR="00CA59A2" w:rsidRPr="00235E2C">
        <w:rPr>
          <w:rFonts w:ascii="Arial Narrow" w:eastAsia="Arial Narrow" w:hAnsi="Arial Narrow" w:cs="Arial Narrow"/>
          <w:color w:val="000000"/>
          <w:kern w:val="0"/>
          <w:sz w:val="22"/>
          <w:szCs w:val="22"/>
          <w:lang w:val="es-ES" w:eastAsia="es-ES"/>
          <w14:ligatures w14:val="none"/>
        </w:rPr>
        <w:t xml:space="preserve"/>
      </w:r>
      <w:r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proofErr w:type="spellStart"/>
      <w:r w:rsidR="002039BC" w:rsidRPr="00235E2C">
        <w:rPr>
          <w:rFonts w:ascii="Arial Narrow" w:eastAsia="Arial Narrow" w:hAnsi="Arial Narrow" w:cs="Arial Narrow"/>
          <w:color w:val="000000"/>
          <w:kern w:val="0"/>
          <w:sz w:val="22"/>
          <w:szCs w:val="22"/>
          <w:lang w:val="es-ES" w:eastAsia="es-ES"/>
          <w14:ligatures w14:val="none"/>
        </w:rPr>
        <w:t/>
      </w:r>
      <w:proofErr w:type="spellEnd"/>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xml:space="preserve"/>
      </w:r>
      <w:r w:rsidR="000E5B15" w:rsidRPr="00235E2C">
        <w:rPr>
          <w:rFonts w:ascii="Arial Narrow" w:eastAsia="Arial Narrow" w:hAnsi="Arial Narrow" w:cs="Arial Narrow"/>
          <w:color w:val="000000"/>
          <w:kern w:val="0"/>
          <w:sz w:val="22"/>
          <w:szCs w:val="22"/>
          <w:lang w:val="es-ES" w:eastAsia="es-ES"/>
          <w14:ligatures w14:val="none"/>
        </w:rPr>
        <w:t/>
      </w:r>
      <w:r w:rsidR="002039BC" w:rsidRPr="00235E2C">
        <w:rPr>
          <w:rFonts w:ascii="Arial Narrow" w:eastAsia="Arial Narrow" w:hAnsi="Arial Narrow" w:cs="Arial Narrow"/>
          <w:color w:val="000000"/>
          <w:kern w:val="0"/>
          <w:sz w:val="22"/>
          <w:szCs w:val="22"/>
          <w:lang w:val="es-ES" w:eastAsia="es-ES"/>
          <w14:ligatures w14:val="none"/>
        </w:rPr>
        <w:t/>
      </w:r>
      <w:r w:rsidR="000E5B15" w:rsidRPr="00235E2C">
        <w:rPr>
          <w:rFonts w:ascii="Arial Narrow" w:eastAsia="Arial Narrow" w:hAnsi="Arial Narrow" w:cs="Arial Narrow"/>
          <w:color w:val="000000"/>
          <w:kern w:val="0"/>
          <w:sz w:val="22"/>
          <w:szCs w:val="22"/>
          <w:lang w:val="es-ES" w:eastAsia="es-ES"/>
          <w14:ligatures w14:val="none"/>
        </w:rPr>
        <w:t/>
      </w:r>
      <w:r w:rsidR="00235E2C" w:rsidRPr="00235E2C">
        <w:rPr>
          <w:rFonts w:ascii="Arial Narrow" w:eastAsia="Arial Narrow" w:hAnsi="Arial Narrow" w:cs="Arial Narrow"/>
          <w:color w:val="000000"/>
          <w:kern w:val="0"/>
          <w:sz w:val="22"/>
          <w:szCs w:val="22"/>
          <w:lang w:val="es-ES" w:eastAsia="es-ES"/>
          <w14:ligatures w14:val="none"/>
        </w:rPr>
        <w:t xml:space="preserve"/>
      </w:r>
      <w:r w:rsidR="00CA59A2" w:rsidRPr="00235E2C">
        <w:rPr>
          <w:rFonts w:ascii="Arial Narrow" w:eastAsia="Arial Narrow" w:hAnsi="Arial Narrow" w:cs="Arial Narrow"/>
          <w:color w:val="000000"/>
          <w:kern w:val="0"/>
          <w:sz w:val="22"/>
          <w:szCs w:val="22"/>
          <w:lang w:val="es-ES" w:eastAsia="es-ES"/>
          <w14:ligatures w14:val="none"/>
        </w:rPr>
        <w:t/>
      </w:r>
    </w:p>
    <w:p w14:paraId="66005174" w14:textId="77777777" w:rsidR="00CA59A2" w:rsidRPr="00235E2C"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5E2C"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5E2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5E2C"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32038D6" w14:textId="215A9C9F" w:rsidR="00CA59A2" w:rsidRPr="0011069C" w:rsidRDefault="00CA59A2" w:rsidP="001D652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1" w:name="_Hlk140755208"/>
      <w:bookmarkStart w:id="2" w:name="_Hlk155945813"/>
      <w:bookmarkStart w:id="3" w:name="_Hlk155944687"/>
      <w:r w:rsidRPr="00235E2C">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35E2C">
        <w:rPr>
          <w:rStyle w:val="Refdenotaalpie"/>
          <w:rFonts w:ascii="Arial Narrow" w:eastAsia="Arial Narrow" w:hAnsi="Arial Narrow" w:cs="Arial Narrow"/>
          <w:kern w:val="0"/>
          <w:sz w:val="22"/>
          <w:szCs w:val="22"/>
          <w:vertAlign w:val="superscript"/>
          <w14:ligatures w14:val="none"/>
        </w:rPr>
        <w:footnoteReference w:id="3"/>
      </w:r>
      <w:r w:rsidRPr="00235E2C">
        <w:rPr>
          <w:rFonts w:ascii="Arial Narrow" w:eastAsia="Arial Narrow" w:hAnsi="Arial Narrow" w:cs="Arial Narrow"/>
          <w:color w:val="000000"/>
          <w:kern w:val="0"/>
          <w:sz w:val="22"/>
          <w:szCs w:val="22"/>
          <w:lang w:eastAsia="es-PE"/>
          <w14:ligatures w14:val="none"/>
        </w:rPr>
        <w:t xml:space="preserve">, </w:t>
      </w:r>
      <w:r w:rsidR="00121544" w:rsidRPr="00235E2C">
        <w:rPr>
          <w:rFonts w:ascii="Arial Narrow" w:eastAsia="Arial Narrow" w:hAnsi="Arial Narrow" w:cs="Arial Narrow"/>
          <w:color w:val="000000"/>
          <w:kern w:val="0"/>
          <w:sz w:val="22"/>
          <w:szCs w:val="22"/>
          <w:lang w:eastAsia="es-PE"/>
          <w14:ligatures w14:val="none"/>
        </w:rPr>
        <w:t>considera</w:t>
      </w:r>
      <w:r w:rsidR="00121544"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kern w:val="0"/>
          <w14:ligatures w14:val="none"/>
          <w:sz w:val="22"/>
          <w:szCs w:val="22"/>
        </w:rPr>
        <w:t xml:space="preserve">que el hecho denunciado, consistente en que </w:t>
      </w:r>
      <w:r w:rsidR="00031495" w:rsidRPr="00031495">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Vida Ley – Póliza </w:t>
      </w:r>
      <w:proofErr w:type="spellStart"/>
      <w:r w:rsidR="00031495" w:rsidRPr="00031495">
        <w:rPr>
          <w:rFonts w:ascii="Arial Narrow" w:eastAsia="Arial Narrow" w:hAnsi="Arial Narrow" w:cs="Arial Narrow"/>
          <w:kern w:val="0"/>
          <w:sz w:val="22"/>
          <w:szCs w:val="22"/>
          <w:shd w:val="clear" w:color="auto" w:fill="FFFFFF"/>
          <w:lang w:eastAsia="es-PE"/>
          <w14:ligatures w14:val="none"/>
        </w:rPr>
        <w:t/>
      </w:r>
      <w:proofErr w:type="spellEnd"/>
      <w:r w:rsidR="00031495" w:rsidRPr="00031495">
        <w:rPr>
          <w:rFonts w:ascii="Arial Narrow" w:eastAsia="Arial Narrow" w:hAnsi="Arial Narrow" w:cs="Arial Narrow"/>
          <w:kern w:val="0"/>
          <w:sz w:val="22"/>
          <w:szCs w:val="22"/>
          <w:shd w:val="clear" w:color="auto" w:fill="FFFFFF"/>
          <w:lang w:eastAsia="es-PE"/>
          <w14:ligatures w14:val="none"/>
        </w:rPr>
        <w:t xml:space="preserve"> 85099 por la invalidez total y permanente que padecía</w:t>
      </w:r>
      <w:r w:rsidR="00711750" w:rsidRPr="0011069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y 19</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14:ligatures w14:val="none"/>
          <w:sz w:val="22"/>
          <w:szCs w:val="22"/>
        </w:rPr>
        <w:t xml:space="preserve"> del Código</w:t>
      </w:r>
      <w:r w:rsidR="00711750" w:rsidRPr="0011069C">
        <w:rPr>
          <w:rStyle w:val="Refdenotaalpie"/>
          <w:rFonts w:ascii="Arial Narrow" w:eastAsia="Arial Narrow" w:hAnsi="Arial Narrow" w:cs="Arial Narrow"/>
          <w:kern w:val="0"/>
          <w:sz w:val="22"/>
          <w:szCs w:val="22"/>
          <w:vertAlign w:val="superscript"/>
          <w14:ligatures w14:val="none"/>
        </w:rPr>
        <w:footnoteReference w:id="4"/>
      </w:r>
      <w:r w:rsidR="00711750" w:rsidRPr="0011069C">
        <w:rPr>
          <w:rFonts w:ascii="Arial Narrow" w:eastAsia="Arial Narrow" w:hAnsi="Arial Narrow" w:cs="Arial Narrow"/>
          <w:kern w:val="0"/>
          <w14:ligatures w14:val="none"/>
          <w:sz w:val="22"/>
          <w:szCs w:val="22"/>
        </w:rPr>
        <w:t>.</w:t>
      </w: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A9133FF"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0970DF">
        <w:rPr>
          <w:rFonts w:ascii="Arial Narrow" w:eastAsia="Arial Narrow" w:hAnsi="Arial Narrow" w:cs="Arial Narrow"/>
          <w:color w:val="000000"/>
          <w:kern w:val="0"/>
          <w:sz w:val="22"/>
          <w:szCs w:val="22"/>
          <w:lang w:val="es-ES" w:eastAsia="es-ES"/>
          <w14:ligatures w14:val="none"/>
        </w:rPr>
        <w:t xml:space="preserve">conviene requerir </w:t>
      </w:r>
      <w:r w:rsidR="000970DF" w:rsidRPr="000970DF">
        <w:rPr>
          <w:rFonts w:ascii="Arial Narrow" w:eastAsia="Arial Narrow" w:hAnsi="Arial Narrow" w:cs="Arial Narrow"/>
          <w:color w:val="000000"/>
          <w:kern w:val="0"/>
          <w:sz w:val="22"/>
          <w:szCs w:val="22"/>
          <w:lang w:val="es-ES" w:eastAsia="es-ES"/>
          <w14:ligatures w14:val="none"/>
        </w:rPr>
        <w:t xml:space="preserve">a la compañía aseguradora </w:t>
      </w:r>
      <w:r w:rsidRPr="000970DF">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s contado a partir del día siguiente de la notificación de la presente resolución, cumpla con lo siguiente</w:t>
      </w:r>
      <w:r w:rsidRPr="001D6522">
        <w:rPr>
          <w:rFonts w:ascii="Arial Narrow" w:eastAsia="Arial Narrow" w:hAnsi="Arial Narrow" w:cs="Arial Narrow"/>
          <w:color w:val="000000"/>
          <w:kern w:val="0"/>
          <w:sz w:val="22"/>
          <w:szCs w:val="22"/>
          <w:lang w:val="es-ES" w:eastAsia="es-ES"/>
          <w14:ligatures w14:val="none"/>
        </w:rPr>
        <w:t xml:space="preserve">: </w:t>
      </w:r>
      <w:r w:rsidR="0092056F" w:rsidRPr="0092056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
      </w:r>
      <w:proofErr w:type="spellEnd"/>
      <w:r w:rsidR="0092056F" w:rsidRPr="0092056F">
        <w:rPr>
          <w:rFonts w:ascii="Arial Narrow" w:eastAsia="Arial Narrow" w:hAnsi="Arial Narrow" w:cs="Arial Narrow"/>
          <w:color w:val="000000"/>
          <w:kern w:val="0"/>
          <w:sz w:val="22"/>
          <w:szCs w:val="22"/>
          <w:lang w:val="es-ES" w:eastAsia="es-ES"/>
          <w14:ligatures w14:val="none"/>
        </w:rPr>
        <w:t xml:space="preserve"> 85099 del Seguro Vida Ley, así como el cargo de remisión de la póliza; (</w:t>
      </w:r>
      <w:proofErr w:type="spellStart"/>
      <w:r w:rsidR="0092056F" w:rsidRPr="0092056F">
        <w:rPr>
          <w:rFonts w:ascii="Arial Narrow" w:eastAsia="Arial Narrow" w:hAnsi="Arial Narrow" w:cs="Arial Narrow"/>
          <w:color w:val="000000"/>
          <w:kern w:val="0"/>
          <w:sz w:val="22"/>
          <w:szCs w:val="22"/>
          <w:lang w:val="es-ES" w:eastAsia="es-ES"/>
          <w14:ligatures w14:val="none"/>
        </w:rPr>
        <w:t>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92056F" w:rsidRPr="0092056F">
        <w:rPr>
          <w:rFonts w:ascii="Arial Narrow" w:eastAsia="Arial Narrow" w:hAnsi="Arial Narrow" w:cs="Arial Narrow"/>
          <w:color w:val="000000"/>
          <w:kern w:val="0"/>
          <w:sz w:val="22"/>
          <w:szCs w:val="22"/>
          <w:lang w:val="es-ES" w:eastAsia="es-ES"/>
          <w14:ligatures w14:val="none"/>
        </w:rPr>
        <w:t>iii</w:t>
      </w:r>
      <w:proofErr w:type="spellEnd"/>
      <w:r w:rsidR="0092056F" w:rsidRPr="0092056F">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1D65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77E33436" w:rsidR="00121544" w:rsidRPr="0011069C" w:rsidRDefault="00CA59A2" w:rsidP="001106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junio de 2025, subsanada mediante escrito del 8 de julio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Vida Ley – Póliza 85099 por la invalidez total y permanente que padecía.</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2298" w:rsidRPr="00752298">
        <w:rPr>
          <w:rFonts w:ascii="Arial Narrow" w:eastAsia="Arial Narrow" w:hAnsi="Arial Narrow" w:cs="Arial Narrow"/>
          <w:color w:val="000000"/>
          <w:kern w:val="0"/>
          <w:sz w:val="22"/>
          <w:szCs w:val="22"/>
          <w:shd w:val="clear" w:color="auto" w:fill="FFFFFF"/>
          <w:lang w:eastAsia="es-PE"/>
          <w14:ligatures w14:val="none"/>
        </w:rPr>
        <w:t/>
      </w:r>
      <w:r w:rsidR="00752298">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000970DF"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B7278E" w:rsidRPr="00F4320E">
        <w:rPr>
          <w:rFonts w:ascii="Arial Narrow" w:eastAsia="Arial Narrow" w:hAnsi="Arial Narrow" w:cs="Arial Narrow"/>
          <w:sz w:val="22"/>
          <w:szCs w:val="22"/>
        </w:rPr>
        <w:t/>
      </w:r>
      <w:r w:rsidRPr="00F4320E">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4320E">
        <w:rPr>
          <w:rFonts w:ascii="Arial Narrow" w:eastAsia="Arial Narrow" w:hAnsi="Arial Narrow" w:cs="Arial Narrow"/>
          <w:color w:val="000000"/>
          <w:kern w:val="0"/>
          <w:sz w:val="22"/>
          <w:szCs w:val="22"/>
          <w:shd w:val="clear" w:color="auto" w:fill="FFFFFF"/>
          <w:lang w:eastAsia="es-PE"/>
          <w14:ligatures w14:val="none"/>
        </w:rPr>
        <w:t/>
      </w:r>
      <w:r w:rsidR="0011069C">
        <w:rPr>
          <w:rFonts w:ascii="Arial Narrow" w:eastAsia="Arial Narrow" w:hAnsi="Arial Narrow" w:cs="Arial Narrow"/>
          <w:color w:val="000000"/>
          <w:kern w:val="0"/>
          <w:sz w:val="22"/>
          <w:szCs w:val="22"/>
          <w:shd w:val="clear" w:color="auto" w:fill="FFFFFF"/>
          <w:lang w:eastAsia="es-PE"/>
          <w14:ligatures w14:val="none"/>
        </w:rPr>
        <w:t xml:space="preserve"/>
      </w:r>
      <w:r w:rsid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color w:val="000000"/>
          <w:kern w:val="0"/>
          <w:sz w:val="22"/>
          <w:szCs w:val="22"/>
          <w:lang w:eastAsia="es-PE"/>
          <w14:ligatures w14:val="none"/>
        </w:rPr>
        <w:t/>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711750" w:rsidRPr="0011069C">
        <w:rPr>
          <w:rFonts w:ascii="Arial Narrow" w:eastAsia="Arial Narrow" w:hAnsi="Arial Narrow" w:cs="Arial Narrow"/>
          <w:kern w:val="0"/>
          <w:sz w:val="22"/>
          <w:szCs w:val="22"/>
          <w:lang w:eastAsia="es-PE"/>
          <w14:ligatures w14:val="none"/>
        </w:rPr>
        <w:t xml:space="preserve"/>
      </w:r>
      <w:r w:rsidR="00711750" w:rsidRPr="0011069C">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1D6522" w:rsidRPr="00031495">
        <w:rPr>
          <w:rFonts w:ascii="Arial Narrow" w:eastAsia="Arial Narrow" w:hAnsi="Arial Narrow" w:cs="Arial Narrow"/>
          <w:kern w:val="0"/>
          <w:sz w:val="22"/>
          <w:szCs w:val="22"/>
          <w:shd w:val="clear" w:color="auto" w:fill="FFFFFF"/>
          <w:lang w:eastAsia="es-PE"/>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711750" w:rsidRPr="00031495">
        <w:rPr>
          <w:rFonts w:ascii="Arial Narrow" w:eastAsia="Arial Narrow" w:hAnsi="Arial Narrow" w:cs="Arial Narrow"/>
          <w:kern w:val="0"/>
          <w:sz w:val="22"/>
          <w:szCs w:val="22"/>
          <w:shd w:val="clear" w:color="auto" w:fill="FFFFFF"/>
          <w:lang w:eastAsia="es-PE"/>
          <w14:ligatures w14:val="none"/>
        </w:rPr>
        <w:t xml:space="preserve"/>
      </w:r>
      <w:r w:rsidR="00F4320E" w:rsidRPr="00031495">
        <w:rPr>
          <w:rFonts w:ascii="Arial Narrow" w:eastAsia="Arial Narrow" w:hAnsi="Arial Narrow" w:cs="Arial Narrow"/>
          <w:color w:val="000000"/>
          <w:kern w:val="0"/>
          <w:sz w:val="22"/>
          <w:szCs w:val="22"/>
          <w:lang w:eastAsia="es-ES"/>
          <w14:ligatures w14:val="none"/>
        </w:rPr>
        <w:t xml:space="preserve"/>
      </w:r>
      <w:r w:rsidR="00621201" w:rsidRPr="00031495">
        <w:rPr>
          <w:rFonts w:ascii="Arial Narrow" w:eastAsia="Arial Narrow" w:hAnsi="Arial Narrow" w:cs="Arial Narrow"/>
          <w:kern w:val="0"/>
          <w:sz w:val="22"/>
          <w:szCs w:val="22"/>
          <w:shd w:val="clear" w:color="auto" w:fill="FFFFFF"/>
          <w:lang w:eastAsia="es-PE"/>
          <w14:ligatures w14:val="none"/>
        </w:rPr>
        <w:t xml:space="preserve"/>
      </w:r>
      <w:r w:rsidR="00031495" w:rsidRPr="00031495">
        <w:rPr>
          <w:rFonts w:ascii="Arial Narrow" w:eastAsia="Arial Narrow" w:hAnsi="Arial Narrow" w:cs="Arial Narrow"/>
          <w:kern w:val="0"/>
          <w:sz w:val="22"/>
          <w:szCs w:val="22"/>
          <w:shd w:val="clear" w:color="auto" w:fill="FFFFFF"/>
          <w:lang w:eastAsia="es-PE"/>
          <w14:ligatures w14:val="none"/>
        </w:rPr>
        <w:t/>
      </w:r>
      <w:r w:rsidR="00621201">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0B5536F4"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2298" w:rsidRPr="00752298">
        <w:rPr>
          <w:rFonts w:ascii="Arial Narrow" w:eastAsia="Arial Narrow" w:hAnsi="Arial Narrow" w:cs="Arial Narrow"/>
          <w:color w:val="000000"/>
          <w:kern w:val="0"/>
          <w:sz w:val="22"/>
          <w:szCs w:val="22"/>
          <w:lang w:val="es-ES" w:eastAsia="es-ES"/>
          <w14:ligatures w14:val="none"/>
        </w:rPr>
        <w:t xml:space="preserve">5 de junio de 2025, subsanada mediante escrito del 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726339C"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7278E" w:rsidRPr="00B7278E">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junio de 2025, subsanada mediante escrito del 8 de julio de 2025 a Pacífico Compañía de Seguros y Reaseguros S.A. para que, de conformidad con lo dispuesto por el artículo 26 de la Ley sobre Facultades, Normas y Organización del Indecopi, aprobada por Decreto Legislativo 807</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D14D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F7B03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[APELLIDO]: requerir que, en un plazo no mayor de cinco (5) días hábiles contado a partir del día siguiente de la notificación de la presente resolución, el proveedor denunciado cumpla con: (i) presentar una copia completa, legible y debidamente suscrita de la Póliza 85099 del Seguro Vida Ley, así como el cargo de remisión de la póliza; (ii) presentar los medios probatorios que acrediten que el rechazo fue justificado; y, (iii) presentar todas las comunicaciones cursadas con la parte denunciante en virtud del hecho materia de denuncia.</w:t>
      </w:r>
      <w:bookmarkStart w:id="4"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4"/>
      <w:r w:rsidRPr="0026598E">
        <w:rPr>
          <w:rFonts w:ascii="Arial Narrow" w:eastAsia="Arial Narrow" w:hAnsi="Arial Narrow" w:cs="Arial Narrow"/>
          <w:color w:val="000000"/>
          <w:kern w:val="0"/>
          <w:sz w:val="22"/>
          <w:szCs w:val="22"/>
          <w:lang w:eastAsia="es-ES"/>
          <w14:ligatures w14:val="none"/>
        </w:rPr>
        <w:t xml:space="preserve"/>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5"/>
      <w:r w:rsidRPr="0026598E">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val="es-ES" w:eastAsia="es-ES"/>
          <w14:ligatures w14:val="none"/>
        </w:rPr>
        <w:t xml:space="preserve"/>
      </w:r>
      <w:r w:rsidR="001D6522" w:rsidRPr="001D6522">
        <w:rPr>
          <w:rFonts w:ascii="Arial Narrow" w:eastAsia="Arial Narrow" w:hAnsi="Arial Narrow" w:cs="Arial Narrow"/>
          <w:color w:val="000000"/>
          <w:kern w:val="0"/>
          <w:sz w:val="22"/>
          <w:szCs w:val="22"/>
          <w:lang w:eastAsia="es-ES"/>
          <w14:ligatures w14:val="none"/>
        </w:rPr>
        <w:t/>
      </w:r>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proofErr w:type="spellStart"/>
      <w:r w:rsidR="001D6522" w:rsidRPr="001D6522">
        <w:rPr>
          <w:rFonts w:ascii="Arial Narrow" w:eastAsia="Arial Narrow" w:hAnsi="Arial Narrow" w:cs="Arial Narrow"/>
          <w:color w:val="000000"/>
          <w:kern w:val="0"/>
          <w:sz w:val="22"/>
          <w:szCs w:val="22"/>
          <w:lang w:val="es-ES" w:eastAsia="es-ES"/>
          <w14:ligatures w14:val="none"/>
        </w:rPr>
        <w:t/>
      </w:r>
      <w:proofErr w:type="spellEnd"/>
      <w:r w:rsidR="001D6522" w:rsidRPr="001D652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0A1F032"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70DF">
        <w:rPr>
          <w:rFonts w:ascii="Arial Narrow" w:eastAsia="Arial Narrow" w:hAnsi="Arial Narrow" w:cs="Arial Narrow"/>
          <w:spacing w:val="-3"/>
          <w:kern w:val="0"/>
          <w14:ligatures w14:val="none"/>
          <w:sz w:val="22"/>
          <w:szCs w:val="22"/>
        </w:rPr>
        <w:t/>
      </w:r>
      <w:r w:rsidR="000970DF" w:rsidRPr="000970DF">
        <w:rPr>
          <w:rFonts w:ascii="Arial Narrow" w:eastAsia="Arial Narrow" w:hAnsi="Arial Narrow" w:cs="Arial Narrow"/>
          <w:spacing w:val="-3"/>
          <w:kern w:val="0"/>
          <w14:ligatures w14:val="none"/>
          <w:sz w:val="22"/>
          <w:szCs w:val="22"/>
        </w:rPr>
        <w:t/>
      </w:r>
      <w:r w:rsidRPr="000970DF">
        <w:rPr>
          <w:rFonts w:ascii="Arial Narrow" w:eastAsia="Arial Narrow" w:hAnsi="Arial Narrow" w:cs="Arial Narrow"/>
          <w:spacing w:val="-3"/>
          <w:kern w:val="0"/>
          <w14:ligatures w14:val="none"/>
          <w:sz w:val="22"/>
          <w:szCs w:val="22"/>
        </w:rPr>
        <w:t xml:space="preserve"/>
      </w:r>
      <w:r w:rsidR="00FB6235">
        <w:rPr>
          <w:rFonts w:ascii="Arial Narrow" w:eastAsia="Arial Narrow" w:hAnsi="Arial Narrow" w:cs="Arial Narrow"/>
          <w:color w:val="000000"/>
          <w:kern w:val="0"/>
          <w:sz w:val="22"/>
          <w:szCs w:val="22"/>
          <w:shd w:val="clear" w:color="auto" w:fill="FFFFFF"/>
          <w:lang w:eastAsia="es-PE"/>
          <w14:ligatures w14:val="none"/>
        </w:rPr>
        <w:t/>
      </w:r>
      <w:r w:rsidR="000970DF" w:rsidRPr="000970DF">
        <w:rPr>
          <w:rFonts w:ascii="Arial Narrow" w:eastAsia="Arial Narrow" w:hAnsi="Arial Narrow" w:cs="Arial Narrow"/>
          <w:color w:val="000000"/>
          <w:kern w:val="0"/>
          <w:sz w:val="22"/>
          <w:szCs w:val="22"/>
          <w:shd w:val="clear" w:color="auto" w:fill="FFFFFF"/>
          <w:lang w:eastAsia="es-PE"/>
          <w14:ligatures w14:val="none"/>
        </w:rPr>
        <w:t xml:space="preserve"/>
      </w:r>
      <w:r w:rsidRPr="000970D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083D8417" w14:textId="5D76C4FA" w:rsidR="00CA59A2" w:rsidRPr="0021384F" w:rsidRDefault="00CA59A2" w:rsidP="00CA59A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B7278E" w:rsidRPr="00B7278E">
        <w:rPr>
          <w:rFonts w:ascii="Arial Narrow" w:eastAsia="Arial Narrow" w:hAnsi="Arial Narrow" w:cs="Arial Narrow"/>
          <w:sz w:val="22"/>
          <w:szCs w:val="22"/>
        </w:rPr>
        <w:t>Pacífico Compañía de Seguros y Reaseguros S.A</w:t>
      </w:r>
      <w:r w:rsidRPr="00B7278E">
        <w:rPr>
          <w:rFonts w:ascii="Arial Narrow" w:eastAsia="Arial Narrow" w:hAnsi="Arial Narrow" w:cs="Arial Narrow"/>
          <w:sz w:val="22"/>
          <w:szCs w:val="22"/>
        </w:rPr>
        <w:t xml:space="preserve">. </w:t>
      </w:r>
      <w:r w:rsidRPr="00B7278E">
        <w:rPr>
          <w:rFonts w:ascii="Arial Narrow" w:eastAsia="Arial Narrow" w:hAnsi="Arial Narrow" w:cs="Arial Narrow"/>
          <w:sz w:val="22"/>
          <w:szCs w:val="22"/>
          <w:shd w:val="clear" w:color="auto" w:fill="FFFFFF"/>
        </w:rPr>
        <w:t xml:space="preserve">para que </w:t>
      </w:r>
      <w:r w:rsidRPr="00B7278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375C384E" w14:textId="77777777" w:rsidR="00CA59A2"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7CA5FCAE" w14:textId="77777777" w:rsidR="00AC737B"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9C3BDAF" w14:textId="77777777" w:rsidR="00AC737B" w:rsidRPr="0026598E" w:rsidRDefault="00AC737B"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03817B30" w:rsidR="001B5674" w:rsidRPr="00AC737B" w:rsidRDefault="0058044E" w:rsidP="00AC737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AC737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126CFFC" w14:textId="77777777" w:rsidR="003B5501" w:rsidRDefault="003B5501" w:rsidP="00DA79A0">
      <w:pPr>
        <w:spacing w:after="0" w:line="240" w:lineRule="auto"/>
      </w:pPr>
      <w:r>
        <w:separator/>
      </w:r>
    </w:p>
  </w:endnote>
  <w:endnote w:type="continuationSeparator" w:id="0">
    <w:p w14:paraId="60A205EB" w14:textId="77777777" w:rsidR="003B5501" w:rsidRDefault="003B55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9B0EE09" w14:textId="77777777" w:rsidR="003B5501" w:rsidRDefault="003B5501" w:rsidP="00DA79A0">
      <w:pPr>
        <w:spacing w:after="0" w:line="240" w:lineRule="auto"/>
      </w:pPr>
      <w:r>
        <w:separator/>
      </w:r>
    </w:p>
  </w:footnote>
  <w:footnote w:type="continuationSeparator" w:id="0">
    <w:p w14:paraId="1624E31A" w14:textId="77777777" w:rsidR="003B5501" w:rsidRDefault="003B5501" w:rsidP="00DA79A0">
      <w:pPr>
        <w:spacing w:after="0" w:line="240" w:lineRule="auto"/>
      </w:pPr>
      <w:r>
        <w:continuationSeparator/>
      </w:r>
    </w:p>
  </w:footnote>
  <w:footnote w:id="1">
    <w:p w14:paraId="27D3983E" w14:textId="00EF652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tab/>
        <w:t xml:space="preserve">Denuncia remitida a esta Comisión mediante MEMORANDUM </w:t>
      </w:r>
      <w:r w:rsidR="00FC1C87" w:rsidRPr="00AC737B">
        <w:rPr>
          <w:rFonts w:ascii="Arial Narrow" w:eastAsia="Arial Narrow" w:hAnsi="Arial Narrow" w:cs="Arial Narrow"/>
          <w:sz w:val="16"/>
          <w:szCs w:val="16"/>
        </w:rPr>
        <w:t xml:space="preserve">001724-2025-PS1/INDECOPI </w:t>
      </w:r>
      <w:r w:rsidRPr="00AC737B">
        <w:rPr>
          <w:rFonts w:ascii="Arial Narrow" w:eastAsia="Arial Narrow" w:hAnsi="Arial Narrow" w:cs="Arial Narrow"/>
          <w:sz w:val="16"/>
          <w:szCs w:val="16"/>
        </w:rPr>
        <w:t xml:space="preserve">de fecha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 xml:space="preserve">, </w:t>
      </w:r>
      <w:proofErr w:type="spellStart"/>
      <w:r w:rsidRPr="00AC737B">
        <w:rPr>
          <w:rFonts w:ascii="Arial Narrow" w:eastAsia="Arial Narrow" w:hAnsi="Arial Narrow" w:cs="Arial Narrow"/>
          <w:sz w:val="16"/>
          <w:szCs w:val="16"/>
        </w:rPr>
        <w:t xml:space="preserve">recibida</w:t>
      </w:r>
      <w:proofErr w:type="spellEnd"/>
      <w:r w:rsidRPr="00AC737B">
        <w:rPr>
          <w:rFonts w:ascii="Arial Narrow" w:eastAsia="Arial Narrow" w:hAnsi="Arial Narrow" w:cs="Arial Narrow"/>
          <w:sz w:val="16"/>
          <w:szCs w:val="16"/>
        </w:rPr>
        <w:t xml:space="preserve"> el </w:t>
      </w:r>
      <w:r w:rsidR="00FC1C87" w:rsidRPr="00AC737B">
        <w:rPr>
          <w:rFonts w:ascii="Arial Narrow" w:eastAsia="Arial Narrow" w:hAnsi="Arial Narrow" w:cs="Arial Narrow"/>
          <w:sz w:val="16"/>
          <w:szCs w:val="16"/>
        </w:rPr>
        <w:t xml:space="preserve">8 de agosto de 2025</w:t>
      </w:r>
      <w:r w:rsidRPr="00AC737B">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tab/>
        <w:t>Publicado</w:t>
      </w:r>
      <w:r w:rsidRPr="00AC737B">
        <w:rPr>
          <w:rFonts w:ascii="Arial Narrow" w:eastAsia="Arial Narrow" w:hAnsi="Arial Narrow" w:cs="Arial Narrow"/>
          <w:b/>
          <w:sz w:val="16"/>
          <w:szCs w:val="16"/>
        </w:rPr>
        <w:t xml:space="preserve"> </w:t>
      </w:r>
      <w:r w:rsidRPr="00AC737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b/>
        <w:t>Artículo 105.- Autoridad competente.</w:t>
      </w:r>
    </w:p>
    <w:p w14:paraId="7C7DEEBE"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04590F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ab/>
        <w:t>Artículo 27.-</w:t>
      </w:r>
      <w:r w:rsidRPr="00AC737B">
        <w:rPr>
          <w:rFonts w:ascii="Arial Narrow" w:eastAsia="Arial Narrow" w:hAnsi="Arial Narrow" w:cs="Arial Narrow"/>
          <w:sz w:val="16"/>
          <w:szCs w:val="16"/>
        </w:rPr>
        <w:t xml:space="preserve"> De la Comisión de Protección al Consumidor.- </w:t>
      </w:r>
    </w:p>
    <w:p w14:paraId="5B348423"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C737B"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C737B" w:rsidRDefault="00711750" w:rsidP="00711750">
      <w:pPr>
        <w:pStyle w:val="Textonotapie"/>
        <w:ind w:left="567" w:right="-1"/>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 xml:space="preserve">Artículo 18.- Idoneidad </w:t>
      </w:r>
    </w:p>
    <w:p w14:paraId="478C8B3B"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b/>
          <w:bCs/>
          <w:sz w:val="16"/>
          <w:szCs w:val="16"/>
        </w:rPr>
        <w:t xml:space="preserve">Artículo 19.- Obligación de los proveedores </w:t>
      </w:r>
    </w:p>
    <w:p w14:paraId="21160F25" w14:textId="77777777" w:rsidR="00711750" w:rsidRPr="00AC737B" w:rsidRDefault="00711750" w:rsidP="00711750">
      <w:pPr>
        <w:pStyle w:val="Textonotapie"/>
        <w:ind w:left="567" w:right="-1"/>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LEY SOBRE FACULTADES, NORMAS Y ORGANIZACIÓN DEL INDECOPI, APROBADA POR DECRETO LEGISLATIVO 807 Artículo 24.-</w:t>
      </w:r>
      <w:r w:rsidRPr="00AC737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t>
      </w:r>
    </w:p>
    <w:p w14:paraId="7B2AB955"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C737B"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C737B">
        <w:rPr>
          <w:rFonts w:ascii="Arial Narrow" w:eastAsia="Arial Narrow" w:hAnsi="Arial Narrow" w:cs="Arial Narrow"/>
          <w:sz w:val="16"/>
          <w:szCs w:val="16"/>
        </w:rPr>
        <w:t/>
      </w:r>
      <w:proofErr w:type="spellEnd"/>
      <w:r w:rsidRPr="00AC737B">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D8A2F03" w14:textId="77777777" w:rsidR="00CA59A2" w:rsidRPr="00AC737B" w:rsidRDefault="00CA59A2" w:rsidP="00CA59A2">
      <w:pPr>
        <w:pStyle w:val="Textonotapie"/>
        <w:ind w:left="567" w:hanging="567"/>
        <w:jc w:val="both"/>
        <w:rPr>
          <w:rFonts w:ascii="Arial Narrow" w:eastAsia="Arial Narrow" w:hAnsi="Arial Narrow" w:cs="Arial Narrow"/>
          <w:b/>
          <w:bCs/>
          <w:sz w:val="16"/>
          <w:szCs w:val="16"/>
        </w:rPr>
      </w:pPr>
      <w:r w:rsidRPr="00AC737B">
        <w:rPr>
          <w:rFonts w:ascii="Arial Narrow" w:eastAsia="Arial Narrow" w:hAnsi="Arial Narrow" w:cs="Arial Narrow"/>
          <w:sz w:val="16"/>
          <w:szCs w:val="16"/>
        </w:rPr>
        <w:tab/>
      </w:r>
      <w:r w:rsidRPr="00AC737B">
        <w:rPr>
          <w:rFonts w:ascii="Arial Narrow" w:eastAsia="Arial Narrow" w:hAnsi="Arial Narrow" w:cs="Arial Narrow"/>
          <w:b/>
          <w:bCs/>
          <w:sz w:val="16"/>
          <w:szCs w:val="16"/>
        </w:rPr>
        <w:t>Artículo 110.- Sanciones Administrativas</w:t>
      </w:r>
    </w:p>
    <w:p w14:paraId="693A834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14:paraId="04CBC22B"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C737B"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C737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C737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vertAlign w:val="superscript"/>
        </w:rPr>
        <w:t xml:space="preserve"/>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4BC9BF8D" w14:textId="77777777" w:rsidR="00CA59A2" w:rsidRPr="00AC737B" w:rsidRDefault="00CA59A2" w:rsidP="00CA59A2">
      <w:pPr>
        <w:spacing w:after="0" w:line="240" w:lineRule="auto"/>
        <w:ind w:left="567" w:hanging="567"/>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110.- Sanciones administrativas</w:t>
      </w:r>
    </w:p>
    <w:p w14:paraId="15C6524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leves, con una amonestación o con una multa de hasta cincuenta (50) UIT.</w:t>
      </w:r>
    </w:p>
    <w:p w14:paraId="3EC7469A"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graves, con una multa de hasta ciento cincuenta (150) UIT.</w:t>
      </w:r>
    </w:p>
    <w:p w14:paraId="7DEC6213" w14:textId="77777777" w:rsidR="00CA59A2" w:rsidRPr="00AC737B"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AC737B">
        <w:rPr>
          <w:rFonts w:ascii="Arial Narrow" w:eastAsia="Arial Narrow" w:hAnsi="Arial Narrow" w:cs="Arial Narrow"/>
          <w:sz w:val="16"/>
          <w:szCs w:val="16"/>
        </w:rPr>
        <w:t>Infracciones muy graves, con una multa de hasta cuatrocientos cincuenta (450) UIT.</w:t>
      </w:r>
    </w:p>
    <w:p w14:paraId="707B74D3"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C737B"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C737B"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
      </w:r>
      <w:r w:rsidRPr="00AC737B">
        <w:rPr>
          <w:rFonts w:ascii="Arial Narrow" w:eastAsia="Arial Narrow" w:hAnsi="Arial Narrow" w:cs="Arial Narrow"/>
          <w:b/>
          <w:sz w:val="16"/>
          <w:szCs w:val="16"/>
        </w:rPr>
        <w:t>Artículo 114.- Medidas correctivas</w:t>
      </w:r>
    </w:p>
    <w:p w14:paraId="1B3B1F6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C737B" w:rsidRDefault="00CA59A2" w:rsidP="00CA59A2">
      <w:pPr>
        <w:spacing w:after="0" w:line="240" w:lineRule="auto"/>
        <w:ind w:left="567" w:hanging="567"/>
        <w:jc w:val="both"/>
        <w:rPr>
          <w:rFonts w:ascii="Arial Narrow" w:eastAsia="Arial Narrow" w:hAnsi="Arial Narrow" w:cs="Arial Narrow"/>
          <w:sz w:val="16"/>
          <w:szCs w:val="16"/>
        </w:rPr>
      </w:pPr>
      <w:r w:rsidRPr="00AC737B">
        <w:rPr>
          <w:rFonts w:ascii="Arial Narrow" w:eastAsia="Arial Narrow" w:hAnsi="Arial Narrow" w:cs="Arial Narrow"/>
          <w:b/>
          <w:sz w:val="16"/>
          <w:szCs w:val="16"/>
        </w:rPr>
        <w:tab/>
        <w:t>Artículo 115.- Medidas correctivas reparadoras</w:t>
      </w:r>
    </w:p>
    <w:p w14:paraId="0A0E4012" w14:textId="77777777" w:rsidR="00CA59A2" w:rsidRPr="00AC737B" w:rsidRDefault="00CA59A2" w:rsidP="00CA59A2">
      <w:pPr>
        <w:spacing w:after="0" w:line="240" w:lineRule="auto"/>
        <w:ind w:left="567" w:hanging="283"/>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Reparar productos.</w:t>
      </w:r>
    </w:p>
    <w:p w14:paraId="64B5280D"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C737B"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AC737B">
        <w:rPr>
          <w:rFonts w:ascii="Arial Narrow" w:eastAsia="Arial Narrow" w:hAnsi="Arial Narrow" w:cs="Arial Narrow"/>
          <w:sz w:val="16"/>
          <w:szCs w:val="16"/>
        </w:rPr>
        <w:t>Otras medidas reparadoras análogas de efectos equivalentes a las anteriores.</w:t>
      </w:r>
    </w:p>
    <w:p w14:paraId="764F3361" w14:textId="77777777" w:rsidR="00CA59A2" w:rsidRPr="00AC737B" w:rsidRDefault="00CA59A2" w:rsidP="00CA59A2">
      <w:pPr>
        <w:pStyle w:val="Sinespaciad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C737B" w:rsidRDefault="00CA59A2" w:rsidP="00CA59A2">
      <w:pPr>
        <w:spacing w:after="0" w:line="240" w:lineRule="auto"/>
        <w:ind w:left="567"/>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116.- Medidas correctivas complementarias</w:t>
      </w:r>
    </w:p>
    <w:p w14:paraId="795BD0E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d. En caso de infracciones muy graves y de reincidencia o </w:t>
      </w:r>
      <w:proofErr w:type="spellStart"/>
      <w:r w:rsidRPr="00AC737B">
        <w:rPr>
          <w:rFonts w:ascii="Arial Narrow" w:eastAsia="Arial Narrow" w:hAnsi="Arial Narrow" w:cs="Arial Narrow"/>
          <w:sz w:val="16"/>
          <w:szCs w:val="16"/>
        </w:rPr>
        <w:t>reiterancia</w:t>
      </w:r>
      <w:proofErr w:type="spellEnd"/>
      <w:r w:rsidRPr="00AC737B">
        <w:rPr>
          <w:rFonts w:ascii="Arial Narrow" w:eastAsia="Arial Narrow" w:hAnsi="Arial Narrow" w:cs="Arial Narrow"/>
          <w:sz w:val="16"/>
          <w:szCs w:val="16"/>
        </w:rPr>
        <w:t xml:space="preserve">: </w:t>
      </w:r>
    </w:p>
    <w:p w14:paraId="700F1C70"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w:t>
      </w:r>
      <w:proofErr w:type="spellStart"/>
      <w:r w:rsidRPr="00AC737B">
        <w:rPr>
          <w:rFonts w:ascii="Arial Narrow" w:eastAsia="Arial Narrow" w:hAnsi="Arial Narrow" w:cs="Arial Narrow"/>
          <w:sz w:val="16"/>
          <w:szCs w:val="16"/>
        </w:rPr>
        <w:t>ii</w:t>
      </w:r>
      <w:proofErr w:type="spellEnd"/>
      <w:r w:rsidRPr="00AC737B">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e. Publicación de avisos </w:t>
      </w:r>
      <w:proofErr w:type="spellStart"/>
      <w:r w:rsidRPr="00AC737B">
        <w:rPr>
          <w:rFonts w:ascii="Arial Narrow" w:eastAsia="Arial Narrow" w:hAnsi="Arial Narrow" w:cs="Arial Narrow"/>
          <w:sz w:val="16"/>
          <w:szCs w:val="16"/>
        </w:rPr>
        <w:t>rectificatorios</w:t>
      </w:r>
      <w:proofErr w:type="spellEnd"/>
      <w:r w:rsidRPr="00AC737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C737B" w:rsidRDefault="00CA59A2" w:rsidP="00CA59A2">
      <w:pPr>
        <w:spacing w:after="0" w:line="240" w:lineRule="auto"/>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LEY 29571, CÓDIGO DE PROTECCIÓN Y DEFENSA DEL CONSUMIDOR</w:t>
      </w:r>
      <w:r w:rsidRPr="00AC737B">
        <w:rPr>
          <w:rFonts w:ascii="Arial Narrow" w:eastAsia="Arial Narrow" w:hAnsi="Arial Narrow" w:cs="Arial Narrow"/>
          <w:b/>
          <w:bCs/>
          <w:sz w:val="16"/>
          <w:szCs w:val="16"/>
        </w:rPr>
        <w:t xml:space="preserve">, </w:t>
      </w:r>
      <w:r w:rsidRPr="00AC737B">
        <w:rPr>
          <w:rFonts w:ascii="Arial Narrow" w:eastAsia="Arial Narrow" w:hAnsi="Arial Narrow" w:cs="Arial Narrow"/>
          <w:b/>
          <w:sz w:val="16"/>
          <w:szCs w:val="16"/>
        </w:rPr>
        <w:t>publicado el 2 de setiembre de 2010 y modificado por Decreto Legislativo 1308</w:t>
      </w:r>
    </w:p>
    <w:p w14:paraId="6927EAA2" w14:textId="77777777" w:rsidR="00CA59A2" w:rsidRPr="00AC737B" w:rsidRDefault="00CA59A2" w:rsidP="00CA59A2">
      <w:pPr>
        <w:pStyle w:val="Textonotapie"/>
        <w:tabs>
          <w:tab w:val="left" w:pos="567"/>
        </w:tabs>
        <w:jc w:val="both"/>
        <w:rPr>
          <w:rFonts w:ascii="Arial Narrow" w:eastAsia="Arial Narrow" w:hAnsi="Arial Narrow" w:cs="Arial Narrow"/>
          <w:b/>
          <w:sz w:val="16"/>
          <w:szCs w:val="16"/>
        </w:rPr>
      </w:pPr>
      <w:r w:rsidRPr="00AC737B">
        <w:rPr>
          <w:rFonts w:ascii="Arial Narrow" w:eastAsia="Arial Narrow" w:hAnsi="Arial Narrow" w:cs="Arial Narrow"/>
          <w:b/>
          <w:sz w:val="16"/>
          <w:szCs w:val="16"/>
        </w:rPr>
        <w:tab/>
        <w:t>Artículo 112.- Criterios de graduación de las sanciones administrativas</w:t>
      </w:r>
    </w:p>
    <w:p w14:paraId="3B612D08"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1A09602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Se consideran circunstancias atenuantes especiales, las siguientes:</w:t>
      </w:r>
    </w:p>
    <w:p w14:paraId="74B98BC1" w14:textId="77777777" w:rsidR="00CA59A2" w:rsidRPr="00AC737B" w:rsidRDefault="00CA59A2" w:rsidP="00CA59A2">
      <w:pPr>
        <w:pStyle w:val="Textonotapie"/>
        <w:tabs>
          <w:tab w:val="left" w:pos="567"/>
        </w:tabs>
        <w:jc w:val="both"/>
        <w:rPr>
          <w:rFonts w:ascii="Arial Narrow" w:eastAsia="Arial Narrow" w:hAnsi="Arial Narrow" w:cs="Arial Narrow"/>
          <w:sz w:val="16"/>
          <w:szCs w:val="16"/>
        </w:rPr>
      </w:pPr>
      <w:r w:rsidRPr="00AC737B">
        <w:rPr>
          <w:rFonts w:ascii="Arial Narrow" w:eastAsia="Arial Narrow" w:hAnsi="Arial Narrow" w:cs="Arial Narrow"/>
          <w:sz w:val="16"/>
          <w:szCs w:val="16"/>
        </w:rPr>
        <w:tab/>
        <w:t>(…)</w:t>
      </w:r>
    </w:p>
    <w:p w14:paraId="0D336D0B" w14:textId="77777777" w:rsidR="00CA59A2" w:rsidRPr="00AC737B" w:rsidRDefault="00CA59A2" w:rsidP="00CA59A2">
      <w:pPr>
        <w:pStyle w:val="Textonotapie"/>
        <w:tabs>
          <w:tab w:val="left" w:pos="567"/>
        </w:tabs>
        <w:ind w:left="567"/>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C737B">
        <w:rPr>
          <w:rFonts w:ascii="Arial Narrow" w:eastAsia="Arial Narrow" w:hAnsi="Arial Narrow" w:cs="Arial Narrow"/>
          <w:sz w:val="16"/>
          <w:szCs w:val="16"/>
        </w:rPr>
        <w:t>liminarmente</w:t>
      </w:r>
      <w:proofErr w:type="spellEnd"/>
      <w:r w:rsidRPr="00AC737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C737B"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C737B">
        <w:rPr>
          <w:rStyle w:val="Refdenotaalpie"/>
          <w:rFonts w:ascii="Arial Narrow" w:eastAsia="Arial Narrow" w:hAnsi="Arial Narrow" w:cs="Arial Narrow"/>
          <w:b/>
          <w:bCs/>
          <w:sz w:val="16"/>
          <w:szCs w:val="16"/>
          <w:vertAlign w:val="superscript"/>
        </w:rPr>
        <w:footnoteRef/>
      </w:r>
      <w:r w:rsidRPr="00AC737B">
        <w:rPr>
          <w:rFonts w:ascii="Arial Narrow" w:eastAsia="Arial Narrow" w:hAnsi="Arial Narrow" w:cs="Arial Narrow"/>
          <w:b/>
          <w:bCs/>
          <w:sz w:val="16"/>
          <w:szCs w:val="16"/>
        </w:rPr>
        <w:t xml:space="preserve"/>
      </w:r>
      <w:r w:rsidRPr="00AC737B">
        <w:rPr>
          <w:rFonts w:ascii="Arial Narrow" w:eastAsia="Arial Narrow" w:hAnsi="Arial Narrow" w:cs="Arial Narrow"/>
          <w:b/>
          <w:bCs/>
          <w:sz w:val="16"/>
          <w:szCs w:val="16"/>
        </w:rPr>
        <w:tab/>
        <w:t xml:space="preserve">DECRETO LEGISLATIVO </w:t>
      </w:r>
      <w:proofErr w:type="spellStart"/>
      <w:r w:rsidRPr="00AC737B">
        <w:rPr>
          <w:rFonts w:ascii="Arial Narrow" w:eastAsia="Arial Narrow" w:hAnsi="Arial Narrow" w:cs="Arial Narrow"/>
          <w:b/>
          <w:bCs/>
          <w:sz w:val="16"/>
          <w:szCs w:val="16"/>
        </w:rPr>
        <w:t/>
      </w:r>
      <w:proofErr w:type="spellEnd"/>
      <w:r w:rsidRPr="00AC737B">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C737B" w:rsidRDefault="00CA59A2" w:rsidP="00CA59A2">
      <w:pPr>
        <w:pStyle w:val="NormalWeb"/>
        <w:spacing w:after="0" w:line="240" w:lineRule="auto"/>
        <w:ind w:left="567"/>
        <w:jc w:val="both"/>
        <w:rPr>
          <w:rFonts w:ascii="Arial Narrow" w:eastAsia="Arial Narrow" w:hAnsi="Arial Narrow" w:cs="Arial Narrow"/>
          <w:bCs/>
          <w:sz w:val="16"/>
          <w:szCs w:val="16"/>
        </w:rPr>
      </w:pPr>
      <w:r w:rsidRPr="00AC737B">
        <w:rPr>
          <w:rFonts w:ascii="Arial Narrow" w:eastAsia="Arial Narrow" w:hAnsi="Arial Narrow" w:cs="Arial Narrow"/>
          <w:b/>
          <w:sz w:val="16"/>
          <w:szCs w:val="16"/>
        </w:rPr>
        <w:t xml:space="preserve">Artículo 29.- </w:t>
      </w:r>
      <w:r w:rsidRPr="00AC737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C737B" w:rsidRDefault="00CA59A2" w:rsidP="00CA59A2">
      <w:pPr>
        <w:pStyle w:val="Textonotapie"/>
        <w:tabs>
          <w:tab w:val="left" w:pos="567"/>
        </w:tabs>
        <w:ind w:left="567" w:hanging="567"/>
        <w:jc w:val="both"/>
        <w:rPr>
          <w:rFonts w:ascii="Arial Narrow" w:eastAsia="Arial Narrow" w:hAnsi="Arial Narrow" w:cs="Arial Narrow"/>
          <w:sz w:val="16"/>
          <w:szCs w:val="16"/>
        </w:rPr>
      </w:pPr>
      <w:r w:rsidRPr="00AC737B">
        <w:rPr>
          <w:rStyle w:val="Refdenotaalpie"/>
          <w:rFonts w:ascii="Arial Narrow" w:eastAsia="Arial Narrow" w:hAnsi="Arial Narrow" w:cs="Arial Narrow"/>
          <w:sz w:val="16"/>
          <w:szCs w:val="16"/>
          <w:vertAlign w:val="superscript"/>
        </w:rPr>
        <w:footnoteRef/>
      </w:r>
      <w:r w:rsidRPr="00AC737B">
        <w:rPr>
          <w:rFonts w:ascii="Arial Narrow" w:eastAsia="Arial Narrow" w:hAnsi="Arial Narrow" w:cs="Arial Narrow"/>
          <w:sz w:val="16"/>
          <w:szCs w:val="16"/>
        </w:rPr>
        <w:t xml:space="preserve"/>
      </w:r>
      <w:r w:rsidRPr="00AC737B">
        <w:rPr>
          <w:rFonts w:ascii="Arial Narrow" w:eastAsia="Arial Narrow" w:hAnsi="Arial Narrow" w:cs="Arial Narrow"/>
          <w:sz w:val="16"/>
          <w:szCs w:val="16"/>
        </w:rPr>
      </w:r>
      <w:r w:rsidRPr="00AC737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C737B" w:rsidRDefault="00CA59A2" w:rsidP="00CA59A2">
      <w:pPr>
        <w:pStyle w:val="Textonotapie"/>
        <w:ind w:left="1134"/>
        <w:jc w:val="both"/>
        <w:rPr>
          <w:rFonts w:ascii="Arial Narrow" w:eastAsia="Arial Narrow" w:hAnsi="Arial Narrow" w:cs="Arial Narrow"/>
          <w:b/>
          <w:bCs/>
          <w:sz w:val="16"/>
          <w:szCs w:val="16"/>
        </w:rPr>
      </w:pPr>
      <w:r w:rsidRPr="00AC737B">
        <w:rPr>
          <w:rFonts w:ascii="Arial Narrow" w:eastAsia="Arial Narrow" w:hAnsi="Arial Narrow" w:cs="Arial Narrow"/>
          <w:b/>
          <w:bCs/>
          <w:sz w:val="16"/>
          <w:szCs w:val="16"/>
        </w:rPr>
        <w:t>Artículo 20.- Modalidades de notificación</w:t>
      </w:r>
    </w:p>
    <w:p w14:paraId="23580398" w14:textId="77777777" w:rsidR="00CA59A2" w:rsidRPr="00AC737B" w:rsidRDefault="00CA59A2" w:rsidP="00CA59A2">
      <w:pPr>
        <w:pStyle w:val="Textonotapie"/>
        <w:ind w:left="1134" w:hanging="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20.4. </w:t>
      </w:r>
      <w:r w:rsidRPr="00AC737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C737B" w:rsidRDefault="00CA59A2" w:rsidP="00CA59A2">
      <w:pPr>
        <w:pStyle w:val="Textonotapie"/>
        <w:ind w:left="1134"/>
        <w:jc w:val="both"/>
        <w:rPr>
          <w:rFonts w:ascii="Arial Narrow" w:eastAsia="Arial Narrow" w:hAnsi="Arial Narrow" w:cs="Arial Narrow"/>
          <w:sz w:val="16"/>
          <w:szCs w:val="16"/>
        </w:rPr>
      </w:pPr>
      <w:r w:rsidRPr="00AC737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495"/>
    <w:rsid w:val="0008134D"/>
    <w:rsid w:val="000970DF"/>
    <w:rsid w:val="000A2C5A"/>
    <w:rsid w:val="000C03E0"/>
    <w:rsid w:val="000D0811"/>
    <w:rsid w:val="000E5B15"/>
    <w:rsid w:val="0011069C"/>
    <w:rsid w:val="00121544"/>
    <w:rsid w:val="001B5674"/>
    <w:rsid w:val="001B6FB2"/>
    <w:rsid w:val="001D3F79"/>
    <w:rsid w:val="001D6522"/>
    <w:rsid w:val="001F2535"/>
    <w:rsid w:val="002039BC"/>
    <w:rsid w:val="00235E2C"/>
    <w:rsid w:val="00290C55"/>
    <w:rsid w:val="002B0771"/>
    <w:rsid w:val="002B1807"/>
    <w:rsid w:val="002B2DF7"/>
    <w:rsid w:val="003748FB"/>
    <w:rsid w:val="003B5501"/>
    <w:rsid w:val="004A2BB8"/>
    <w:rsid w:val="004B4A2D"/>
    <w:rsid w:val="0058044E"/>
    <w:rsid w:val="00597694"/>
    <w:rsid w:val="005D7A26"/>
    <w:rsid w:val="00621201"/>
    <w:rsid w:val="00626395"/>
    <w:rsid w:val="00711750"/>
    <w:rsid w:val="00752298"/>
    <w:rsid w:val="007755FA"/>
    <w:rsid w:val="00775625"/>
    <w:rsid w:val="007D4721"/>
    <w:rsid w:val="007E30E4"/>
    <w:rsid w:val="007F61D4"/>
    <w:rsid w:val="0083186C"/>
    <w:rsid w:val="00842472"/>
    <w:rsid w:val="00865E1C"/>
    <w:rsid w:val="008834B0"/>
    <w:rsid w:val="00890B1F"/>
    <w:rsid w:val="0089579A"/>
    <w:rsid w:val="008D14DF"/>
    <w:rsid w:val="008E746F"/>
    <w:rsid w:val="0092056F"/>
    <w:rsid w:val="00987623"/>
    <w:rsid w:val="00996DC2"/>
    <w:rsid w:val="009D2900"/>
    <w:rsid w:val="009D7D45"/>
    <w:rsid w:val="00A27E23"/>
    <w:rsid w:val="00A37879"/>
    <w:rsid w:val="00A84194"/>
    <w:rsid w:val="00A87B9B"/>
    <w:rsid w:val="00AA1996"/>
    <w:rsid w:val="00AC634C"/>
    <w:rsid w:val="00AC737B"/>
    <w:rsid w:val="00AD7EAF"/>
    <w:rsid w:val="00AE2D20"/>
    <w:rsid w:val="00B0029B"/>
    <w:rsid w:val="00B7278E"/>
    <w:rsid w:val="00B906B1"/>
    <w:rsid w:val="00B91E42"/>
    <w:rsid w:val="00BD2086"/>
    <w:rsid w:val="00BD7737"/>
    <w:rsid w:val="00C56FC4"/>
    <w:rsid w:val="00CA59A2"/>
    <w:rsid w:val="00CD0C8E"/>
    <w:rsid w:val="00CD62B5"/>
    <w:rsid w:val="00CF7547"/>
    <w:rsid w:val="00D04D02"/>
    <w:rsid w:val="00DA02A5"/>
    <w:rsid w:val="00DA79A0"/>
    <w:rsid w:val="00DB6197"/>
    <w:rsid w:val="00DF41D1"/>
    <w:rsid w:val="00E6140E"/>
    <w:rsid w:val="00E97826"/>
    <w:rsid w:val="00ED4B2D"/>
    <w:rsid w:val="00EE3204"/>
    <w:rsid w:val="00F4320E"/>
    <w:rsid w:val="00FB6235"/>
    <w:rsid w:val="00FC1C8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21201"/>
    <w:rPr>
      <w:sz w:val="16"/>
      <w:szCs w:val="16"/>
    </w:rPr>
  </w:style>
  <w:style w:type="paragraph" w:styleId="Textocomentario">
    <w:name w:val="annotation text"/>
    <w:basedOn w:val="Normal"/>
    <w:link w:val="TextocomentarioCar"/>
    <w:uiPriority w:val="99"/>
    <w:unhideWhenUsed/>
    <w:rsid w:val="00621201"/>
    <w:pPr>
      <w:spacing w:line="240" w:lineRule="auto"/>
    </w:pPr>
    <w:rPr>
      <w:sz w:val="20"/>
      <w:szCs w:val="20"/>
    </w:rPr>
  </w:style>
  <w:style w:type="character" w:customStyle="1" w:styleId="TextocomentarioCar">
    <w:name w:val="Texto comentario Car"/>
    <w:basedOn w:val="Fuentedeprrafopredeter"/>
    <w:link w:val="Textocomentario"/>
    <w:uiPriority w:val="99"/>
    <w:rsid w:val="00621201"/>
    <w:rPr>
      <w:sz w:val="20"/>
      <w:szCs w:val="20"/>
    </w:rPr>
  </w:style>
  <w:style w:type="paragraph" w:styleId="Asuntodelcomentario">
    <w:name w:val="annotation subject"/>
    <w:basedOn w:val="Textocomentario"/>
    <w:next w:val="Textocomentario"/>
    <w:link w:val="AsuntodelcomentarioCar"/>
    <w:uiPriority w:val="99"/>
    <w:semiHidden/>
    <w:unhideWhenUsed/>
    <w:rsid w:val="00621201"/>
    <w:rPr>
      <w:b/>
      <w:bCs/>
    </w:rPr>
  </w:style>
  <w:style w:type="character" w:customStyle="1" w:styleId="AsuntodelcomentarioCar">
    <w:name w:val="Asunto del comentario Car"/>
    <w:basedOn w:val="TextocomentarioCar"/>
    <w:link w:val="Asuntodelcomentario"/>
    <w:uiPriority w:val="99"/>
    <w:semiHidden/>
    <w:rsid w:val="0062120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6</Pages>
  <Words>1756</Words>
  <Characters>9661</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2025-09-11T21:07:00Z</dcterms:modified>
</cp:coreProperties>
</file>