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8FA832" w:rsidR="00CA59A2" w:rsidRPr="0026598E" w:rsidRDefault="00CA59A2" w:rsidP="00596F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bCs/>
          <w:color w:val="000000"/>
          <w:kern w:val="0"/>
          <w:sz w:val="22"/>
          <w:szCs w:val="22"/>
          <w:shd w:val="clear" w:color="auto" w:fill="FFFFFF"/>
          <w:lang w:eastAsia="es-PE"/>
          <w14:ligatures w14:val="none"/>
        </w:rPr>
        <w:t>2366-2025</w:t>
      </w:r>
      <w:r w:rsidRPr="007A265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DENUNCIADO</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MAPFRE PERÚ COMPAÑÍA DE SEGUROS Y REASEGUROS S.A. (MAPFRE</w:t>
      </w:r>
      <w:r w:rsidRPr="007A265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RESOLUCIÓN </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265E">
        <w:rPr>
          <w:rFonts w:ascii="Arial Narrow" w:eastAsia="Arial Narrow" w:hAnsi="Arial Narrow" w:cs="Arial Narrow"/>
          <w:color w:val="000000"/>
          <w:kern w:val="0"/>
          <w:sz w:val="22"/>
          <w:szCs w:val="22"/>
          <w:shd w:val="clear" w:color="auto" w:fill="FFFFFF"/>
          <w:lang w:eastAsia="es-PE"/>
          <w14:ligatures w14:val="none"/>
        </w:rPr>
        <w:t xml:space="preserve">Lima, </w:t>
      </w:r>
      <w:r w:rsidR="00D416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Pr="007A26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C0267">
        <w:rPr>
          <w:rFonts w:ascii="Arial Narrow" w:eastAsia="Arial Narrow" w:hAnsi="Arial Narrow" w:cs="Arial Narrow"/>
          <w:color w:val="000000"/>
          <w:kern w:val="0"/>
          <w:sz w:val="22"/>
          <w:szCs w:val="22"/>
          <w:lang w:val="es-ES" w:eastAsia="es-ES"/>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96DC2"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kern w:val="0"/>
          <w14:ligatures w14:val="none"/>
          <w:sz w:val="22"/>
          <w:szCs w:val="22"/>
        </w:rPr>
        <w:t xml:space="preserve"/>
      </w:r>
      <w:r w:rsidR="007A265E" w:rsidRPr="007A265E">
        <w:rPr>
          <w:rFonts w:ascii="Arial Narrow" w:eastAsia="Arial Narrow" w:hAnsi="Arial Narrow" w:cs="Arial Narrow"/>
          <w:kern w:val="0"/>
          <w14:ligatures w14:val="none"/>
          <w:sz w:val="22"/>
          <w:szCs w:val="22"/>
        </w:rPr>
        <w:t xml:space="preserve"/>
      </w:r>
      <w:r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color w:val="000000"/>
          <w:kern w:val="0"/>
          <w:sz w:val="22"/>
          <w:szCs w:val="22"/>
          <w:lang w:val="es-ES" w:eastAsia="es-ES"/>
          <w14:ligatures w14:val="none"/>
        </w:rPr>
        <w:t xml:space="preserve"/>
      </w:r>
      <w:r w:rsidR="007A265E" w:rsidRPr="007A265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184E17A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96F6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56BB28DA"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38237D6E" w:rsidRPr="184E17A1">
        <w:rPr>
          <w:rFonts w:ascii="Arial Narrow" w:eastAsia="Arial Narrow" w:hAnsi="Arial Narrow" w:cs="Arial Narrow"/>
          <w:color w:val="000000" w:themeColor="text1"/>
          <w:sz w:val="22"/>
          <w:szCs w:val="22"/>
          <w:lang w:eastAsia="es-ES"/>
        </w:rPr>
        <w:t/>
      </w:r>
      <w:r w:rsidR="11FDF73E"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xml:space="preserve"/>
      </w:r>
    </w:p>
    <w:p w14:paraId="10A4FC06" w14:textId="03FDEBCC" w:rsidR="00CA59A2" w:rsidRPr="0026598E" w:rsidRDefault="00CA59A2" w:rsidP="00596F6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rPr>
        <w:t xml:space="preserve">El accidente de tránsito consistió en una colisión con el vehículo </w:t>
      </w:r>
      <w:r w:rsidR="25DD1C88" w:rsidRPr="184E17A1">
        <w:rPr>
          <w:rFonts w:ascii="Arial Narrow" w:eastAsia="Arial Narrow" w:hAnsi="Arial Narrow" w:cs="Arial Narrow"/>
          <w:color w:val="000000" w:themeColor="text1"/>
          <w:sz w:val="22"/>
          <w:szCs w:val="22"/>
          <w:lang w:eastAsia="es-ES"/>
        </w:rPr>
        <w:t xml:space="preserve">con Placa de Rodaje C6L-898, conducido por Julio Medardo Cuenca, el cual contaba con SOAT emitido por </w:t>
      </w:r>
      <w:r w:rsidR="4CDFE768" w:rsidRPr="184E17A1">
        <w:rPr>
          <w:rFonts w:ascii="Arial Narrow" w:eastAsia="Arial Narrow" w:hAnsi="Arial Narrow" w:cs="Arial Narrow"/>
          <w:color w:val="000000" w:themeColor="text1"/>
          <w:sz w:val="22"/>
          <w:szCs w:val="22"/>
          <w:lang w:val="es-ES" w:eastAsia="es-ES"/>
        </w:rPr>
        <w:t>Mapfre.</w:t>
      </w:r>
      <w:r w:rsidR="25DD1C88" w:rsidRPr="184E17A1">
        <w:rPr>
          <w:rFonts w:ascii="Arial Narrow" w:eastAsia="Arial Narrow" w:hAnsi="Arial Narrow" w:cs="Arial Narrow"/>
          <w:color w:val="000000" w:themeColor="text1"/>
          <w:sz w:val="22"/>
          <w:szCs w:val="22"/>
          <w:lang w:eastAsia="es-ES"/>
        </w:rPr>
        <w:t xml:space="preserve"> </w:t>
      </w:r>
    </w:p>
    <w:p w14:paraId="0715257B" w14:textId="67D53BCD" w:rsidR="00CA59A2" w:rsidRPr="0026598E" w:rsidRDefault="00CA59A2" w:rsidP="00596F6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E8D">
        <w:rPr>
          <w:rFonts w:ascii="Arial Narrow" w:eastAsia="Arial Narrow" w:hAnsi="Arial Narrow" w:cs="Arial Narrow"/>
          <w:color w:val="000000" w:themeColor="text1"/>
          <w:sz w:val="22"/>
          <w:szCs w:val="22"/>
          <w:lang w:eastAsia="es-ES"/>
        </w:rPr>
        <w:t xml:space="preserve">El 16 de setiembre de 2025, presentó a </w:t>
      </w:r>
      <w:r w:rsidRPr="00B91E8D">
        <w:rPr>
          <w:rFonts w:ascii="Arial Narrow" w:eastAsia="Arial Narrow" w:hAnsi="Arial Narrow" w:cs="Arial Narrow"/>
          <w:color w:val="000000" w:themeColor="text1"/>
          <w:sz w:val="22"/>
          <w:szCs w:val="22"/>
          <w:lang w:val="es-ES" w:eastAsia="es-ES"/>
        </w:rPr>
        <w:t xml:space="preserve">Mapfre </w:t>
      </w:r>
      <w:r w:rsidRPr="00B91E8D">
        <w:rPr>
          <w:rFonts w:ascii="Arial Narrow" w:eastAsia="Arial Narrow" w:hAnsi="Arial Narrow" w:cs="Arial Narrow"/>
          <w:color w:val="000000" w:themeColor="text1"/>
          <w:sz w:val="22"/>
          <w:szCs w:val="22"/>
          <w:lang w:eastAsia="es-ES"/>
        </w:rPr>
        <w:t xml:space="preserve">una solicitud de pago por indemnización por muerte </w:t>
      </w:r>
      <w:r w:rsidR="65EF88FB" w:rsidRPr="00B91E8D">
        <w:rPr>
          <w:rFonts w:ascii="Arial Narrow" w:eastAsia="Arial Narrow" w:hAnsi="Arial Narrow" w:cs="Arial Narrow"/>
          <w:color w:val="000000" w:themeColor="text1"/>
          <w:sz w:val="22"/>
          <w:szCs w:val="22"/>
          <w:lang w:eastAsia="es-ES"/>
        </w:rPr>
        <w:t xml:space="preserve">de su hija </w:t>
      </w:r>
      <w:r w:rsidRPr="00B91E8D">
        <w:rPr>
          <w:rFonts w:ascii="Arial Narrow" w:eastAsia="Arial Narrow" w:hAnsi="Arial Narrow" w:cs="Arial Narrow"/>
          <w:color w:val="000000" w:themeColor="text1"/>
          <w:sz w:val="22"/>
          <w:szCs w:val="22"/>
          <w:lang w:eastAsia="es-ES"/>
        </w:rPr>
        <w:t xml:space="preserve">y gastos de sepelio derivados del </w:t>
      </w:r>
      <w:r w:rsidR="5E1475A8" w:rsidRPr="00B91E8D">
        <w:rPr>
          <w:rFonts w:ascii="Arial Narrow" w:eastAsia="Arial Narrow" w:hAnsi="Arial Narrow" w:cs="Arial Narrow"/>
          <w:color w:val="000000" w:themeColor="text1"/>
          <w:sz w:val="22"/>
          <w:szCs w:val="22"/>
          <w:lang w:eastAsia="es-ES"/>
        </w:rPr>
        <w:t xml:space="preserve">accidente de tránsito </w:t>
      </w:r>
      <w:r w:rsidRPr="00B91E8D">
        <w:rPr>
          <w:rFonts w:ascii="Arial Narrow" w:eastAsia="Arial Narrow" w:hAnsi="Arial Narrow" w:cs="Arial Narrow"/>
          <w:color w:val="000000" w:themeColor="text1"/>
          <w:sz w:val="22"/>
          <w:szCs w:val="22"/>
          <w:lang w:eastAsia="es-ES"/>
        </w:rPr>
        <w:t xml:space="preserve">ocurrido el 18 de marzo de 2025. </w:t>
      </w:r>
      <w:r w:rsidRPr="00596F6F">
        <w:rPr>
          <w:rFonts w:ascii="Arial Narrow" w:eastAsia="Arial Narrow" w:hAnsi="Arial Narrow" w:cs="Arial Narrow"/>
          <w:color w:val="000000" w:themeColor="text1"/>
          <w:sz w:val="22"/>
          <w:szCs w:val="22"/>
          <w:lang w:eastAsia="es-ES"/>
        </w:rPr>
        <w:t xml:space="preserve">El 22 de setiembre de 2025, </w:t>
      </w:r>
      <w:r w:rsidRPr="00596F6F">
        <w:rPr>
          <w:rFonts w:ascii="Arial Narrow" w:eastAsia="Arial Narrow" w:hAnsi="Arial Narrow" w:cs="Arial Narrow"/>
          <w:color w:val="000000" w:themeColor="text1"/>
          <w:sz w:val="22"/>
          <w:szCs w:val="22"/>
          <w:lang w:val="es-ES" w:eastAsia="es-ES"/>
        </w:rPr>
        <w:t>Mapfre</w:t>
      </w:r>
      <w:r w:rsidRPr="00596F6F">
        <w:rPr>
          <w:rFonts w:ascii="Arial Narrow" w:eastAsia="Arial Narrow" w:hAnsi="Arial Narrow" w:cs="Arial Narrow"/>
          <w:color w:val="000000" w:themeColor="text1"/>
          <w:sz w:val="22"/>
          <w:szCs w:val="22"/>
          <w:lang w:eastAsia="es-ES"/>
        </w:rPr>
        <w:t xml:space="preserve">, </w:t>
      </w:r>
      <w:r w:rsidR="174C0E14" w:rsidRPr="00596F6F">
        <w:rPr>
          <w:rFonts w:ascii="Arial Narrow" w:eastAsia="Arial Narrow" w:hAnsi="Arial Narrow" w:cs="Arial Narrow"/>
          <w:color w:val="000000" w:themeColor="text1"/>
          <w:sz w:val="22"/>
          <w:szCs w:val="22"/>
          <w:lang w:eastAsia="es-ES"/>
        </w:rPr>
        <w:t xml:space="preserve">le </w:t>
      </w:r>
      <w:r w:rsidRPr="00596F6F">
        <w:rPr>
          <w:rFonts w:ascii="Arial Narrow" w:eastAsia="Arial Narrow" w:hAnsi="Arial Narrow" w:cs="Arial Narrow"/>
          <w:color w:val="000000" w:themeColor="text1"/>
          <w:sz w:val="22"/>
          <w:szCs w:val="22"/>
          <w:lang w:eastAsia="es-ES"/>
        </w:rPr>
        <w:t>informó que no asumiría la cobertura del accidente y se reservó el derecho de iniciar las acciones legales que estimara pertinentes</w:t>
      </w:r>
      <w:r w:rsidR="00CA59A2" w:rsidRPr="00596F6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1E8D" w:rsidRDefault="00CA59A2" w:rsidP="00596F6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B91E8D">
        <w:rPr>
          <w:rFonts w:ascii="Arial Narrow" w:eastAsia="Arial Narrow" w:hAnsi="Arial Narrow" w:cs="Arial Narrow"/>
          <w:kern w:val="0"/>
          <w14:ligatures w14:val="none"/>
          <w:sz w:val="22"/>
          <w:szCs w:val="22"/>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Arial Narrow" w:hAnsi="Arial Narrow" w:cs="Arial Narrow"/>
          <w:color w:val="000000"/>
          <w:kern w:val="0"/>
          <w:sz w:val="22"/>
          <w:szCs w:val="22"/>
          <w:lang w:val="es-ES" w:eastAsia="es-ES"/>
          <w14:ligatures w14:val="none"/>
        </w:rPr>
        <w:t xml:space="preserve"/>
      </w:r>
      <w:r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themeColor="text1"/>
          <w:sz w:val="22"/>
          <w:szCs w:val="22"/>
          <w:lang w:val="es-ES"/>
        </w:rPr>
        <w:t xml:space="preserve"/>
      </w:r>
      <w:r w:rsidR="3408A786" w:rsidRPr="00B91E8D">
        <w:rPr>
          <w:rFonts w:ascii="Arial Narrow" w:eastAsia="Arial Narrow" w:hAnsi="Arial Narrow" w:cs="Arial Narrow"/>
          <w:color w:val="000000" w:themeColor="text1"/>
          <w:sz w:val="22"/>
          <w:szCs w:val="22"/>
          <w:lang w:eastAsia="es-ES"/>
        </w:rPr>
        <w:t/>
      </w:r>
      <w:r w:rsidR="3408A786" w:rsidRPr="00B91E8D">
        <w:rPr>
          <w:rFonts w:ascii="Arial Narrow" w:eastAsia="Arial Narrow" w:hAnsi="Arial Narrow" w:cs="Arial Narrow"/>
          <w:color w:val="000000" w:themeColor="text1"/>
          <w:sz w:val="22"/>
          <w:szCs w:val="22"/>
          <w:lang w:val="es-ES"/>
        </w:rPr>
        <w:t xml:space="preserve"/>
      </w:r>
    </w:p>
    <w:p w14:paraId="66005174" w14:textId="77777777" w:rsidR="00CA59A2" w:rsidRPr="00B91E8D" w:rsidRDefault="00CA59A2" w:rsidP="00596F6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1E8D" w:rsidRDefault="00CA59A2" w:rsidP="00596F6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1E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sz w:val="22"/>
          <w:szCs w:val="22"/>
          <w:vertAlign w:val="superscript"/>
          <w14:ligatures w14:val="none"/>
        </w:rPr>
        <w:footnoteReference w:id="2"/>
      </w:r>
      <w:r w:rsidRPr="00B91E8D">
        <w:rPr>
          <w:rFonts w:ascii="Arial Narrow" w:eastAsia="Arial Narrow" w:hAnsi="Arial Narrow" w:cs="Arial Narrow"/>
          <w:color w:val="000000"/>
          <w:kern w:val="0"/>
          <w:sz w:val="22"/>
          <w:szCs w:val="22"/>
          <w:lang w:eastAsia="es-PE"/>
          <w14:ligatures w14:val="none"/>
        </w:rPr>
        <w:t xml:space="preserve">, </w:t>
      </w:r>
      <w:r w:rsidR="00121544" w:rsidRPr="00B91E8D">
        <w:rPr>
          <w:rFonts w:ascii="Arial Narrow" w:eastAsia="Arial Narrow" w:hAnsi="Arial Narrow" w:cs="Arial Narrow"/>
          <w:color w:val="000000"/>
          <w:kern w:val="0"/>
          <w:sz w:val="22"/>
          <w:szCs w:val="22"/>
          <w:lang w:eastAsia="es-PE"/>
          <w14:ligatures w14:val="none"/>
        </w:rPr>
        <w:t xml:space="preserve">considera </w:t>
      </w:r>
      <w:r w:rsidR="00121544" w:rsidRPr="00B91E8D">
        <w:rPr>
          <w:rFonts w:ascii="Arial Narrow" w:eastAsia="Arial Narrow" w:hAnsi="Arial Narrow" w:cs="Arial Narrow"/>
          <w:kern w:val="0"/>
          <w14:ligatures w14:val="none"/>
          <w:sz w:val="22"/>
          <w:szCs w:val="22"/>
        </w:rPr>
        <w:t xml:space="preserve">que el hecho denunciado, </w:t>
      </w:r>
      <w:bookmarkStart w:id="4" w:name="_Hlk211591623"/>
      <w:r w:rsidR="00121544" w:rsidRPr="00B91E8D">
        <w:rPr>
          <w:rFonts w:ascii="Arial Narrow" w:eastAsia="Arial Narrow" w:hAnsi="Arial Narrow" w:cs="Arial Narrow"/>
          <w:kern w:val="0"/>
          <w14:ligatures w14:val="none"/>
          <w:sz w:val="22"/>
          <w:szCs w:val="22"/>
        </w:rPr>
        <w:t xml:space="preserve">consistente en que </w:t>
      </w:r>
      <w:r w:rsidR="00043C21" w:rsidRPr="00043C21">
        <w:rPr>
          <w:rFonts w:ascii="Arial Narrow" w:eastAsia="Arial Narrow" w:hAnsi="Arial Narrow" w:cs="Arial Narrow"/>
          <w:color w:val="000000" w:themeColor="text1"/>
          <w:sz w:val="22"/>
          <w:szCs w:val="22"/>
        </w:rPr>
        <w:t xml:space="preserve">la </w:t>
      </w:r>
      <w:r w:rsidR="00043C21" w:rsidRPr="00043C21">
        <w:rPr>
          <w:rFonts w:ascii="Arial Narrow" w:eastAsia="Arial Narrow" w:hAnsi="Arial Narrow" w:cs="Arial Narrow"/>
          <w:color w:val="000000" w:themeColor="text1"/>
          <w:sz w:val="22"/>
          <w:szCs w:val="22"/>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y 19</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del Código</w:t>
      </w:r>
      <w:r w:rsidR="00711750" w:rsidRPr="00B91E8D">
        <w:rPr>
          <w:rStyle w:val="Refdenotaalpie"/>
          <w:rFonts w:ascii="Arial Narrow" w:eastAsia="Arial Narrow" w:hAnsi="Arial Narrow" w:cs="Arial Narrow"/>
          <w:kern w:val="0"/>
          <w:sz w:val="22"/>
          <w:szCs w:val="22"/>
          <w:vertAlign w:val="superscript"/>
          <w14:ligatures w14:val="none"/>
        </w:rPr>
        <w:footnoteReference w:id="3"/>
      </w:r>
      <w:r w:rsidR="00711750" w:rsidRPr="00B91E8D">
        <w:rPr>
          <w:rFonts w:ascii="Arial Narrow" w:eastAsia="Arial Narrow" w:hAnsi="Arial Narrow" w:cs="Arial Narrow"/>
          <w:kern w:val="0"/>
          <w14:ligatures w14:val="none"/>
          <w:sz w:val="22"/>
          <w:szCs w:val="22"/>
        </w:rPr>
        <w:t>.</w:t>
      </w:r>
    </w:p>
    <w:bookmarkEnd w:id="4"/>
    <w:p w14:paraId="432038D6" w14:textId="0A9F6D75" w:rsidR="00CA59A2" w:rsidRPr="00B91E8D" w:rsidRDefault="00CA59A2" w:rsidP="00596F6F">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1E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sz w:val="22"/>
          <w:szCs w:val="22"/>
          <w:vertAlign w:val="superscript"/>
          <w14:ligatures w14:val="none"/>
        </w:rPr>
        <w:footnoteReference w:id="4"/>
      </w:r>
      <w:r w:rsidRPr="00B91E8D">
        <w:rPr>
          <w:rFonts w:ascii="Arial Narrow" w:eastAsia="Arial Narrow" w:hAnsi="Arial Narrow" w:cs="Arial Narrow"/>
          <w:color w:val="000000"/>
          <w:kern w:val="0"/>
          <w:sz w:val="22"/>
          <w:szCs w:val="22"/>
          <w:lang w:eastAsia="es-PE"/>
          <w14:ligatures w14:val="none"/>
        </w:rPr>
        <w:t>.</w:t>
      </w:r>
    </w:p>
    <w:p w14:paraId="68C71625" w14:textId="77777777" w:rsidR="00CA59A2" w:rsidRPr="00B91E8D" w:rsidRDefault="00CA59A2" w:rsidP="00596F6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1E8D" w:rsidRDefault="00CA59A2" w:rsidP="00596F6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1E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Arial Narrow" w:hAnsi="Arial Narrow" w:cs="Arial Narrow"/>
          <w:color w:val="000000"/>
          <w:kern w:val="0"/>
          <w:sz w:val="22"/>
          <w:szCs w:val="22"/>
          <w:lang w:val="es-ES" w:eastAsia="es-ES"/>
          <w14:ligatures w14:val="none"/>
        </w:rPr>
        <w:t>a la compañía aseguradora</w:t>
      </w:r>
      <w:r w:rsidRPr="00B91E8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B91E8D">
        <w:rPr>
          <w:rFonts w:ascii="Arial Narrow" w:eastAsia="Arial Narrow" w:hAnsi="Arial Narrow" w:cs="Arial Narrow"/>
          <w:color w:val="000000"/>
          <w:kern w:val="0"/>
          <w:sz w:val="22"/>
          <w:szCs w:val="22"/>
          <w:lang w:val="es-ES" w:eastAsia="es-ES"/>
          <w14:ligatures w14:val="none"/>
        </w:rPr>
        <w:t>.</w:t>
      </w:r>
      <w:r w:rsidRPr="00B91E8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1E8D" w:rsidRDefault="00CA59A2" w:rsidP="00596F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96F6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94947A7" w:rsidR="00121544" w:rsidRPr="009E0535" w:rsidRDefault="00CA59A2" w:rsidP="00596F6F">
      <w:pPr>
        <w:spacing w:after="0" w:line="240" w:lineRule="auto"/>
        <w:jc w:val="both"/>
        <w:rPr>
          <w:rFonts w:ascii="Arial Narrow" w:eastAsia="Arial Narrow" w:hAnsi="Arial Narrow" w:cs="Arial Narrow"/>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 xml:space="preserve">PRIMERO:</w:t>
      </w:r>
      <w:r w:rsidRPr="184E17A1">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C0267">
        <w:rPr>
          <w:rFonts w:ascii="Arial Narrow" w:eastAsia="Arial Narrow" w:hAnsi="Arial Narrow" w:cs="Arial Narrow"/>
          <w:color w:val="000000"/>
          <w:kern w:val="0"/>
          <w:sz w:val="22"/>
          <w:szCs w:val="22"/>
          <w:lang w:val="es-ES" w:eastAsia="es-ES"/>
          <w14:ligatures w14:val="none"/>
        </w:rPr>
        <w:t xml:space="preserve"/>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13EE1" w:rsidRPr="184E17A1">
        <w:rPr>
          <w:rFonts w:ascii="Arial Narrow" w:eastAsia="Arial Narrow" w:hAnsi="Arial Narrow" w:cs="Arial Narrow"/>
          <w:sz w:val="22"/>
          <w:szCs w:val="22"/>
        </w:rPr>
        <w:t/>
      </w:r>
      <w:r w:rsidRPr="00113E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13EE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2757802B" w:rsidRPr="009E0535">
        <w:rPr>
          <w:rFonts w:ascii="Arial Narrow" w:eastAsia="Arial Narrow" w:hAnsi="Arial Narrow" w:cs="Arial Narrow"/>
          <w:color w:val="000000"/>
          <w:kern w:val="0"/>
          <w:sz w:val="22"/>
          <w:szCs w:val="22"/>
          <w:shd w:val="clear" w:color="auto" w:fill="FFFFFF"/>
          <w:lang w:eastAsia="es-PE"/>
          <w14:ligatures w14:val="none"/>
        </w:rPr>
        <w:t/>
      </w:r>
      <w:r w:rsidR="00711750" w:rsidRPr="184E17A1">
        <w:rPr>
          <w:rFonts w:ascii="Arial Narrow" w:eastAsia="Arial Narrow" w:hAnsi="Arial Narrow" w:cs="Arial Narrow"/>
          <w:color w:val="000000"/>
          <w:kern w:val="0"/>
          <w:sz w:val="22"/>
          <w:szCs w:val="22"/>
          <w:lang w:eastAsia="es-PE"/>
          <w14:ligatures w14:val="none"/>
        </w:rPr>
        <w:t/>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711750" w:rsidRPr="184E17A1">
        <w:rPr>
          <w:rFonts w:ascii="Arial Narrow" w:eastAsia="Arial Narrow" w:hAnsi="Arial Narrow" w:cs="Arial Narrow"/>
          <w:kern w:val="0"/>
          <w:sz w:val="22"/>
          <w:szCs w:val="22"/>
          <w:lang w:eastAsia="es-PE"/>
          <w14:ligatures w14:val="none"/>
        </w:rPr>
        <w:t xml:space="preserve"/>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800AEF" w:rsidRPr="00800AEF">
        <w:rPr>
          <w:rFonts w:ascii="Arial Narrow" w:eastAsia="Arial Narrow" w:hAnsi="Arial Narrow" w:cs="Arial Narrow"/>
          <w:color w:val="000000" w:themeColor="text1"/>
          <w:sz w:val="22"/>
          <w:szCs w:val="22"/>
        </w:rPr>
        <w:t/>
      </w:r>
      <w:r w:rsidR="00121544" w:rsidRPr="184E17A1">
        <w:rPr>
          <w:rFonts w:ascii="Arial Narrow" w:eastAsia="Arial Narrow" w:hAnsi="Arial Narrow" w:cs="Arial Narrow"/>
          <w:kern w:val="0"/>
          <w14:ligatures w14:val="none"/>
          <w:sz w:val="22"/>
          <w:szCs w:val="22"/>
        </w:rPr>
        <w:t/>
      </w:r>
    </w:p>
    <w:p w14:paraId="042B3F54" w14:textId="7DD210E1" w:rsidR="00CA59A2" w:rsidRPr="0026598E" w:rsidRDefault="00CA59A2" w:rsidP="00596F6F">
      <w:pPr>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3FA3E8ED" w:rsidR="00CA59A2" w:rsidRPr="0026598E" w:rsidRDefault="00CA59A2" w:rsidP="00596F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C0267" w:rsidRPr="009C026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96F6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13EE1" w:rsidRPr="0037150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96F6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85640A" w:rsidR="00CA59A2" w:rsidRPr="0026598E"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r w:rsidRPr="184E17A1">
        <w:rPr>
          <w:rFonts w:ascii="Arial Narrow" w:eastAsia="Arial Narrow" w:hAnsi="Arial Narrow" w:cs="Arial Narrow"/>
          <w:b/>
          <w:bCs/>
          <w:color w:val="000000"/>
          <w:kern w:val="0"/>
          <w:sz w:val="22"/>
          <w:szCs w:val="22"/>
          <w:lang w:eastAsia="es-PE"/>
          <w14:ligatures w14:val="none"/>
        </w:rPr>
        <w:t xml:space="preserve">QUINTO:</w:t>
      </w:r>
      <w:r w:rsidRPr="184E17A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96F6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96F6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184E17A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184E17A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B2EC8BC" w:rsidR="00CA59A2" w:rsidRPr="00A67ADF" w:rsidRDefault="00CA59A2" w:rsidP="00596F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eastAsia="Arial Narrow" w:hAnsi="Arial Narrow" w:cs="Arial Narrow"/>
          <w:spacing w:val="-3"/>
          <w:kern w:val="0"/>
          <w14:ligatures w14:val="none"/>
          <w:sz w:val="22"/>
          <w:szCs w:val="22"/>
        </w:rPr>
        <w:t/>
      </w:r>
      <w:r w:rsidRPr="184E17A1">
        <w:rPr>
          <w:rFonts w:ascii="Arial Narrow" w:eastAsia="Arial Narrow" w:hAnsi="Arial Narrow" w:cs="Arial Narrow"/>
          <w:spacing w:val="-3"/>
          <w:kern w:val="0"/>
          <w14:ligatures w14:val="none"/>
          <w:sz w:val="22"/>
          <w:szCs w:val="22"/>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6DF2" w:rsidRPr="00BF6DF2">
        <w:rPr>
          <w:rFonts w:ascii="Arial Narrow" w:eastAsia="Arial Narrow" w:hAnsi="Arial Narrow" w:cs="Arial Narrow"/>
          <w:color w:val="000000"/>
          <w:kern w:val="0"/>
          <w:sz w:val="22"/>
          <w:szCs w:val="22"/>
          <w:shd w:val="clear" w:color="auto" w:fill="FFFFFF"/>
          <w:lang w:eastAsia="es-PE"/>
          <w14:ligatures w14:val="none"/>
        </w:rPr>
        <w:t/>
      </w:r>
      <w:proofErr w:type="spellEnd"/>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96F6F">
      <w:pPr>
        <w:spacing w:before="0" w:after="0" w:line="240" w:lineRule="auto"/>
        <w:suppressAutoHyphens/>
        <w:jc w:val="both"/>
        <w:rPr>
          <w:rFonts w:ascii="Arial Narrow" w:eastAsia="Arial Narrow" w:hAnsi="Arial Narrow" w:cs="Arial Narrow"/>
          <w:sz w:val="22"/>
          <w:szCs w:val="22"/>
        </w:rPr>
      </w:pPr>
    </w:p>
    <w:p w14:paraId="36317C11" w14:textId="4B13F6B6" w:rsidR="00CA59A2" w:rsidRPr="002F655C" w:rsidRDefault="00CA59A2" w:rsidP="00596F6F">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9" w:name="_Hlk198890962"/>
      <w:r w:rsidR="00113EE1" w:rsidRPr="00A67ADF">
        <w:rPr>
          <w:rFonts w:ascii="Arial Narrow" w:eastAsia="Arial Narrow" w:hAnsi="Arial Narrow" w:cs="Arial Narrow"/>
          <w:color w:val="000000"/>
          <w:sz w:val="22"/>
          <w:szCs w:val="22"/>
        </w:rPr>
        <w:t xml:space="preserve">requerir </w:t>
      </w:r>
      <w:r w:rsidR="00113EE1" w:rsidRPr="00371508">
        <w:rPr>
          <w:rFonts w:ascii="Arial Narrow" w:eastAsia="Arial Narrow" w:hAnsi="Arial Narrow" w:cs="Arial Narrow"/>
          <w:color w:val="000000"/>
          <w:sz w:val="22"/>
          <w:szCs w:val="22"/>
        </w:rPr>
        <w:t xml:space="preserve">a </w:t>
      </w:r>
      <w:r w:rsidR="00113EE1" w:rsidRPr="00371508">
        <w:rPr>
          <w:rFonts w:ascii="Arial Narrow" w:eastAsia="Arial Narrow" w:hAnsi="Arial Narrow" w:cs="Arial Narrow"/>
          <w:sz w:val="22"/>
          <w:szCs w:val="22"/>
        </w:rPr>
        <w:t xml:space="preserve">Mapfre Perú Compañía de Seguros y Reaseguros S.A. </w:t>
      </w:r>
      <w:r w:rsidR="00113EE1" w:rsidRPr="00371508">
        <w:rPr>
          <w:rFonts w:ascii="Arial Narrow" w:eastAsia="Arial Narrow" w:hAnsi="Arial Narrow" w:cs="Arial Narrow"/>
          <w:sz w:val="22"/>
          <w:szCs w:val="22"/>
          <w:shd w:val="clear" w:color="auto" w:fill="FFFFFF"/>
        </w:rPr>
        <w:t xml:space="preserve">para que </w:t>
      </w:r>
      <w:r w:rsidR="00113EE1"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00113EE1" w:rsidRPr="00241FE7">
        <w:rPr>
          <w:rFonts w:ascii="Arial Narrow" w:eastAsia="Arial Narrow" w:hAnsi="Arial Narrow" w:cs="Arial Narrow"/>
          <w:sz w:val="22"/>
          <w:szCs w:val="22"/>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96F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eastAsia="Arial Narrow" w:hAnsi="Arial Narrow" w:cs="Arial Narrow"/>
          <w:sz w:val="22"/>
          <w:szCs w:val="22"/>
        </w:rPr>
      </w:pPr>
    </w:p>
    <w:p w14:paraId="1D2233A3" w14:textId="77777777" w:rsidR="00CA59A2" w:rsidRPr="0026598E" w:rsidRDefault="00CA59A2" w:rsidP="00596F6F">
      <w:pPr>
        <w:spacing w:line="240" w:lineRule="auto"/>
        <w:rPr>
          <w:rFonts w:ascii="Arial Narrow" w:eastAsia="Arial Narrow" w:hAnsi="Arial Narrow" w:cs="Arial Narrow"/>
          <w:sz w:val="22"/>
          <w:szCs w:val="22"/>
        </w:rPr>
      </w:pPr>
    </w:p>
    <w:p w14:paraId="4423ADE9" w14:textId="77777777" w:rsidR="00CA59A2" w:rsidRPr="0026598E" w:rsidRDefault="00CA59A2" w:rsidP="00596F6F">
      <w:pPr>
        <w:spacing w:line="240" w:lineRule="auto"/>
        <w:rPr>
          <w:rFonts w:ascii="Arial Narrow" w:eastAsia="Arial Narrow" w:hAnsi="Arial Narrow" w:cs="Arial Narrow"/>
          <w:sz w:val="22"/>
          <w:szCs w:val="22"/>
        </w:rPr>
      </w:pPr>
    </w:p>
    <w:p w14:paraId="74AAB5F4" w14:textId="77777777" w:rsidR="001B5674" w:rsidRDefault="001B5674" w:rsidP="00596F6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tab/>
        <w:t>Publicado</w:t>
      </w:r>
      <w:r w:rsidRPr="00596F6F">
        <w:rPr>
          <w:rFonts w:ascii="Arial Narrow" w:eastAsia="Arial Narrow" w:hAnsi="Arial Narrow" w:cs="Arial Narrow"/>
          <w:b/>
          <w:sz w:val="16"/>
          <w:szCs w:val="16"/>
        </w:rPr>
        <w:t xml:space="preserve"> </w:t>
      </w:r>
      <w:r w:rsidRPr="00596F6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ab/>
        <w:t>Artículo 27.-</w:t>
      </w:r>
      <w:r w:rsidRPr="00596F6F">
        <w:rPr>
          <w:rFonts w:ascii="Arial Narrow" w:eastAsia="Arial Narrow" w:hAnsi="Arial Narrow" w:cs="Arial Narrow"/>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LEY SOBRE FACULTADES, NORMAS Y ORGANIZACIÓN DEL INDECOPI, APROBADA POR DECRETO LEGISLATIVO 807 Artículo 24.-</w:t>
      </w:r>
      <w:r w:rsidRPr="00596F6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96F6F">
        <w:rPr>
          <w:rFonts w:ascii="Arial Narrow" w:eastAsia="Arial Narrow" w:hAnsi="Arial Narrow" w:cs="Arial Narrow"/>
          <w:sz w:val="16"/>
          <w:szCs w:val="16"/>
        </w:rPr>
        <w:t/>
      </w:r>
      <w:proofErr w:type="spellEnd"/>
      <w:r w:rsidRPr="00596F6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vertAlign w:val="superscript"/>
        </w:rPr>
        <w:t xml:space="preserve"/>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r>
      <w:r w:rsidRPr="00596F6F">
        <w:rPr>
          <w:rFonts w:ascii="Arial Narrow" w:eastAsia="Arial Narrow" w:hAnsi="Arial Narrow" w:cs="Arial Narrow"/>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96F6F" w:rsidRDefault="00CA59A2" w:rsidP="00596F6F">
      <w:pPr>
        <w:spacing w:after="0" w:line="240" w:lineRule="auto"/>
        <w:ind w:left="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d. En caso de infracciones muy graves y de reincidencia o </w:t>
      </w:r>
      <w:proofErr w:type="spellStart"/>
      <w:r w:rsidRPr="00596F6F">
        <w:rPr>
          <w:rFonts w:ascii="Arial Narrow" w:eastAsia="Arial Narrow" w:hAnsi="Arial Narrow" w:cs="Arial Narrow"/>
          <w:sz w:val="16"/>
          <w:szCs w:val="16"/>
        </w:rPr>
        <w:t>reiterancia</w:t>
      </w:r>
      <w:proofErr w:type="spellEnd"/>
      <w:r w:rsidRPr="00596F6F">
        <w:rPr>
          <w:rFonts w:ascii="Arial Narrow" w:eastAsia="Arial Narrow" w:hAnsi="Arial Narrow" w:cs="Arial Narrow"/>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roofErr w:type="spellStart"/>
      <w:r w:rsidRPr="00596F6F">
        <w:rPr>
          <w:rFonts w:ascii="Arial Narrow" w:eastAsia="Arial Narrow" w:hAnsi="Arial Narrow" w:cs="Arial Narrow"/>
          <w:sz w:val="16"/>
          <w:szCs w:val="16"/>
        </w:rPr>
        <w:t>ii</w:t>
      </w:r>
      <w:proofErr w:type="spellEnd"/>
      <w:r w:rsidRPr="00596F6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e. Publicación de avisos </w:t>
      </w:r>
      <w:proofErr w:type="spellStart"/>
      <w:r w:rsidRPr="00596F6F">
        <w:rPr>
          <w:rFonts w:ascii="Arial Narrow" w:eastAsia="Arial Narrow" w:hAnsi="Arial Narrow" w:cs="Arial Narrow"/>
          <w:sz w:val="16"/>
          <w:szCs w:val="16"/>
        </w:rPr>
        <w:t>rectificatorios</w:t>
      </w:r>
      <w:proofErr w:type="spellEnd"/>
      <w:r w:rsidRPr="00596F6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b/>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Narrow"/>
          <w:sz w:val="16"/>
          <w:szCs w:val="16"/>
        </w:rPr>
        <w:t>liminarmente</w:t>
      </w:r>
      <w:proofErr w:type="spellEnd"/>
      <w:r w:rsidRPr="00596F6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96F6F" w:rsidRDefault="00CA59A2" w:rsidP="00596F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b/>
          <w:bCs/>
          <w:sz w:val="16"/>
          <w:szCs w:val="16"/>
          <w:vertAlign w:val="superscript"/>
        </w:rPr>
        <w:footnoteRef/>
      </w:r>
      <w:r w:rsidRPr="00596F6F">
        <w:rPr>
          <w:rFonts w:ascii="Arial Narrow" w:eastAsia="Arial Narrow" w:hAnsi="Arial Narrow" w:cs="Arial Narrow"/>
          <w:b/>
          <w:bCs/>
          <w:sz w:val="16"/>
          <w:szCs w:val="16"/>
        </w:rPr>
        <w:t xml:space="preserve"/>
      </w:r>
      <w:r w:rsidRPr="00596F6F">
        <w:rPr>
          <w:rFonts w:ascii="Arial Narrow" w:eastAsia="Arial Narrow" w:hAnsi="Arial Narrow" w:cs="Arial Narrow"/>
          <w:b/>
          <w:bCs/>
          <w:sz w:val="16"/>
          <w:szCs w:val="16"/>
        </w:rPr>
        <w:tab/>
        <w:t xml:space="preserve">DECRETO LEGISLATIVO </w:t>
      </w:r>
      <w:proofErr w:type="spellStart"/>
      <w:r w:rsidRPr="00596F6F">
        <w:rPr>
          <w:rFonts w:ascii="Arial Narrow" w:eastAsia="Arial Narrow" w:hAnsi="Arial Narrow" w:cs="Arial Narrow"/>
          <w:b/>
          <w:bCs/>
          <w:sz w:val="16"/>
          <w:szCs w:val="16"/>
        </w:rPr>
        <w:t/>
      </w:r>
      <w:proofErr w:type="spellEnd"/>
      <w:r w:rsidRPr="00596F6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eastAsia="Arial Narrow" w:hAnsi="Arial Narrow" w:cs="Arial Narrow"/>
          <w:bCs/>
          <w:sz w:val="16"/>
          <w:szCs w:val="16"/>
        </w:rPr>
      </w:pPr>
      <w:r w:rsidRPr="00596F6F">
        <w:rPr>
          <w:rFonts w:ascii="Arial Narrow" w:eastAsia="Arial Narrow" w:hAnsi="Arial Narrow" w:cs="Arial Narrow"/>
          <w:b/>
          <w:sz w:val="16"/>
          <w:szCs w:val="16"/>
        </w:rPr>
        <w:t xml:space="preserve">Artículo 29.- </w:t>
      </w:r>
      <w:r w:rsidRPr="00596F6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20.- Modalidades de notificación</w:t>
      </w:r>
    </w:p>
    <w:p w14:paraId="23580398" w14:textId="77777777" w:rsidR="00CA59A2" w:rsidRPr="00596F6F" w:rsidRDefault="00CA59A2" w:rsidP="00596F6F">
      <w:pPr>
        <w:pStyle w:val="Textonotapie"/>
        <w:ind w:left="1134" w:hanging="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20.4. </w:t>
      </w:r>
      <w:r w:rsidRPr="00596F6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