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left"/>
      </w:pPr>
      <w:r>
        <w:rPr>
          <w:rFonts w:ascii="Arial" w:hAnsi="Arial" w:cs="Arial"/>
          <w:b w:val="0"/>
          <w:sz w:val="16"/>
        </w:rPr>
        <w:t>Elaborado por: David Chávez</w:t>
      </w:r>
    </w:p>
    <w:p>
      <w:pPr>
        <w:spacing w:before="0" w:after="0" w:line="240" w:lineRule="auto"/>
        <w:jc w:val="left"/>
      </w:pPr>
      <w:r>
        <w:rPr>
          <w:rFonts w:ascii="Arial" w:hAnsi="Arial" w:cs="Arial"/>
          <w:b w:val="0"/>
          <w:sz w:val="16"/>
        </w:rPr>
        <w:t>Supervisado por: Loussiana Salazar</w:t>
      </w:r>
    </w:p>
    <w:p>
      <w:pPr>
        <w:spacing w:before="0" w:after="0" w:line="240" w:lineRule="auto"/>
        <w:jc w:val="left"/>
      </w:pPr>
      <w:r>
        <w:rPr>
          <w:rFonts w:ascii="Arial" w:hAnsi="Arial" w:cs="Arial"/>
          <w:b w:val="0"/>
          <w:sz w:val="16"/>
        </w:rPr>
        <w:t>Equipo: Seguros</w:t>
      </w:r>
    </w:p>
    <w:p>
      <w:pPr>
        <w:spacing w:before="0" w:after="0" w:line="240" w:lineRule="auto"/>
        <w:jc w:val="left"/>
      </w:pPr>
      <w:r>
        <w:rPr>
          <w:rFonts w:ascii="Arial" w:hAnsi="Arial" w:cs="Arial"/>
          <w:b w:val="0"/>
          <w:sz w:val="16"/>
        </w:rPr>
        <w:t>Vencimiento: 30 de octubre de 2026</w:t>
      </w:r>
    </w:p>
    <w:p>
      <w:pPr>
        <w:spacing w:before="0" w:after="0" w:line="240" w:lineRule="auto"/>
        <w:jc w:val="both"/>
      </w:pPr>
    </w:p>
    <w:p>
      <w:pPr>
        <w:spacing w:before="0" w:after="0" w:line="240" w:lineRule="auto"/>
        <w:jc w:val="center"/>
      </w:pPr>
      <w:r>
        <w:rPr>
          <w:rFonts w:ascii="Arial" w:hAnsi="Arial" w:cs="Arial"/>
          <w:b/>
          <w:sz w:val="32"/>
        </w:rPr>
        <w:t xml:space="preserve">RESOLUCIÓN FINAL </w:t>
      </w:r>
      <w:r>
        <w:rPr>
          <w:rFonts w:ascii="Arial" w:hAnsi="Arial" w:cs="Arial"/>
          <w:b/>
          <w:sz w:val="32"/>
        </w:rPr>
        <w:t>N</w:t>
      </w:r>
      <w:r>
        <w:rPr>
          <w:rFonts w:ascii="Arial" w:hAnsi="Arial" w:cs="Arial"/>
          <w:b/>
          <w:sz w:val="32"/>
          <w:vertAlign w:val="superscript"/>
        </w:rPr>
        <w:t>°</w:t>
      </w:r>
      <w:r>
        <w:rPr>
          <w:rFonts w:ascii="Arial" w:hAnsi="Arial" w:cs="Arial"/>
          <w:b/>
          <w:sz w:val="32"/>
        </w:rPr>
        <w:t xml:space="preserve"> 9999-2026/CC1</w:t>
      </w:r>
    </w:p>
    <w:p>
      <w:pPr>
        <w:spacing w:before="0" w:after="0" w:line="240" w:lineRule="auto"/>
        <w:jc w:val="both"/>
      </w:pPr>
    </w:p>
    <w:p>
      <w:pPr>
        <w:spacing w:before="0" w:after="0" w:line="240" w:lineRule="auto"/>
        <w:jc w:val="both"/>
      </w:pPr>
      <w:r>
        <w:rPr>
          <w:rFonts w:ascii="Arial" w:hAnsi="Arial" w:cs="Arial"/>
          <w:b/>
          <w:sz w:val="22"/>
        </w:rPr>
        <w:t>DENUNCIANTE</w:t>
        <w:tab/>
        <w:t>:</w:t>
        <w:tab/>
      </w:r>
      <w:r>
        <w:rPr>
          <w:rFonts w:ascii="Arial" w:hAnsi="Arial" w:cs="Arial"/>
          <w:b w:val="0"/>
          <w:sz w:val="22"/>
        </w:rPr>
        <w:t>CARLOS ALBERTO MENDOZA VÁSQUEZ (SEÑOR MENDOZA)</w:t>
      </w:r>
    </w:p>
    <w:p>
      <w:pPr>
        <w:spacing w:before="0" w:after="0" w:line="240" w:lineRule="auto"/>
        <w:jc w:val="both"/>
      </w:pPr>
      <w:r>
        <w:rPr>
          <w:rFonts w:ascii="Arial" w:hAnsi="Arial" w:cs="Arial"/>
          <w:b/>
          <w:sz w:val="22"/>
        </w:rPr>
        <w:t>DENUNCIADO</w:t>
        <w:tab/>
        <w:t>:</w:t>
        <w:tab/>
      </w:r>
      <w:r>
        <w:rPr>
          <w:rFonts w:ascii="Arial" w:hAnsi="Arial" w:cs="Arial"/>
          <w:b w:val="0"/>
          <w:sz w:val="22"/>
        </w:rPr>
        <w:t>CLÍNICA INTERNACIONAL S.A. (CLÍNICA)</w:t>
      </w:r>
    </w:p>
    <w:p>
      <w:pPr>
        <w:spacing w:before="0" w:after="0" w:line="240" w:lineRule="auto"/>
        <w:jc w:val="both"/>
      </w:pPr>
      <w:r>
        <w:rPr>
          <w:rFonts w:ascii="Arial" w:hAnsi="Arial" w:cs="Arial"/>
          <w:b/>
          <w:sz w:val="22"/>
        </w:rPr>
        <w:t>MATERIA</w:t>
        <w:tab/>
        <w:t>:</w:t>
        <w:tab/>
      </w:r>
      <w:r>
        <w:rPr>
          <w:rFonts w:ascii="Arial" w:hAnsi="Arial" w:cs="Arial"/>
          <w:b w:val="0"/>
          <w:sz w:val="22"/>
        </w:rPr>
        <w:t>IMPROCEDENCIA DE LA DENUNCIA</w:t>
      </w:r>
    </w:p>
    <w:p>
      <w:pPr>
        <w:spacing w:before="0" w:after="0" w:line="240" w:lineRule="auto"/>
        <w:jc w:val="both"/>
      </w:pPr>
      <w:r>
        <w:rPr>
          <w:rFonts w:ascii="Arial" w:hAnsi="Arial" w:cs="Arial"/>
          <w:b w:val="0"/>
          <w:sz w:val="22"/>
        </w:rPr>
        <w:tab/>
        <w:tab/>
        <w:t>DECLINACIÓN DE COMPETENCIA</w:t>
      </w:r>
    </w:p>
    <w:p>
      <w:pPr>
        <w:spacing w:before="0" w:after="0" w:line="240" w:lineRule="auto"/>
        <w:jc w:val="both"/>
      </w:pPr>
      <w:r>
        <w:rPr>
          <w:rFonts w:ascii="Arial" w:hAnsi="Arial" w:cs="Arial"/>
          <w:b/>
          <w:sz w:val="22"/>
        </w:rPr>
        <w:t>ACTIVIDAD</w:t>
        <w:tab/>
        <w:t>:</w:t>
        <w:tab/>
      </w:r>
      <w:r>
        <w:rPr>
          <w:rFonts w:ascii="Arial" w:hAnsi="Arial" w:cs="Arial"/>
          <w:b w:val="0"/>
          <w:sz w:val="22"/>
        </w:rPr>
        <w:t>ACTIVIDADES RELACIONADAS CON LA SALUD HUMANA</w:t>
      </w:r>
    </w:p>
    <w:p>
      <w:pPr>
        <w:spacing w:before="0" w:after="0" w:line="240" w:lineRule="auto"/>
        <w:jc w:val="both"/>
      </w:pPr>
    </w:p>
    <w:p>
      <w:pPr>
        <w:spacing w:before="0" w:after="0" w:line="240" w:lineRule="auto"/>
        <w:jc w:val="left"/>
      </w:pPr>
      <w:r>
        <w:rPr>
          <w:rFonts w:ascii="Arial" w:hAnsi="Arial" w:cs="Arial"/>
          <w:b w:val="0"/>
          <w:sz w:val="22"/>
        </w:rPr>
        <w:t>Lima, 25 de setiembre de 2026</w:t>
      </w:r>
    </w:p>
    <w:p>
      <w:pPr>
        <w:spacing w:before="0" w:after="0" w:line="240" w:lineRule="auto"/>
        <w:jc w:val="both"/>
      </w:pPr>
    </w:p>
    <w:p>
      <w:pPr>
        <w:spacing w:before="0" w:after="0" w:line="240" w:lineRule="auto"/>
        <w:jc w:val="left"/>
      </w:pPr>
      <w:r>
        <w:rPr>
          <w:rFonts w:ascii="Arial" w:hAnsi="Arial" w:cs="Arial"/>
          <w:b/>
          <w:sz w:val="22"/>
        </w:rPr>
        <w:t>ANTECEDENTES</w:t>
      </w:r>
    </w:p>
    <w:p>
      <w:pPr>
        <w:spacing w:before="0" w:after="0" w:line="240" w:lineRule="auto"/>
        <w:jc w:val="both"/>
      </w:pPr>
      <w:r>
        <w:rPr>
          <w:rFonts w:ascii="Arial" w:hAnsi="Arial" w:cs="Arial"/>
          <w:b w:val="0"/>
          <w:sz w:val="22"/>
        </w:rPr>
        <w:t xml:space="preserve">Mediante escrito del 14 de agosto de 2026, SEÑOR MENDOZA denunció a CLÍNICA por presuntas infracciones a la Ley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29571, Código de Protección y Defensa del Consumidor (en adelante, el Código), señalando lo siguiente:</w:t>
      </w:r>
    </w:p>
    <w:p>
      <w:pPr>
        <w:spacing w:before="0" w:after="0" w:line="240" w:lineRule="auto"/>
        <w:jc w:val="both"/>
      </w:pPr>
    </w:p>
    <w:p>
      <w:pPr>
        <w:spacing w:before="0" w:after="0" w:line="240" w:lineRule="auto"/>
        <w:jc w:val="both"/>
      </w:pPr>
      <w:r>
        <w:rPr>
          <w:rFonts w:ascii="Arial" w:hAnsi="Arial" w:cs="Arial"/>
          <w:b w:val="0"/>
          <w:sz w:val="22"/>
        </w:rPr>
        <w:t>El 10 de mayo de 2026, el señor Mendoza acudió al área de emergencia de la Clínica manifestando un intenso dolor abdominal y sintomatología febril aguda.</w:t>
      </w:r>
    </w:p>
    <w:p>
      <w:pPr>
        <w:spacing w:before="0" w:after="0" w:line="240" w:lineRule="auto"/>
        <w:jc w:val="both"/>
      </w:pPr>
    </w:p>
    <w:p>
      <w:pPr>
        <w:spacing w:before="0" w:after="0" w:line="240" w:lineRule="auto"/>
        <w:jc w:val="both"/>
      </w:pPr>
      <w:r>
        <w:rPr>
          <w:rFonts w:ascii="Arial" w:hAnsi="Arial" w:cs="Arial"/>
          <w:b w:val="0"/>
          <w:sz w:val="22"/>
        </w:rPr>
        <w:t>Fue atendido por el médico de guardia, quien le prescribió analgésicos comunes y dispuso su alta médica sin ordenar exámenes ecográficos ni de laboratorio complementarios para descartar un cuadro de apendicitis aguda.</w:t>
      </w:r>
    </w:p>
    <w:p>
      <w:pPr>
        <w:spacing w:before="0" w:after="0" w:line="240" w:lineRule="auto"/>
        <w:jc w:val="both"/>
      </w:pPr>
    </w:p>
    <w:p>
      <w:pPr>
        <w:spacing w:before="0" w:after="0" w:line="240" w:lineRule="auto"/>
        <w:jc w:val="both"/>
      </w:pPr>
      <w:r>
        <w:rPr>
          <w:rFonts w:ascii="Arial" w:hAnsi="Arial" w:cs="Arial"/>
          <w:b w:val="0"/>
          <w:sz w:val="22"/>
        </w:rPr>
        <w:t>Al persistir e intensificarse el cuadro doloroso en las horas posteriores, tuvo que ser ingresado de urgencia en otra institución prestadora de salud, donde se le diagnosticó apendicitis aguda perforada con peritonitis, debiendo ser sometido a una laparotomía de emergencia.</w:t>
      </w:r>
    </w:p>
    <w:p>
      <w:pPr>
        <w:spacing w:before="0" w:after="0" w:line="240" w:lineRule="auto"/>
        <w:jc w:val="both"/>
      </w:pPr>
    </w:p>
    <w:p>
      <w:pPr>
        <w:spacing w:before="0" w:after="0" w:line="240" w:lineRule="auto"/>
        <w:jc w:val="both"/>
      </w:pPr>
      <w:r>
        <w:rPr>
          <w:rFonts w:ascii="Arial" w:hAnsi="Arial" w:cs="Arial"/>
          <w:b w:val="0"/>
          <w:sz w:val="22"/>
        </w:rPr>
        <w:t>Posteriormente, solicitó formalmente a la Clínica la entrega íntegra y legible de su historia clínica y el reporte de atención médica de emergencia, sin haber obtenido respuesta oportuna dentro del plazo legal.</w:t>
      </w:r>
    </w:p>
    <w:p>
      <w:pPr>
        <w:spacing w:before="0" w:after="0" w:line="240" w:lineRule="auto"/>
        <w:jc w:val="both"/>
      </w:pPr>
    </w:p>
    <w:p>
      <w:pPr>
        <w:spacing w:before="0" w:after="0" w:line="240" w:lineRule="auto"/>
        <w:jc w:val="both"/>
      </w:pPr>
      <w:r>
        <w:rPr>
          <w:rFonts w:ascii="Arial" w:hAnsi="Arial" w:cs="Arial"/>
          <w:b w:val="0"/>
          <w:sz w:val="22"/>
        </w:rPr>
        <w:t>Interpuso una denuncia ante la Superintendencia Nacional de Salud (en adelante, Susalud) debido a la gravedad del caso; sin embargo, ello no genera una duplicidad, en tanto ante Indecopi denuncia infracciones al Código, vinculadas a la idoneidad de un trato justo e informado.</w:t>
      </w:r>
    </w:p>
    <w:p>
      <w:pPr>
        <w:spacing w:before="0" w:after="0" w:line="240" w:lineRule="auto"/>
        <w:jc w:val="both"/>
      </w:pPr>
    </w:p>
    <w:p>
      <w:pPr>
        <w:spacing w:before="0" w:after="0" w:line="240" w:lineRule="auto"/>
        <w:jc w:val="both"/>
      </w:pPr>
      <w:r>
        <w:rPr>
          <w:rFonts w:ascii="Arial" w:hAnsi="Arial" w:cs="Arial"/>
          <w:b w:val="0"/>
          <w:sz w:val="22"/>
        </w:rPr>
        <w:t>SEÑOR MENDOZA solicitó, en calidad de medida correctiva, que CLÍNICA cumpla con: (i) el reembolso total de los gastos médicos y de hospitalización asumidos para la intervención de emergencia; (ii) una indemnización económica por el daño físico y emocional generado; y, (iii) la entrega inmediata de la copia fedateada de la historia clínica. Asimismo, requirió el reembolso de costos y costas del presente procedimiento.</w:t>
      </w:r>
    </w:p>
    <w:p>
      <w:pPr>
        <w:spacing w:before="0" w:after="0" w:line="240" w:lineRule="auto"/>
        <w:jc w:val="both"/>
      </w:pPr>
    </w:p>
    <w:p>
      <w:pPr>
        <w:spacing w:before="0" w:after="0" w:line="240" w:lineRule="auto"/>
        <w:jc w:val="left"/>
      </w:pPr>
      <w:r>
        <w:rPr>
          <w:rFonts w:ascii="Arial" w:hAnsi="Arial" w:cs="Arial"/>
          <w:b/>
          <w:sz w:val="22"/>
        </w:rPr>
        <w:t>ANÁLISIS</w:t>
      </w:r>
    </w:p>
    <w:p>
      <w:pPr>
        <w:spacing w:before="0" w:after="0" w:line="240" w:lineRule="auto"/>
        <w:jc w:val="left"/>
      </w:pPr>
      <w:r>
        <w:rPr>
          <w:rFonts w:ascii="Arial" w:hAnsi="Arial" w:cs="Arial"/>
          <w:b/>
          <w:sz w:val="22"/>
        </w:rPr>
        <w:t>Sobre la improcedencia de la denuncia interpuesta por SEÑOR MENDOZA</w:t>
      </w:r>
    </w:p>
    <w:p>
      <w:pPr>
        <w:spacing w:before="0" w:after="0" w:line="240" w:lineRule="auto"/>
        <w:jc w:val="both"/>
      </w:pPr>
      <w:r>
        <w:rPr>
          <w:rFonts w:ascii="Arial" w:hAnsi="Arial" w:cs="Arial"/>
          <w:b w:val="0"/>
          <w:sz w:val="22"/>
        </w:rPr>
        <w:t xml:space="preserve">El artículo </w:t>
      </w:r>
      <w:r>
        <w:rPr>
          <w:rFonts w:ascii="Arial" w:hAnsi="Arial" w:cs="Arial"/>
          <w:b w:val="0"/>
          <w:sz w:val="22"/>
        </w:rPr>
        <w:t>105</w:t>
      </w:r>
      <w:r>
        <w:rPr>
          <w:rFonts w:ascii="Arial" w:hAnsi="Arial" w:cs="Arial"/>
          <w:b w:val="0"/>
          <w:sz w:val="22"/>
          <w:vertAlign w:val="superscript"/>
        </w:rPr>
        <w:t>°</w:t>
      </w:r>
      <w:r>
        <w:rPr>
          <w:rFonts w:ascii="Arial" w:hAnsi="Arial" w:cs="Arial"/>
          <w:b w:val="0"/>
          <w:sz w:val="22"/>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p>
    <w:p>
      <w:pPr>
        <w:spacing w:before="0" w:after="0" w:line="240" w:lineRule="auto"/>
        <w:jc w:val="both"/>
      </w:pPr>
    </w:p>
    <w:p>
      <w:pPr>
        <w:spacing w:before="0" w:after="0" w:line="240" w:lineRule="auto"/>
        <w:jc w:val="both"/>
      </w:pPr>
      <w:r>
        <w:rPr>
          <w:rFonts w:ascii="Arial" w:hAnsi="Arial" w:cs="Arial"/>
          <w:b w:val="0"/>
          <w:sz w:val="22"/>
        </w:rPr>
        <w:t>Dicho criterio fue recogido previamente en el precedente de observancia obligatoria aprobado por el Tribunal de Defensa de la Competencia mediante Resolución 0277-1999/TDC-INDECOPI, que señaló lo siguiente:</w:t>
      </w:r>
    </w:p>
    <w:p>
      <w:pPr>
        <w:spacing w:before="0" w:after="0" w:line="240" w:lineRule="auto"/>
        <w:jc w:val="both"/>
      </w:pPr>
    </w:p>
    <w:p>
      <w:pPr>
        <w:spacing w:before="0" w:after="0" w:line="240" w:lineRule="auto"/>
        <w:jc w:val="both"/>
      </w:pPr>
      <w:r>
        <w:rPr>
          <w:rFonts w:ascii="Arial" w:hAnsi="Arial" w:cs="Arial"/>
          <w:b w:val="0"/>
          <w:sz w:val="22"/>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p>
    <w:p>
      <w:pPr>
        <w:spacing w:before="0" w:after="0" w:line="240" w:lineRule="auto"/>
        <w:jc w:val="both"/>
      </w:pPr>
    </w:p>
    <w:p>
      <w:pPr>
        <w:spacing w:before="0" w:after="0" w:line="240" w:lineRule="auto"/>
        <w:jc w:val="both"/>
      </w:pPr>
      <w:r>
        <w:rPr>
          <w:rFonts w:ascii="Arial" w:hAnsi="Arial" w:cs="Arial"/>
          <w:b w:val="0"/>
          <w:sz w:val="22"/>
        </w:rPr>
        <w:t xml:space="preserve">Al respecto, la Comisión de Protección al Consumidor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1 (en adelante, la Comisión) debe verificar si el Indecopi es el órgano competente para pronunciarse sobre el hecho cuestionado por SEÑOR MENDOZA en su denuncia.</w:t>
      </w:r>
    </w:p>
    <w:p>
      <w:pPr>
        <w:spacing w:before="0" w:after="0" w:line="240" w:lineRule="auto"/>
        <w:jc w:val="both"/>
      </w:pPr>
    </w:p>
    <w:p>
      <w:pPr>
        <w:spacing w:before="0" w:after="0" w:line="240" w:lineRule="auto"/>
        <w:jc w:val="left"/>
      </w:pPr>
      <w:r>
        <w:rPr>
          <w:rFonts w:ascii="Arial" w:hAnsi="Arial" w:cs="Arial"/>
          <w:b/>
          <w:sz w:val="22"/>
        </w:rPr>
        <w:t xml:space="preserve">(i) </w:t>
        <w:tab/>
        <w:t>De la competencia de la Superintendencia Nacional de Salud (Susalud)</w:t>
      </w:r>
    </w:p>
    <w:p>
      <w:pPr>
        <w:spacing w:before="0" w:after="0" w:line="240" w:lineRule="auto"/>
        <w:jc w:val="both"/>
      </w:pPr>
      <w:r>
        <w:rPr>
          <w:rFonts w:ascii="Arial" w:hAnsi="Arial" w:cs="Arial"/>
          <w:b w:val="0"/>
          <w:sz w:val="22"/>
        </w:rPr>
        <w:t>El Decreto Legislativo 1158, cuerpo normativo orientado al fortalecimiento de Susalud, tiene como objetivo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p>
    <w:p>
      <w:pPr>
        <w:spacing w:before="0" w:after="0" w:line="240" w:lineRule="auto"/>
        <w:jc w:val="both"/>
      </w:pPr>
    </w:p>
    <w:p>
      <w:pPr>
        <w:spacing w:before="0" w:after="0" w:line="240" w:lineRule="auto"/>
        <w:jc w:val="both"/>
      </w:pPr>
      <w:r>
        <w:rPr>
          <w:rFonts w:ascii="Arial" w:hAnsi="Arial" w:cs="Arial"/>
          <w:b w:val="0"/>
          <w:sz w:val="22"/>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p>
    <w:p>
      <w:pPr>
        <w:spacing w:before="0" w:after="0" w:line="240" w:lineRule="auto"/>
        <w:jc w:val="both"/>
      </w:pPr>
    </w:p>
    <w:p>
      <w:pPr>
        <w:spacing w:before="0" w:after="0" w:line="240" w:lineRule="auto"/>
        <w:jc w:val="both"/>
      </w:pPr>
      <w:r>
        <w:rPr>
          <w:rFonts w:ascii="Arial" w:hAnsi="Arial" w:cs="Arial"/>
          <w:b w:val="0"/>
          <w:sz w:val="22"/>
        </w:rPr>
        <w:t>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w:t>
      </w:r>
    </w:p>
    <w:p>
      <w:pPr>
        <w:spacing w:before="0" w:after="0" w:line="240" w:lineRule="auto"/>
        <w:jc w:val="both"/>
      </w:pPr>
    </w:p>
    <w:p>
      <w:pPr>
        <w:spacing w:before="0" w:after="0" w:line="240" w:lineRule="auto"/>
        <w:jc w:val="both"/>
      </w:pPr>
      <w:r>
        <w:rPr>
          <w:rFonts w:ascii="Arial" w:hAnsi="Arial" w:cs="Arial"/>
          <w:b w:val="0"/>
          <w:sz w:val="22"/>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p>
    <w:p>
      <w:pPr>
        <w:spacing w:before="0" w:after="0" w:line="240" w:lineRule="auto"/>
        <w:jc w:val="both"/>
      </w:pPr>
    </w:p>
    <w:p>
      <w:pPr>
        <w:spacing w:before="0" w:after="0" w:line="240" w:lineRule="auto"/>
        <w:jc w:val="both"/>
      </w:pPr>
      <w:r>
        <w:rPr>
          <w:rFonts w:ascii="Arial" w:hAnsi="Arial" w:cs="Arial"/>
          <w:b w:val="0"/>
          <w:sz w:val="22"/>
        </w:rPr>
        <w:t>Dichas conductas, conforme al artículo 11 del citado dispositivo legal, acarrean la imposición de sanciones que abarcan desde una amonestación escrita hasta la revocación de la autorización de funcionamiento para las IAFAS e IPRESS.</w:t>
      </w:r>
    </w:p>
    <w:p>
      <w:pPr>
        <w:spacing w:before="0" w:after="0" w:line="240" w:lineRule="auto"/>
        <w:jc w:val="both"/>
      </w:pPr>
    </w:p>
    <w:p>
      <w:pPr>
        <w:spacing w:before="0" w:after="0" w:line="240" w:lineRule="auto"/>
        <w:jc w:val="both"/>
      </w:pPr>
      <w:r>
        <w:rPr>
          <w:rFonts w:ascii="Arial" w:hAnsi="Arial" w:cs="Arial"/>
          <w:b w:val="0"/>
          <w:sz w:val="22"/>
        </w:rPr>
        <w:t xml:space="preserve">Asimismo, conforme al Anexo I-B del Reglamento de Infracciones y Sanciones de Susalud, aprobado por el Decreto Supremo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031-2014-SA, dicha entidad se encuentra facultada para sancionar las conductas incurridas por parte de las IPRESS en perjuicio de los usuarios de los servicios de salud.</w:t>
      </w:r>
    </w:p>
    <w:p>
      <w:pPr>
        <w:spacing w:before="0" w:after="0" w:line="240" w:lineRule="auto"/>
        <w:jc w:val="both"/>
      </w:pPr>
    </w:p>
    <w:p>
      <w:pPr>
        <w:spacing w:before="0" w:after="0" w:line="240" w:lineRule="auto"/>
        <w:jc w:val="both"/>
      </w:pPr>
      <w:r>
        <w:rPr>
          <w:rFonts w:ascii="Arial" w:hAnsi="Arial" w:cs="Arial"/>
          <w:b w:val="0"/>
          <w:sz w:val="22"/>
        </w:rPr>
        <w:t>Adicionalmente a su potestad sancionadora, Susalud se encuentra facultada a ordenar medidas correctivas, a fin de corregir o revertir los efectos que la conducta infractora hubiera ocasionado o evitar que esta se produzca nuevamente.</w:t>
      </w:r>
    </w:p>
    <w:p>
      <w:pPr>
        <w:spacing w:before="0" w:after="0" w:line="240" w:lineRule="auto"/>
        <w:jc w:val="both"/>
      </w:pPr>
    </w:p>
    <w:p>
      <w:pPr>
        <w:spacing w:before="0" w:after="0" w:line="240" w:lineRule="auto"/>
        <w:jc w:val="both"/>
      </w:pPr>
      <w:r>
        <w:rPr>
          <w:rFonts w:ascii="Arial" w:hAnsi="Arial" w:cs="Arial"/>
          <w:b w:val="0"/>
          <w:sz w:val="22"/>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p>
    <w:p>
      <w:pPr>
        <w:spacing w:before="0" w:after="0" w:line="240" w:lineRule="auto"/>
        <w:jc w:val="both"/>
      </w:pPr>
    </w:p>
    <w:p>
      <w:pPr>
        <w:spacing w:before="0" w:after="0" w:line="240" w:lineRule="auto"/>
        <w:jc w:val="both"/>
      </w:pPr>
      <w:r>
        <w:rPr>
          <w:rFonts w:ascii="Arial" w:hAnsi="Arial" w:cs="Arial"/>
          <w:b w:val="0"/>
          <w:sz w:val="22"/>
        </w:rPr>
        <w:t>Además, Susalud tiene la potestad de aplicar multas coercitivas en el supuesto que los infractores sancionados sean renuentes al cumplimiento de la sanción impuesta, las medidas correctivas ordenadas y/o en caso incurran nuevamente en la conducta infractora.</w:t>
      </w:r>
    </w:p>
    <w:p>
      <w:pPr>
        <w:spacing w:before="0" w:after="0" w:line="240" w:lineRule="auto"/>
        <w:jc w:val="both"/>
      </w:pPr>
    </w:p>
    <w:p>
      <w:pPr>
        <w:spacing w:before="0" w:after="0" w:line="240" w:lineRule="auto"/>
        <w:jc w:val="both"/>
      </w:pPr>
      <w:r>
        <w:rPr>
          <w:rFonts w:ascii="Arial" w:hAnsi="Arial" w:cs="Arial"/>
          <w:b w:val="0"/>
          <w:sz w:val="22"/>
        </w:rPr>
        <w:t xml:space="preserve">Por otro lado, el 13 de agosto de 2015, se publicó el Reglamento del Procedimiento de Transferencia de Funciones del Indecopi a Susalud, aprobado por Decreto Supremo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p>
    <w:p>
      <w:pPr>
        <w:spacing w:before="0" w:after="0" w:line="240" w:lineRule="auto"/>
        <w:jc w:val="both"/>
      </w:pPr>
    </w:p>
    <w:p>
      <w:pPr>
        <w:spacing w:before="0" w:after="0" w:line="240" w:lineRule="auto"/>
        <w:jc w:val="both"/>
      </w:pPr>
      <w:r>
        <w:rPr>
          <w:rFonts w:ascii="Arial" w:hAnsi="Arial" w:cs="Arial"/>
          <w:b w:val="0"/>
          <w:sz w:val="22"/>
        </w:rPr>
        <w:t>Ahora bien, respecto de la competencia de Susalud y del Indecopi, el artículo 9 del citado Reglamento dispone lo siguiente:</w:t>
      </w:r>
    </w:p>
    <w:p>
      <w:pPr>
        <w:spacing w:before="0" w:after="0" w:line="240" w:lineRule="auto"/>
        <w:jc w:val="both"/>
      </w:pPr>
    </w:p>
    <w:p>
      <w:pPr>
        <w:spacing w:before="0" w:after="0" w:line="240" w:lineRule="auto"/>
        <w:jc w:val="both"/>
      </w:pPr>
      <w:r>
        <w:rPr>
          <w:rFonts w:ascii="Arial" w:hAnsi="Arial" w:cs="Arial"/>
          <w:b w:val="0"/>
          <w:sz w:val="22"/>
        </w:rPr>
        <w:t xml:space="preserve">(i) </w:t>
        <w:tab/>
        <w:t>Susalud asume competencia sobre todos aquellos actos u omisiones ocurridos a partir de la vigencia de la norma (14 de agosto de 2015), que constituyan presuntas infracciones a las disposiciones relativas a la protección de los derechos de los usuarios en su relación de consumo con las instituciones bajo su ámbito de competencia, así como aquellas previas o derivadas de esta.</w:t>
      </w:r>
    </w:p>
    <w:p>
      <w:pPr>
        <w:spacing w:before="0" w:after="0" w:line="240" w:lineRule="auto"/>
        <w:jc w:val="both"/>
      </w:pPr>
    </w:p>
    <w:p>
      <w:pPr>
        <w:spacing w:before="0" w:after="0" w:line="240" w:lineRule="auto"/>
        <w:jc w:val="both"/>
      </w:pPr>
      <w:r>
        <w:rPr>
          <w:rFonts w:ascii="Arial" w:hAnsi="Arial" w:cs="Arial"/>
          <w:b w:val="0"/>
          <w:sz w:val="22"/>
        </w:rPr>
        <w:t xml:space="preserve">(ii) </w:t>
        <w:tab/>
        <w:t>Indecopi mantiene competencia sobre todos aquellos actos u omisiones ocurridos antes de la vigencia de la norma (hasta el 13 de agosto de 2015), en las materias señaladas en el párrafo precedente, hasta su conclusión en la vía administrativa, arbitral y/o sede judicial.</w:t>
      </w:r>
    </w:p>
    <w:p>
      <w:pPr>
        <w:spacing w:before="0" w:after="0" w:line="240" w:lineRule="auto"/>
        <w:jc w:val="both"/>
      </w:pPr>
    </w:p>
    <w:p>
      <w:pPr>
        <w:spacing w:before="0" w:after="0" w:line="240" w:lineRule="auto"/>
        <w:jc w:val="both"/>
      </w:pPr>
      <w:r>
        <w:rPr>
          <w:rFonts w:ascii="Arial" w:hAnsi="Arial" w:cs="Arial"/>
          <w:b w:val="0"/>
          <w:sz w:val="22"/>
        </w:rPr>
        <w:t xml:space="preserve">Por su parte, el Reglamento para la Atención de Reclamos y Quejas de los Usuarios de las IAFAS, IPRESS y UGIPRESS, aprobado por Decreto Supremo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030-2016-SA y publicado el 27 de julio de 2016, establece que Susalud es la autoridad competente para conocer y resolver los procedimientos para la atención de reclamos y quejas de usuarios establecidos por dicha entidad.</w:t>
      </w:r>
    </w:p>
    <w:p>
      <w:pPr>
        <w:spacing w:before="0" w:after="0" w:line="240" w:lineRule="auto"/>
        <w:jc w:val="both"/>
      </w:pPr>
    </w:p>
    <w:p>
      <w:pPr>
        <w:spacing w:before="0" w:after="0" w:line="240" w:lineRule="auto"/>
        <w:jc w:val="both"/>
      </w:pPr>
      <w:r>
        <w:rPr>
          <w:rFonts w:ascii="Arial" w:hAnsi="Arial" w:cs="Arial"/>
          <w:b w:val="0"/>
          <w:sz w:val="22"/>
        </w:rPr>
        <w:t>A continuación, se determinará la autoridad competente para conocer la denuncia interpuesta por SEÑOR MENDOZA contra CLÍNICA, de ser el caso, imponer las sanciones correspondientes.</w:t>
      </w:r>
    </w:p>
    <w:p>
      <w:pPr>
        <w:spacing w:before="0" w:after="0" w:line="240" w:lineRule="auto"/>
        <w:jc w:val="both"/>
      </w:pPr>
    </w:p>
    <w:p>
      <w:pPr>
        <w:spacing w:before="0" w:after="0" w:line="240" w:lineRule="auto"/>
        <w:jc w:val="left"/>
      </w:pPr>
      <w:r>
        <w:rPr>
          <w:rFonts w:ascii="Arial" w:hAnsi="Arial" w:cs="Arial"/>
          <w:b/>
          <w:sz w:val="22"/>
        </w:rPr>
        <w:t xml:space="preserve">(ii) </w:t>
        <w:tab/>
        <w:t>Aplicación al caso concreto</w:t>
      </w:r>
    </w:p>
    <w:p>
      <w:pPr>
        <w:spacing w:before="0" w:after="0" w:line="240" w:lineRule="auto"/>
        <w:jc w:val="both"/>
      </w:pPr>
      <w:r>
        <w:rPr>
          <w:rFonts w:ascii="Arial" w:hAnsi="Arial" w:cs="Arial"/>
          <w:b w:val="0"/>
          <w:sz w:val="22"/>
        </w:rPr>
        <w:t>El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p>
    <w:p>
      <w:pPr>
        <w:spacing w:before="0" w:after="0" w:line="240" w:lineRule="auto"/>
        <w:jc w:val="both"/>
      </w:pPr>
    </w:p>
    <w:p>
      <w:pPr>
        <w:spacing w:before="0" w:after="0" w:line="240" w:lineRule="auto"/>
        <w:jc w:val="both"/>
      </w:pPr>
      <w:r>
        <w:rPr>
          <w:rFonts w:ascii="Arial" w:hAnsi="Arial" w:cs="Arial"/>
          <w:b w:val="0"/>
          <w:sz w:val="22"/>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pPr>
        <w:spacing w:before="0" w:after="0" w:line="240" w:lineRule="auto"/>
        <w:jc w:val="both"/>
      </w:pPr>
    </w:p>
    <w:p>
      <w:pPr>
        <w:spacing w:before="0" w:after="0" w:line="240" w:lineRule="auto"/>
        <w:jc w:val="both"/>
      </w:pPr>
      <w:r>
        <w:rPr>
          <w:rFonts w:ascii="Arial" w:hAnsi="Arial" w:cs="Arial"/>
          <w:b w:val="0"/>
          <w:sz w:val="22"/>
        </w:rPr>
        <w:t>En el presente caso, SEÑOR MENDOZA cuestionó que CLÍNICA no le habría brindado una atención médica diligente y adecuada durante su ingreso por emergencia el 10 de mayo de 2026, al prescribirle únicamente analgésicos sin practicarle exámenes de descarte para apendicitis aguda, y no le habría cumplido con entregar la copia completa de su historia clínica y hoja de atención médica.</w:t>
      </w:r>
    </w:p>
    <w:p>
      <w:pPr>
        <w:spacing w:before="0" w:after="0" w:line="240" w:lineRule="auto"/>
        <w:jc w:val="both"/>
      </w:pPr>
    </w:p>
    <w:p>
      <w:pPr>
        <w:spacing w:before="0" w:after="0" w:line="240" w:lineRule="auto"/>
        <w:jc w:val="both"/>
      </w:pPr>
      <w:r>
        <w:rPr>
          <w:rFonts w:ascii="Arial" w:hAnsi="Arial" w:cs="Arial"/>
          <w:b w:val="0"/>
          <w:sz w:val="22"/>
        </w:rPr>
        <w:t>Por lo cual, dichas conductas infractoras, al estar vinculadas a servicios de salud, deben ser analizadas por Susalud al ser materia de su competencia, toda vez que el artículo 7 del Decreto Legislativo 1158 precisa que las IPRESS se encuentran comprendidas por establecimientos de salud, servicios de apoyo médico y servicios complementarios o auxiliares de atención médica; con lo cual se desprende que Susalud es la entidad que tiene como finalidad la protección de los intereses de las personas que accedan a servicios de salud, lográndose dicho objetivo a través de la supervisión de las IPRESS, entre las cuales se encuentra CLÍNICA.</w:t>
      </w:r>
    </w:p>
    <w:p>
      <w:pPr>
        <w:spacing w:before="0" w:after="0" w:line="240" w:lineRule="auto"/>
        <w:jc w:val="both"/>
      </w:pPr>
    </w:p>
    <w:p>
      <w:pPr>
        <w:spacing w:before="0" w:after="0" w:line="240" w:lineRule="auto"/>
        <w:jc w:val="both"/>
      </w:pPr>
      <w:r>
        <w:rPr>
          <w:rFonts w:ascii="Arial" w:hAnsi="Arial" w:cs="Arial"/>
          <w:b w:val="0"/>
          <w:sz w:val="22"/>
        </w:rPr>
        <w:t>Ahora bien, la parte denunciante señaló que interpuso una denuncia a Susalud debido a la gravedad del caso; sin embargo, ello no genera una duplicidad, en tanto ante Indecopi denuncia infracciones al Código.</w:t>
      </w:r>
    </w:p>
    <w:p>
      <w:pPr>
        <w:spacing w:before="0" w:after="0" w:line="240" w:lineRule="auto"/>
        <w:jc w:val="both"/>
      </w:pPr>
    </w:p>
    <w:p>
      <w:pPr>
        <w:spacing w:before="0" w:after="0" w:line="240" w:lineRule="auto"/>
        <w:jc w:val="both"/>
      </w:pPr>
      <w:r>
        <w:rPr>
          <w:rFonts w:ascii="Arial" w:hAnsi="Arial" w:cs="Arial"/>
          <w:b w:val="0"/>
          <w:sz w:val="22"/>
        </w:rPr>
        <w:t>En consecuencia, la Comisión considera que corresponde declarar improcedente la denuncia interpuesta por SEÑOR MENDOZA contra CLÍNICA, en la medida que las conductas cuestionadas por el denunciante resultan ser materia de competencia de Susalud.</w:t>
      </w:r>
    </w:p>
    <w:p>
      <w:pPr>
        <w:spacing w:before="0" w:after="0" w:line="240" w:lineRule="auto"/>
        <w:jc w:val="both"/>
      </w:pPr>
    </w:p>
    <w:p>
      <w:pPr>
        <w:spacing w:before="0" w:after="0" w:line="240" w:lineRule="auto"/>
        <w:jc w:val="both"/>
      </w:pPr>
      <w:r>
        <w:rPr>
          <w:rFonts w:ascii="Arial" w:hAnsi="Arial" w:cs="Arial"/>
          <w:b w:val="0"/>
          <w:sz w:val="22"/>
        </w:rPr>
        <w:t>Adicionalmente, este órgano colegiado estima pertinente remitir a Susalud el original de todo lo actuado en el presente procedimiento, a efectos de que adopte las medidas correspondientes en el ámbito de su competencia.</w:t>
      </w:r>
    </w:p>
    <w:p>
      <w:pPr>
        <w:spacing w:before="0" w:after="0" w:line="240" w:lineRule="auto"/>
        <w:jc w:val="both"/>
      </w:pPr>
    </w:p>
    <w:p>
      <w:pPr>
        <w:spacing w:before="0" w:after="0" w:line="240" w:lineRule="auto"/>
        <w:jc w:val="both"/>
      </w:pPr>
      <w:r>
        <w:rPr>
          <w:rFonts w:ascii="Arial" w:hAnsi="Arial" w:cs="Arial"/>
          <w:b w:val="0"/>
          <w:sz w:val="22"/>
        </w:rPr>
        <w:t>Finalmente, este órgano colegiado considera que no corresponde pronunciarse sobre la solicitud de la medida cautelar presentada por SEÑOR MENDOZA en la medida que la presente denuncia fue declarada improcedente.</w:t>
      </w:r>
    </w:p>
    <w:p>
      <w:pPr>
        <w:spacing w:before="0" w:after="0" w:line="240" w:lineRule="auto"/>
        <w:jc w:val="both"/>
      </w:pPr>
    </w:p>
    <w:p>
      <w:pPr>
        <w:spacing w:before="0" w:after="0" w:line="240" w:lineRule="auto"/>
        <w:jc w:val="left"/>
      </w:pPr>
      <w:r>
        <w:rPr>
          <w:rFonts w:ascii="Arial" w:hAnsi="Arial" w:cs="Arial"/>
          <w:b/>
          <w:sz w:val="22"/>
        </w:rPr>
        <w:t>RESUELVE</w:t>
      </w:r>
    </w:p>
    <w:p>
      <w:pPr>
        <w:spacing w:before="0" w:after="0" w:line="240" w:lineRule="auto"/>
        <w:jc w:val="both"/>
      </w:pPr>
      <w:r>
        <w:rPr>
          <w:rFonts w:ascii="Arial" w:hAnsi="Arial" w:cs="Arial"/>
          <w:b w:val="0"/>
          <w:sz w:val="22"/>
        </w:rPr>
        <w:t xml:space="preserve">PRIMERO: declarar improcedente la denuncia interpuesta por CARLOS ALBERTO MENDOZA VÁSQUEZ contra CLÍNICA INTERNACIONAL S.A., por presunta infracción a la Ley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29571, Código de Protección y Defensa del Consumidor, en la medida que ha quedado acreditado que la conducta cuestionada resulta ser materia de exclusiva competencia de la Superintendencia Nacional de Salud. En consecuencia, disponer la devolución al denunciante de la tasa por derecho de trámite pagada, previa solicitud a la Unidad de Finanzas y Contabilidad del Indecopi.</w:t>
      </w:r>
    </w:p>
    <w:p>
      <w:pPr>
        <w:spacing w:before="0" w:after="0" w:line="240" w:lineRule="auto"/>
        <w:jc w:val="both"/>
      </w:pPr>
    </w:p>
    <w:p>
      <w:pPr>
        <w:spacing w:before="0" w:after="0" w:line="240" w:lineRule="auto"/>
        <w:jc w:val="both"/>
      </w:pPr>
      <w:r>
        <w:rPr>
          <w:rFonts w:ascii="Arial" w:hAnsi="Arial" w:cs="Arial"/>
          <w:b w:val="0"/>
          <w:sz w:val="22"/>
        </w:rPr>
        <w:t xml:space="preserve">SEGUNDO: ordenar a la Secretaría Técnica de la Comisión de Protección al Consumidor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1 que remita el original de todo lo actuado en el presente procedimiento a la Superintendencia Nacional de Salud, a efectos de que adopte las medidas correspondientes en el ámbito de su competencia.</w:t>
      </w:r>
    </w:p>
    <w:p>
      <w:pPr>
        <w:spacing w:before="0" w:after="0" w:line="240" w:lineRule="auto"/>
        <w:jc w:val="both"/>
      </w:pPr>
    </w:p>
    <w:p>
      <w:pPr>
        <w:spacing w:before="0" w:after="0" w:line="240" w:lineRule="auto"/>
        <w:jc w:val="both"/>
      </w:pPr>
      <w:r>
        <w:rPr>
          <w:rFonts w:ascii="Arial" w:hAnsi="Arial" w:cs="Arial"/>
          <w:b w:val="0"/>
          <w:sz w:val="22"/>
        </w:rPr>
        <w:t xml:space="preserve">TERCERO: informar al CARLOS ALBERTO MENDOZA VÁSQUEZ que la presente resolución tiene vigencia desde el día de su notificación y no agota la vía administrativa. En tal sentido, de conformidad con lo dispuesto por el artículo </w:t>
      </w:r>
      <w:r>
        <w:rPr>
          <w:rFonts w:ascii="Arial" w:hAnsi="Arial" w:cs="Arial"/>
          <w:b w:val="0"/>
          <w:sz w:val="22"/>
        </w:rPr>
        <w:t>38</w:t>
      </w:r>
      <w:r>
        <w:rPr>
          <w:rFonts w:ascii="Arial" w:hAnsi="Arial" w:cs="Arial"/>
          <w:b w:val="0"/>
          <w:sz w:val="22"/>
          <w:vertAlign w:val="superscript"/>
        </w:rPr>
        <w:t>°</w:t>
      </w:r>
      <w:r>
        <w:rPr>
          <w:rFonts w:ascii="Arial" w:hAnsi="Arial" w:cs="Arial"/>
          <w:b w:val="0"/>
          <w:sz w:val="22"/>
        </w:rPr>
        <w:t xml:space="preserve"> del Decreto Legislativo Nº 807, el único recurso impugnativo que puede interponerse contra lo dispuesto por la Comisión de Protección al Consumidor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1 es el de apelación, el cual debe ser presentado ante dicho órgano colegiado en un plazo no mayor de quince (15) días hábiles, contado a partir del día siguiente de su notificación, ello de acuerdo con lo establecido en el artículo </w:t>
      </w:r>
      <w:r>
        <w:rPr>
          <w:rFonts w:ascii="Arial" w:hAnsi="Arial" w:cs="Arial"/>
          <w:b w:val="0"/>
          <w:sz w:val="22"/>
        </w:rPr>
        <w:t>212</w:t>
      </w:r>
      <w:r>
        <w:rPr>
          <w:rFonts w:ascii="Arial" w:hAnsi="Arial" w:cs="Arial"/>
          <w:b w:val="0"/>
          <w:sz w:val="22"/>
          <w:vertAlign w:val="superscript"/>
        </w:rPr>
        <w:t>°</w:t>
      </w:r>
      <w:r>
        <w:rPr>
          <w:rFonts w:ascii="Arial" w:hAnsi="Arial" w:cs="Arial"/>
          <w:b w:val="0"/>
          <w:sz w:val="22"/>
        </w:rPr>
        <w:t xml:space="preserve"> del Texto Único Ordenado de la Ley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27444, Ley del Procedimiento Administrativo General, aprobado por Decreto Supremo </w:t>
      </w:r>
      <w:r>
        <w:rPr>
          <w:rFonts w:ascii="Arial" w:hAnsi="Arial" w:cs="Arial"/>
          <w:b w:val="0"/>
          <w:sz w:val="22"/>
        </w:rPr>
        <w:t>N</w:t>
      </w:r>
      <w:r>
        <w:rPr>
          <w:rFonts w:ascii="Arial" w:hAnsi="Arial" w:cs="Arial"/>
          <w:b w:val="0"/>
          <w:sz w:val="22"/>
          <w:vertAlign w:val="superscript"/>
        </w:rPr>
        <w:t>°</w:t>
      </w:r>
      <w:r>
        <w:rPr>
          <w:rFonts w:ascii="Arial" w:hAnsi="Arial" w:cs="Arial"/>
          <w:b w:val="0"/>
          <w:sz w:val="22"/>
        </w:rPr>
        <w:t xml:space="preserve"> 006-2026-JUS; caso contrario, la resolución quedará consentida.</w:t>
      </w:r>
    </w:p>
    <w:p>
      <w:pPr>
        <w:spacing w:before="0" w:after="0" w:line="240" w:lineRule="auto"/>
        <w:jc w:val="both"/>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E755" w14:textId="77777777" w:rsidR="003B5E3B" w:rsidRDefault="003B5E3B" w:rsidP="0067638B">
      <w:pPr>
        <w:spacing w:after="0" w:line="240" w:lineRule="auto"/>
      </w:pPr>
      <w:r>
        <w:separator/>
      </w:r>
    </w:p>
  </w:endnote>
  <w:endnote w:type="continuationSeparator" w:id="0">
    <w:p w14:paraId="546528AF" w14:textId="77777777" w:rsidR="003B5E3B" w:rsidRDefault="003B5E3B"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5E8A2" w14:textId="77777777" w:rsidR="003B5E3B" w:rsidRDefault="003B5E3B" w:rsidP="0067638B">
      <w:pPr>
        <w:spacing w:after="0" w:line="240" w:lineRule="auto"/>
      </w:pPr>
      <w:r>
        <w:separator/>
      </w:r>
    </w:p>
  </w:footnote>
  <w:footnote w:type="continuationSeparator" w:id="0">
    <w:p w14:paraId="7BFECF1A" w14:textId="77777777" w:rsidR="003B5E3B" w:rsidRDefault="003B5E3B"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3">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4">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5">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6">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7">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18">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19">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497C6386"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Pr>
        <w:rFonts w:ascii="Arial" w:hAnsi="Arial"/>
        <w:sz w:val="17"/>
      </w:rPr>
      <w:tab/>
      <w:t>EXPEDIENTE  9999-2026/CC1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4265"/>
    <w:rsid w:val="002852F1"/>
    <w:rsid w:val="002A7CF8"/>
    <w:rsid w:val="002B1D5C"/>
    <w:rsid w:val="002B25F0"/>
    <w:rsid w:val="002C1768"/>
    <w:rsid w:val="002E5451"/>
    <w:rsid w:val="00303734"/>
    <w:rsid w:val="00362634"/>
    <w:rsid w:val="003761D4"/>
    <w:rsid w:val="003B01B9"/>
    <w:rsid w:val="003B5E3B"/>
    <w:rsid w:val="003C1055"/>
    <w:rsid w:val="003C21E0"/>
    <w:rsid w:val="003C6FCC"/>
    <w:rsid w:val="003F0C0C"/>
    <w:rsid w:val="004012A6"/>
    <w:rsid w:val="004039CE"/>
    <w:rsid w:val="00404276"/>
    <w:rsid w:val="00406665"/>
    <w:rsid w:val="004179C2"/>
    <w:rsid w:val="00421E08"/>
    <w:rsid w:val="004373FE"/>
    <w:rsid w:val="00452343"/>
    <w:rsid w:val="00453F01"/>
    <w:rsid w:val="00455780"/>
    <w:rsid w:val="0046040D"/>
    <w:rsid w:val="00461C10"/>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37269"/>
    <w:rsid w:val="0087741C"/>
    <w:rsid w:val="008A211A"/>
    <w:rsid w:val="008A5C6F"/>
    <w:rsid w:val="00903D6D"/>
    <w:rsid w:val="00910477"/>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373BE"/>
    <w:rsid w:val="00A550E3"/>
    <w:rsid w:val="00A675D3"/>
    <w:rsid w:val="00A77D2C"/>
    <w:rsid w:val="00AA6C36"/>
    <w:rsid w:val="00AD2753"/>
    <w:rsid w:val="00AF5F33"/>
    <w:rsid w:val="00AF64E7"/>
    <w:rsid w:val="00B054EE"/>
    <w:rsid w:val="00B16516"/>
    <w:rsid w:val="00B22956"/>
    <w:rsid w:val="00B351FD"/>
    <w:rsid w:val="00B3607D"/>
    <w:rsid w:val="00B364BB"/>
    <w:rsid w:val="00B43C46"/>
    <w:rsid w:val="00B47184"/>
    <w:rsid w:val="00B472E3"/>
    <w:rsid w:val="00B60162"/>
    <w:rsid w:val="00B65218"/>
    <w:rsid w:val="00B712ED"/>
    <w:rsid w:val="00B74BDE"/>
    <w:rsid w:val="00B95660"/>
    <w:rsid w:val="00BB6DF2"/>
    <w:rsid w:val="00BC2411"/>
    <w:rsid w:val="00BC439C"/>
    <w:rsid w:val="00BD098A"/>
    <w:rsid w:val="00BE0F3A"/>
    <w:rsid w:val="00BF3B56"/>
    <w:rsid w:val="00BF6824"/>
    <w:rsid w:val="00C03AC9"/>
    <w:rsid w:val="00C06ECA"/>
    <w:rsid w:val="00C14745"/>
    <w:rsid w:val="00C41199"/>
    <w:rsid w:val="00C46980"/>
    <w:rsid w:val="00C534F5"/>
    <w:rsid w:val="00C73C8B"/>
    <w:rsid w:val="00CA50C5"/>
    <w:rsid w:val="00CB4A0A"/>
    <w:rsid w:val="00CD0C8E"/>
    <w:rsid w:val="00CE042D"/>
    <w:rsid w:val="00CE0C10"/>
    <w:rsid w:val="00CF334A"/>
    <w:rsid w:val="00CF6618"/>
    <w:rsid w:val="00D04A70"/>
    <w:rsid w:val="00D26011"/>
    <w:rsid w:val="00D60BD3"/>
    <w:rsid w:val="00D66750"/>
    <w:rsid w:val="00D7176E"/>
    <w:rsid w:val="00D9526A"/>
    <w:rsid w:val="00D96091"/>
    <w:rsid w:val="00D97F90"/>
    <w:rsid w:val="00DA7ED2"/>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D0B1E"/>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10</Pages>
  <Words>2468</Words>
  <Characters>13579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70</cp:revision>
  <dcterms:created xsi:type="dcterms:W3CDTF">2025-02-05T19:53:00Z</dcterms:created>
  <dcterms:modified xsi:type="dcterms:W3CDTF">2026-09-10T17:58:00Z</dcterms:modified>
</cp:coreProperties>
</file>