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EDA63" w14:textId="5202331D" w:rsidR="00C31986" w:rsidRPr="00CA2916" w:rsidRDefault="00927F70" w:rsidP="00A61A25">
      <w:pPr>
        <w:keepNext/>
        <w:tabs>
          <w:tab w:val="left" w:pos="567"/>
          <w:tab w:val="left" w:pos="2268"/>
        </w:tabs>
        <w:rPr>
          <w:rFonts w:ascii="Arial" w:eastAsia="Arial" w:hAnsi="Arial" w:cs="Arial"/>
          <w:i/>
          <w:iCs/>
          <w:sz w:val="18"/>
          <w:szCs w:val="18"/>
          <w:lang w:val="pt-PT"/>
        </w:rPr>
      </w:pPr>
      <w:bookmarkStart w:id="0" w:name="_Hlk71792980"/>
      <w:r w:rsidRPr="00CA2916">
        <w:rPr>
          <w:rFonts w:ascii="Arial" w:eastAsia="Arial" w:hAnsi="Arial" w:cs="Arial"/>
          <w:i/>
          <w:iCs/>
          <w:sz w:val="18"/>
          <w:szCs w:val="18"/>
          <w:lang w:val="pt-PT"/>
        </w:rPr>
        <w:t xml:space="preserve">Elaborado por </w:t>
      </w:r>
      <w:r w:rsidR="00D231D5">
        <w:rPr>
          <w:rFonts w:ascii="Arial" w:eastAsia="Arial" w:hAnsi="Arial" w:cs="Arial"/>
          <w:i/>
          <w:iCs/>
          <w:sz w:val="18"/>
          <w:szCs w:val="18"/>
          <w:lang w:val="pt-PT"/>
        </w:rPr>
        <w:t>David Chávez</w:t>
      </w:r>
    </w:p>
    <w:p w14:paraId="3ACB0098" w14:textId="001EC3F4" w:rsidR="00927F70" w:rsidRPr="00D231D5" w:rsidRDefault="00927F70" w:rsidP="00A61A25">
      <w:pPr>
        <w:keepNext/>
        <w:tabs>
          <w:tab w:val="left" w:pos="567"/>
          <w:tab w:val="left" w:pos="2268"/>
        </w:tabs>
        <w:rPr>
          <w:rFonts w:ascii="Arial" w:eastAsia="Arial" w:hAnsi="Arial" w:cs="Arial"/>
          <w:i/>
          <w:iCs/>
          <w:sz w:val="18"/>
          <w:szCs w:val="18"/>
        </w:rPr>
      </w:pPr>
      <w:r w:rsidRPr="00D231D5">
        <w:rPr>
          <w:rFonts w:ascii="Arial" w:eastAsia="Arial" w:hAnsi="Arial" w:cs="Arial"/>
          <w:i/>
          <w:iCs/>
          <w:sz w:val="18"/>
          <w:szCs w:val="18"/>
        </w:rPr>
        <w:t xml:space="preserve">Supervisado por </w:t>
      </w:r>
      <w:r w:rsidR="00D231D5" w:rsidRPr="00D231D5">
        <w:rPr>
          <w:rFonts w:ascii="Arial" w:eastAsia="Arial" w:hAnsi="Arial" w:cs="Arial"/>
          <w:i/>
          <w:iCs/>
          <w:sz w:val="18"/>
          <w:szCs w:val="18"/>
        </w:rPr>
        <w:t>Luis</w:t>
      </w:r>
      <w:r w:rsidR="00D231D5">
        <w:rPr>
          <w:rFonts w:ascii="Arial" w:eastAsia="Arial" w:hAnsi="Arial" w:cs="Arial"/>
          <w:i/>
          <w:iCs/>
          <w:sz w:val="18"/>
          <w:szCs w:val="18"/>
        </w:rPr>
        <w:t xml:space="preserve"> Gamonal</w:t>
      </w:r>
    </w:p>
    <w:p w14:paraId="771103F6" w14:textId="4CCDA383" w:rsidR="00927F70" w:rsidRPr="002969E3" w:rsidRDefault="00927F70" w:rsidP="00A61A25">
      <w:pPr>
        <w:keepNext/>
        <w:tabs>
          <w:tab w:val="left" w:pos="567"/>
          <w:tab w:val="left" w:pos="3451"/>
        </w:tabs>
        <w:rPr>
          <w:rFonts w:ascii="Arial" w:eastAsia="Arial" w:hAnsi="Arial" w:cs="Arial"/>
          <w:i/>
          <w:iCs/>
          <w:sz w:val="18"/>
          <w:szCs w:val="18"/>
        </w:rPr>
      </w:pPr>
      <w:r w:rsidRPr="002969E3">
        <w:rPr>
          <w:rFonts w:ascii="Arial" w:eastAsia="Arial" w:hAnsi="Arial" w:cs="Arial"/>
          <w:i/>
          <w:iCs/>
          <w:sz w:val="18"/>
          <w:szCs w:val="18"/>
        </w:rPr>
        <w:t xml:space="preserve">Equipo </w:t>
      </w:r>
      <w:r w:rsidR="00747191" w:rsidRPr="002969E3">
        <w:rPr>
          <w:rFonts w:ascii="Arial" w:eastAsia="Arial" w:hAnsi="Arial" w:cs="Arial"/>
          <w:i/>
          <w:iCs/>
          <w:sz w:val="18"/>
          <w:szCs w:val="18"/>
        </w:rPr>
        <w:t>Seguros</w:t>
      </w:r>
      <w:r w:rsidR="00B16299" w:rsidRPr="002969E3">
        <w:rPr>
          <w:rFonts w:ascii="Arial" w:eastAsia="Arial" w:hAnsi="Arial" w:cs="Arial"/>
          <w:i/>
          <w:iCs/>
          <w:sz w:val="18"/>
          <w:szCs w:val="18"/>
        </w:rPr>
        <w:tab/>
      </w:r>
    </w:p>
    <w:p w14:paraId="12BBA53D" w14:textId="1AAFFE64" w:rsidR="00927F70" w:rsidRPr="002969E3" w:rsidRDefault="00927F70" w:rsidP="00A61A25">
      <w:pPr>
        <w:keepNext/>
        <w:tabs>
          <w:tab w:val="left" w:pos="567"/>
          <w:tab w:val="left" w:pos="2268"/>
        </w:tabs>
        <w:rPr>
          <w:rFonts w:ascii="Arial" w:eastAsia="Arial" w:hAnsi="Arial" w:cs="Arial"/>
          <w:i/>
          <w:iCs/>
          <w:sz w:val="18"/>
          <w:szCs w:val="18"/>
        </w:rPr>
      </w:pPr>
      <w:r w:rsidRPr="002969E3">
        <w:rPr>
          <w:rFonts w:ascii="Arial" w:eastAsia="Arial" w:hAnsi="Arial" w:cs="Arial"/>
          <w:i/>
          <w:iCs/>
          <w:sz w:val="18"/>
          <w:szCs w:val="18"/>
        </w:rPr>
        <w:t xml:space="preserve">Fecha de Vencimiento </w:t>
      </w:r>
      <w:r w:rsidR="00D231D5" w:rsidRPr="00D231D5">
        <w:rPr>
          <w:rFonts w:ascii="Arial" w:eastAsia="Arial" w:hAnsi="Arial" w:cs="Arial"/>
          <w:i/>
          <w:iCs/>
          <w:sz w:val="18"/>
          <w:szCs w:val="18"/>
        </w:rPr>
        <w:t>26/01/2027</w:t>
      </w:r>
    </w:p>
    <w:p w14:paraId="6ACC827D" w14:textId="77777777" w:rsidR="00927F70" w:rsidRPr="00E23FCD" w:rsidRDefault="00927F70" w:rsidP="00A61A25">
      <w:pPr>
        <w:keepNext/>
        <w:tabs>
          <w:tab w:val="left" w:pos="567"/>
          <w:tab w:val="left" w:pos="2268"/>
        </w:tabs>
        <w:rPr>
          <w:rFonts w:ascii="Arial" w:eastAsia="Arial" w:hAnsi="Arial" w:cs="Arial"/>
          <w:b/>
          <w:bCs/>
          <w:sz w:val="22"/>
          <w:szCs w:val="22"/>
        </w:rPr>
      </w:pPr>
    </w:p>
    <w:p w14:paraId="1B25D044" w14:textId="399F1FE8" w:rsidR="003E2BF7" w:rsidRPr="002969E3" w:rsidRDefault="2F246F14" w:rsidP="00A61A25">
      <w:pPr>
        <w:keepNext/>
        <w:tabs>
          <w:tab w:val="left" w:pos="567"/>
          <w:tab w:val="left" w:pos="2268"/>
        </w:tabs>
        <w:jc w:val="center"/>
        <w:rPr>
          <w:rFonts w:ascii="Arial" w:hAnsi="Arial" w:cs="Arial"/>
          <w:sz w:val="32"/>
          <w:szCs w:val="32"/>
        </w:rPr>
      </w:pPr>
      <w:r w:rsidRPr="002969E3">
        <w:rPr>
          <w:rFonts w:ascii="Arial" w:eastAsia="Arial" w:hAnsi="Arial" w:cs="Arial"/>
          <w:b/>
          <w:bCs/>
          <w:sz w:val="32"/>
          <w:szCs w:val="32"/>
        </w:rPr>
        <w:t>RESOLUCIÓN N°</w:t>
      </w:r>
      <w:r w:rsidR="002111B4" w:rsidRPr="002969E3">
        <w:rPr>
          <w:rFonts w:ascii="Arial" w:eastAsia="Arial" w:hAnsi="Arial" w:cs="Arial"/>
          <w:b/>
          <w:bCs/>
          <w:sz w:val="32"/>
          <w:szCs w:val="32"/>
        </w:rPr>
        <w:t xml:space="preserve"> </w:t>
      </w:r>
      <w:r w:rsidR="004F686C" w:rsidRPr="002969E3">
        <w:rPr>
          <w:rFonts w:ascii="Arial" w:eastAsia="Arial" w:hAnsi="Arial" w:cs="Arial"/>
          <w:b/>
          <w:bCs/>
          <w:sz w:val="32"/>
          <w:szCs w:val="32"/>
        </w:rPr>
        <w:t>XXXX</w:t>
      </w:r>
      <w:r w:rsidR="00E45FD3" w:rsidRPr="002969E3">
        <w:rPr>
          <w:rFonts w:ascii="Arial" w:eastAsia="Arial" w:hAnsi="Arial" w:cs="Arial"/>
          <w:b/>
          <w:bCs/>
          <w:sz w:val="32"/>
          <w:szCs w:val="32"/>
        </w:rPr>
        <w:t>-</w:t>
      </w:r>
      <w:r w:rsidR="00D231D5">
        <w:rPr>
          <w:rFonts w:ascii="Arial" w:eastAsia="Arial" w:hAnsi="Arial" w:cs="Arial"/>
          <w:b/>
          <w:bCs/>
          <w:sz w:val="32"/>
          <w:szCs w:val="32"/>
        </w:rPr>
        <w:t>2026</w:t>
      </w:r>
      <w:r w:rsidRPr="002969E3">
        <w:rPr>
          <w:rFonts w:ascii="Arial" w:eastAsia="Arial" w:hAnsi="Arial" w:cs="Arial"/>
          <w:b/>
          <w:bCs/>
          <w:sz w:val="32"/>
          <w:szCs w:val="32"/>
        </w:rPr>
        <w:t>/CC1</w:t>
      </w:r>
    </w:p>
    <w:p w14:paraId="456B4424" w14:textId="77777777" w:rsidR="0013368E" w:rsidRPr="002969E3" w:rsidRDefault="0013368E" w:rsidP="00A61A25">
      <w:pPr>
        <w:keepNext/>
        <w:tabs>
          <w:tab w:val="left" w:pos="567"/>
          <w:tab w:val="left" w:pos="2268"/>
        </w:tabs>
        <w:ind w:left="2835" w:hanging="2835"/>
        <w:jc w:val="both"/>
        <w:rPr>
          <w:rFonts w:ascii="Arial" w:eastAsia="Arial" w:hAnsi="Arial" w:cs="Arial"/>
          <w:b/>
          <w:sz w:val="22"/>
          <w:szCs w:val="22"/>
        </w:rPr>
      </w:pPr>
    </w:p>
    <w:p w14:paraId="465ACB47" w14:textId="2A636589" w:rsidR="007B30A5" w:rsidRPr="00D231D5" w:rsidRDefault="007B30A5" w:rsidP="00A61A25">
      <w:pPr>
        <w:widowControl w:val="0"/>
        <w:tabs>
          <w:tab w:val="left" w:pos="2127"/>
        </w:tabs>
        <w:ind w:left="2694" w:hanging="2697"/>
        <w:jc w:val="both"/>
        <w:rPr>
          <w:rFonts w:ascii="Arial" w:hAnsi="Arial" w:cs="Arial"/>
          <w:b/>
          <w:bCs/>
          <w:sz w:val="22"/>
          <w:szCs w:val="22"/>
        </w:rPr>
      </w:pPr>
      <w:r w:rsidRPr="002969E3">
        <w:rPr>
          <w:rFonts w:ascii="Arial" w:hAnsi="Arial" w:cs="Arial"/>
          <w:b/>
          <w:bCs/>
          <w:sz w:val="22"/>
          <w:szCs w:val="22"/>
        </w:rPr>
        <w:t>DENUNCIANTE</w:t>
      </w:r>
      <w:r w:rsidRPr="002969E3">
        <w:rPr>
          <w:rFonts w:ascii="Arial" w:hAnsi="Arial" w:cs="Arial"/>
          <w:b/>
          <w:sz w:val="22"/>
          <w:szCs w:val="22"/>
        </w:rPr>
        <w:tab/>
      </w:r>
      <w:r w:rsidRPr="002969E3">
        <w:rPr>
          <w:rFonts w:ascii="Arial" w:hAnsi="Arial" w:cs="Arial"/>
          <w:b/>
          <w:bCs/>
          <w:sz w:val="22"/>
          <w:szCs w:val="22"/>
        </w:rPr>
        <w:t xml:space="preserve">:  </w:t>
      </w:r>
      <w:r w:rsidRPr="002969E3">
        <w:rPr>
          <w:rFonts w:ascii="Arial" w:hAnsi="Arial" w:cs="Arial"/>
          <w:b/>
          <w:bCs/>
          <w:sz w:val="22"/>
          <w:szCs w:val="22"/>
        </w:rPr>
        <w:tab/>
      </w:r>
      <w:r w:rsidR="00D231D5" w:rsidRPr="00D231D5">
        <w:rPr>
          <w:rFonts w:ascii="Arial" w:hAnsi="Arial" w:cs="Arial"/>
          <w:b/>
          <w:bCs/>
          <w:sz w:val="22"/>
          <w:szCs w:val="22"/>
        </w:rPr>
        <w:t>JUAN MARIO INCA ROJAS (SEÑOR INCA)</w:t>
      </w:r>
    </w:p>
    <w:p w14:paraId="24353D15" w14:textId="2BA043D1" w:rsidR="007B30A5" w:rsidRPr="00D231D5" w:rsidRDefault="007B30A5" w:rsidP="00A61A25">
      <w:pPr>
        <w:widowControl w:val="0"/>
        <w:tabs>
          <w:tab w:val="left" w:pos="2127"/>
        </w:tabs>
        <w:ind w:left="2694" w:hanging="2697"/>
        <w:jc w:val="both"/>
        <w:rPr>
          <w:rFonts w:ascii="Arial" w:hAnsi="Arial" w:cs="Arial"/>
          <w:b/>
          <w:bCs/>
          <w:sz w:val="22"/>
          <w:szCs w:val="22"/>
          <w:lang w:val="en-US"/>
        </w:rPr>
      </w:pPr>
      <w:r w:rsidRPr="00D231D5">
        <w:rPr>
          <w:rFonts w:ascii="Arial" w:hAnsi="Arial" w:cs="Arial"/>
          <w:b/>
          <w:bCs/>
          <w:sz w:val="22"/>
          <w:szCs w:val="22"/>
          <w:lang w:val="en-US"/>
        </w:rPr>
        <w:t>DENUNCIADO</w:t>
      </w:r>
      <w:r w:rsidRPr="00D231D5">
        <w:rPr>
          <w:rFonts w:ascii="Arial" w:hAnsi="Arial" w:cs="Arial"/>
          <w:b/>
          <w:bCs/>
          <w:sz w:val="22"/>
          <w:szCs w:val="22"/>
          <w:lang w:val="en-US"/>
        </w:rPr>
        <w:tab/>
        <w:t xml:space="preserve">:  </w:t>
      </w:r>
      <w:r w:rsidRPr="00D231D5">
        <w:rPr>
          <w:rFonts w:ascii="Arial" w:hAnsi="Arial" w:cs="Arial"/>
          <w:b/>
          <w:bCs/>
          <w:sz w:val="22"/>
          <w:szCs w:val="22"/>
          <w:lang w:val="en-US"/>
        </w:rPr>
        <w:tab/>
      </w:r>
      <w:r w:rsidR="00D231D5" w:rsidRPr="00D231D5">
        <w:rPr>
          <w:rFonts w:ascii="Arial" w:hAnsi="Arial" w:cs="Arial"/>
          <w:b/>
          <w:bCs/>
          <w:sz w:val="22"/>
          <w:szCs w:val="22"/>
          <w:lang w:val="en-US"/>
        </w:rPr>
        <w:t>SCOTIABANK PERÚ S.A.A. (SCOTIABANK)</w:t>
      </w:r>
    </w:p>
    <w:p w14:paraId="13B61AFD" w14:textId="626713D0" w:rsidR="00D231D5" w:rsidRPr="00D231D5" w:rsidRDefault="00D231D5" w:rsidP="00A61A25">
      <w:pPr>
        <w:widowControl w:val="0"/>
        <w:tabs>
          <w:tab w:val="left" w:pos="2127"/>
        </w:tabs>
        <w:ind w:left="2694" w:hanging="2697"/>
        <w:jc w:val="both"/>
        <w:rPr>
          <w:rFonts w:ascii="Arial" w:hAnsi="Arial" w:cs="Arial"/>
          <w:b/>
          <w:bCs/>
          <w:sz w:val="22"/>
          <w:szCs w:val="22"/>
        </w:rPr>
      </w:pPr>
      <w:r>
        <w:rPr>
          <w:rFonts w:ascii="Arial" w:hAnsi="Arial" w:cs="Arial"/>
          <w:b/>
          <w:bCs/>
          <w:sz w:val="22"/>
          <w:szCs w:val="22"/>
          <w:lang w:val="en-US"/>
        </w:rPr>
        <w:tab/>
      </w:r>
      <w:r>
        <w:rPr>
          <w:rFonts w:ascii="Arial" w:hAnsi="Arial" w:cs="Arial"/>
          <w:b/>
          <w:bCs/>
          <w:sz w:val="22"/>
          <w:szCs w:val="22"/>
          <w:lang w:val="en-US"/>
        </w:rPr>
        <w:tab/>
      </w:r>
      <w:r w:rsidRPr="00D231D5">
        <w:rPr>
          <w:rFonts w:ascii="Arial" w:hAnsi="Arial" w:cs="Arial"/>
          <w:b/>
          <w:bCs/>
          <w:sz w:val="22"/>
          <w:szCs w:val="22"/>
        </w:rPr>
        <w:t>BNP PARIBAS CARDIF S.A. COMPAÑÍA DE SEGUROS Y REASEGUROS (BNP PARIBAS)</w:t>
      </w:r>
    </w:p>
    <w:p w14:paraId="297523C0" w14:textId="2DD4CA4E" w:rsidR="007B30A5" w:rsidRPr="002969E3" w:rsidRDefault="007B30A5" w:rsidP="00A61A25">
      <w:pPr>
        <w:widowControl w:val="0"/>
        <w:tabs>
          <w:tab w:val="left" w:pos="2127"/>
        </w:tabs>
        <w:ind w:left="2694" w:hanging="2697"/>
        <w:jc w:val="both"/>
        <w:rPr>
          <w:rFonts w:ascii="Arial" w:hAnsi="Arial" w:cs="Arial"/>
          <w:b/>
          <w:bCs/>
          <w:sz w:val="22"/>
          <w:szCs w:val="22"/>
        </w:rPr>
      </w:pPr>
      <w:r w:rsidRPr="002969E3">
        <w:rPr>
          <w:rFonts w:ascii="Arial" w:hAnsi="Arial" w:cs="Arial"/>
          <w:b/>
          <w:bCs/>
          <w:sz w:val="22"/>
          <w:szCs w:val="22"/>
        </w:rPr>
        <w:t>MATERIAS</w:t>
      </w:r>
      <w:r w:rsidRPr="002969E3">
        <w:rPr>
          <w:rFonts w:ascii="Arial" w:hAnsi="Arial" w:cs="Arial"/>
          <w:b/>
          <w:bCs/>
          <w:sz w:val="22"/>
          <w:szCs w:val="22"/>
        </w:rPr>
        <w:tab/>
        <w:t>:</w:t>
      </w:r>
      <w:r w:rsidRPr="002969E3">
        <w:rPr>
          <w:rFonts w:ascii="Arial" w:hAnsi="Arial" w:cs="Arial"/>
          <w:b/>
          <w:bCs/>
          <w:sz w:val="22"/>
          <w:szCs w:val="22"/>
        </w:rPr>
        <w:tab/>
        <w:t>PROTECCIÓN AL CONSUMIDOR</w:t>
      </w:r>
    </w:p>
    <w:p w14:paraId="5835092B" w14:textId="4A9F0065" w:rsidR="007B30A5" w:rsidRPr="002969E3" w:rsidRDefault="007B30A5" w:rsidP="004206A3">
      <w:pPr>
        <w:widowControl w:val="0"/>
        <w:tabs>
          <w:tab w:val="left" w:pos="2127"/>
        </w:tabs>
        <w:ind w:left="2694" w:hanging="2697"/>
        <w:jc w:val="both"/>
        <w:rPr>
          <w:rFonts w:ascii="Arial" w:hAnsi="Arial" w:cs="Arial"/>
          <w:b/>
          <w:bCs/>
          <w:sz w:val="22"/>
          <w:szCs w:val="22"/>
        </w:rPr>
      </w:pPr>
      <w:r w:rsidRPr="002969E3">
        <w:rPr>
          <w:rFonts w:ascii="Arial" w:hAnsi="Arial" w:cs="Arial"/>
          <w:b/>
          <w:bCs/>
          <w:sz w:val="22"/>
          <w:szCs w:val="22"/>
        </w:rPr>
        <w:t xml:space="preserve">                                        </w:t>
      </w:r>
      <w:r w:rsidR="002969E3" w:rsidRPr="002969E3">
        <w:rPr>
          <w:rFonts w:ascii="Arial" w:hAnsi="Arial" w:cs="Arial"/>
          <w:b/>
          <w:bCs/>
          <w:sz w:val="22"/>
          <w:szCs w:val="22"/>
        </w:rPr>
        <w:tab/>
      </w:r>
      <w:r w:rsidRPr="002969E3">
        <w:rPr>
          <w:rFonts w:ascii="Arial" w:hAnsi="Arial" w:cs="Arial"/>
          <w:b/>
          <w:bCs/>
          <w:sz w:val="22"/>
          <w:szCs w:val="22"/>
        </w:rPr>
        <w:t xml:space="preserve">DENEGATORIA DE MEDIDA CAUTELAR </w:t>
      </w:r>
      <w:r w:rsidRPr="002969E3">
        <w:rPr>
          <w:rFonts w:ascii="Arial" w:hAnsi="Arial" w:cs="Arial"/>
          <w:b/>
          <w:bCs/>
          <w:sz w:val="22"/>
          <w:szCs w:val="22"/>
        </w:rPr>
        <w:tab/>
      </w:r>
      <w:r w:rsidRPr="002969E3">
        <w:rPr>
          <w:rFonts w:ascii="Arial" w:hAnsi="Arial" w:cs="Arial"/>
          <w:b/>
          <w:bCs/>
          <w:sz w:val="22"/>
          <w:szCs w:val="22"/>
        </w:rPr>
        <w:tab/>
      </w:r>
    </w:p>
    <w:p w14:paraId="05ADA06C" w14:textId="49B8F231" w:rsidR="007B30A5" w:rsidRPr="002969E3" w:rsidRDefault="007B30A5" w:rsidP="00A61A25">
      <w:pPr>
        <w:widowControl w:val="0"/>
        <w:tabs>
          <w:tab w:val="left" w:pos="2127"/>
        </w:tabs>
        <w:ind w:left="2694" w:hanging="2697"/>
        <w:jc w:val="both"/>
        <w:rPr>
          <w:rFonts w:ascii="Arial" w:hAnsi="Arial" w:cs="Arial"/>
          <w:b/>
          <w:bCs/>
          <w:sz w:val="22"/>
          <w:szCs w:val="22"/>
        </w:rPr>
      </w:pPr>
      <w:r w:rsidRPr="002969E3">
        <w:rPr>
          <w:rFonts w:ascii="Arial" w:hAnsi="Arial" w:cs="Arial"/>
          <w:b/>
          <w:bCs/>
          <w:sz w:val="22"/>
          <w:szCs w:val="22"/>
        </w:rPr>
        <w:t>ACTIVIDAD</w:t>
      </w:r>
      <w:r w:rsidRPr="002969E3">
        <w:rPr>
          <w:rFonts w:ascii="Arial" w:hAnsi="Arial" w:cs="Arial"/>
          <w:b/>
          <w:bCs/>
          <w:sz w:val="22"/>
          <w:szCs w:val="22"/>
        </w:rPr>
        <w:tab/>
        <w:t>:</w:t>
      </w:r>
      <w:r w:rsidRPr="002969E3">
        <w:rPr>
          <w:rFonts w:ascii="Arial" w:hAnsi="Arial" w:cs="Arial"/>
          <w:b/>
          <w:bCs/>
          <w:sz w:val="22"/>
          <w:szCs w:val="22"/>
        </w:rPr>
        <w:tab/>
        <w:t>SEGUROS Y PENSIONES</w:t>
      </w:r>
    </w:p>
    <w:p w14:paraId="70F014FD" w14:textId="4D3EEC65" w:rsidR="007B30A5" w:rsidRPr="002969E3" w:rsidRDefault="007B30A5" w:rsidP="00A61A25">
      <w:pPr>
        <w:widowControl w:val="0"/>
        <w:tabs>
          <w:tab w:val="left" w:pos="2127"/>
        </w:tabs>
        <w:ind w:left="2694" w:hanging="2697"/>
        <w:jc w:val="both"/>
        <w:rPr>
          <w:rFonts w:ascii="Arial" w:hAnsi="Arial" w:cs="Arial"/>
          <w:b/>
          <w:bCs/>
          <w:sz w:val="22"/>
          <w:szCs w:val="22"/>
        </w:rPr>
      </w:pPr>
      <w:r w:rsidRPr="002969E3">
        <w:rPr>
          <w:rFonts w:ascii="Arial" w:hAnsi="Arial" w:cs="Arial"/>
          <w:b/>
          <w:bCs/>
          <w:sz w:val="22"/>
          <w:szCs w:val="22"/>
        </w:rPr>
        <w:tab/>
      </w:r>
      <w:r w:rsidRPr="002969E3">
        <w:rPr>
          <w:rFonts w:ascii="Arial" w:hAnsi="Arial" w:cs="Arial"/>
          <w:b/>
          <w:bCs/>
          <w:sz w:val="22"/>
          <w:szCs w:val="22"/>
        </w:rPr>
        <w:tab/>
      </w:r>
      <w:r w:rsidRPr="002969E3">
        <w:rPr>
          <w:rFonts w:ascii="Arial" w:hAnsi="Arial" w:cs="Arial"/>
          <w:b/>
          <w:bCs/>
          <w:sz w:val="22"/>
          <w:szCs w:val="22"/>
        </w:rPr>
        <w:tab/>
        <w:t xml:space="preserve">  </w:t>
      </w:r>
    </w:p>
    <w:p w14:paraId="31560A95" w14:textId="77777777" w:rsidR="003E2BF7" w:rsidRPr="00E23FCD" w:rsidRDefault="003E2BF7" w:rsidP="00A61A25">
      <w:pPr>
        <w:jc w:val="both"/>
        <w:rPr>
          <w:rFonts w:ascii="Arial" w:hAnsi="Arial" w:cs="Arial"/>
          <w:b/>
          <w:sz w:val="22"/>
          <w:szCs w:val="22"/>
          <w:lang w:eastAsia="es-ES"/>
        </w:rPr>
      </w:pPr>
    </w:p>
    <w:p w14:paraId="655568C2" w14:textId="18791D3A" w:rsidR="003E2BF7" w:rsidRPr="00CA2916" w:rsidRDefault="2F246F14" w:rsidP="00A61A25">
      <w:pPr>
        <w:jc w:val="both"/>
        <w:rPr>
          <w:rFonts w:ascii="Arial" w:hAnsi="Arial" w:cs="Arial"/>
          <w:color w:val="000000" w:themeColor="text1"/>
          <w:sz w:val="22"/>
          <w:szCs w:val="22"/>
          <w:lang w:val="pt-PT"/>
        </w:rPr>
      </w:pPr>
      <w:r w:rsidRPr="00CA2916">
        <w:rPr>
          <w:rFonts w:ascii="Arial" w:hAnsi="Arial" w:cs="Arial"/>
          <w:color w:val="000000" w:themeColor="text1"/>
          <w:sz w:val="22"/>
          <w:szCs w:val="22"/>
          <w:lang w:val="pt-PT"/>
        </w:rPr>
        <w:t>Lima</w:t>
      </w:r>
      <w:r w:rsidRPr="00D231D5">
        <w:rPr>
          <w:rFonts w:ascii="Arial" w:hAnsi="Arial" w:cs="Arial"/>
          <w:color w:val="000000" w:themeColor="text1"/>
          <w:sz w:val="22"/>
          <w:szCs w:val="22"/>
          <w:lang w:val="pt-PT"/>
        </w:rPr>
        <w:t xml:space="preserve">, </w:t>
      </w:r>
      <w:r w:rsidR="004F686C" w:rsidRPr="00D231D5">
        <w:rPr>
          <w:rFonts w:ascii="Arial" w:hAnsi="Arial" w:cs="Arial"/>
          <w:color w:val="000000" w:themeColor="text1"/>
          <w:sz w:val="22"/>
          <w:szCs w:val="22"/>
          <w:lang w:val="pt-PT"/>
        </w:rPr>
        <w:t>XX</w:t>
      </w:r>
      <w:r w:rsidR="00E45FD3" w:rsidRPr="00D231D5">
        <w:rPr>
          <w:rFonts w:ascii="Arial" w:hAnsi="Arial" w:cs="Arial"/>
          <w:color w:val="000000" w:themeColor="text1"/>
          <w:sz w:val="22"/>
          <w:szCs w:val="22"/>
          <w:lang w:val="pt-PT"/>
        </w:rPr>
        <w:t xml:space="preserve"> de </w:t>
      </w:r>
      <w:r w:rsidR="000C747A" w:rsidRPr="00D231D5">
        <w:rPr>
          <w:rFonts w:ascii="Arial" w:hAnsi="Arial" w:cs="Arial"/>
          <w:color w:val="000000" w:themeColor="text1"/>
          <w:sz w:val="22"/>
          <w:szCs w:val="22"/>
          <w:lang w:val="pt-PT"/>
        </w:rPr>
        <w:t>julio</w:t>
      </w:r>
      <w:r w:rsidR="00E45FD3" w:rsidRPr="00D231D5">
        <w:rPr>
          <w:rFonts w:ascii="Arial" w:hAnsi="Arial" w:cs="Arial"/>
          <w:color w:val="000000" w:themeColor="text1"/>
          <w:sz w:val="22"/>
          <w:szCs w:val="22"/>
          <w:lang w:val="pt-PT"/>
        </w:rPr>
        <w:t xml:space="preserve"> de </w:t>
      </w:r>
      <w:r w:rsidR="00D231D5" w:rsidRPr="00D231D5">
        <w:rPr>
          <w:rFonts w:ascii="Arial" w:hAnsi="Arial" w:cs="Arial"/>
          <w:color w:val="000000" w:themeColor="text1"/>
          <w:sz w:val="22"/>
          <w:szCs w:val="22"/>
          <w:lang w:val="pt-PT"/>
        </w:rPr>
        <w:t>2026</w:t>
      </w:r>
      <w:r w:rsidR="009F4453" w:rsidRPr="00CA2916">
        <w:rPr>
          <w:rFonts w:ascii="Arial" w:hAnsi="Arial" w:cs="Arial"/>
          <w:color w:val="000000" w:themeColor="text1"/>
          <w:sz w:val="22"/>
          <w:szCs w:val="22"/>
          <w:lang w:val="pt-PT"/>
        </w:rPr>
        <w:t xml:space="preserve"> </w:t>
      </w:r>
    </w:p>
    <w:p w14:paraId="6B8812AF" w14:textId="5491BAFC" w:rsidR="002F158F" w:rsidRPr="00CA2916" w:rsidRDefault="002F158F" w:rsidP="00A61A25">
      <w:pPr>
        <w:tabs>
          <w:tab w:val="left" w:pos="1014"/>
        </w:tabs>
        <w:jc w:val="both"/>
        <w:rPr>
          <w:rFonts w:ascii="Arial" w:hAnsi="Arial" w:cs="Arial"/>
          <w:sz w:val="22"/>
          <w:szCs w:val="22"/>
          <w:lang w:val="pt-PT" w:eastAsia="es-ES"/>
        </w:rPr>
      </w:pPr>
    </w:p>
    <w:p w14:paraId="5E41C6FF" w14:textId="5C7E5DE0" w:rsidR="00E01F86" w:rsidRPr="00CA2916" w:rsidRDefault="006666E2" w:rsidP="00A61A25">
      <w:pPr>
        <w:ind w:left="567" w:hanging="567"/>
        <w:jc w:val="both"/>
        <w:rPr>
          <w:rFonts w:ascii="Arial" w:eastAsia="Arial" w:hAnsi="Arial" w:cs="Arial"/>
          <w:b/>
          <w:bCs/>
          <w:sz w:val="22"/>
          <w:szCs w:val="22"/>
          <w:lang w:val="pt-PT"/>
        </w:rPr>
      </w:pPr>
      <w:r w:rsidRPr="00CA2916">
        <w:rPr>
          <w:rFonts w:ascii="Arial" w:eastAsia="Arial" w:hAnsi="Arial" w:cs="Arial"/>
          <w:b/>
          <w:bCs/>
          <w:sz w:val="22"/>
          <w:szCs w:val="22"/>
          <w:lang w:val="pt-PT"/>
        </w:rPr>
        <w:t xml:space="preserve">I </w:t>
      </w:r>
      <w:r w:rsidRPr="00CA2916">
        <w:rPr>
          <w:rFonts w:ascii="Arial" w:eastAsia="Arial" w:hAnsi="Arial" w:cs="Arial"/>
          <w:b/>
          <w:bCs/>
          <w:sz w:val="22"/>
          <w:szCs w:val="22"/>
          <w:lang w:val="pt-PT"/>
        </w:rPr>
        <w:tab/>
      </w:r>
      <w:r w:rsidR="18CBF14C" w:rsidRPr="00CA2916">
        <w:rPr>
          <w:rFonts w:ascii="Arial" w:eastAsia="Arial" w:hAnsi="Arial" w:cs="Arial"/>
          <w:b/>
          <w:bCs/>
          <w:sz w:val="22"/>
          <w:szCs w:val="22"/>
          <w:lang w:val="pt-PT"/>
        </w:rPr>
        <w:t>ANTECEDENTES</w:t>
      </w:r>
    </w:p>
    <w:p w14:paraId="1C7C158E" w14:textId="77777777" w:rsidR="00E01F86" w:rsidRPr="00CA2916" w:rsidRDefault="00E01F86" w:rsidP="00A61A25">
      <w:pPr>
        <w:pStyle w:val="Prrafodelista"/>
        <w:spacing w:after="0" w:line="240" w:lineRule="auto"/>
        <w:ind w:left="567"/>
        <w:jc w:val="both"/>
        <w:rPr>
          <w:rFonts w:ascii="Arial" w:eastAsia="Arial" w:hAnsi="Arial" w:cs="Arial"/>
          <w:b/>
          <w:sz w:val="22"/>
          <w:szCs w:val="22"/>
          <w:lang w:val="pt-PT"/>
        </w:rPr>
      </w:pPr>
    </w:p>
    <w:p w14:paraId="38834607" w14:textId="64B395FA" w:rsidR="009F3D6E" w:rsidRPr="00D231D5" w:rsidRDefault="009F3D6E"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hAnsi="Arial" w:cs="Arial"/>
          <w:sz w:val="22"/>
          <w:szCs w:val="22"/>
          <w:lang w:eastAsia="es-ES"/>
        </w:rPr>
        <w:t xml:space="preserve">Mediante escrito del </w:t>
      </w:r>
      <w:r w:rsidR="00D231D5" w:rsidRPr="00D231D5">
        <w:rPr>
          <w:rFonts w:ascii="Arial" w:hAnsi="Arial" w:cs="Arial"/>
          <w:sz w:val="22"/>
          <w:szCs w:val="22"/>
          <w:lang w:eastAsia="es-ES"/>
        </w:rPr>
        <w:t>25 de mayo de 2026</w:t>
      </w:r>
      <w:r w:rsidR="00B204CA" w:rsidRPr="00D231D5">
        <w:rPr>
          <w:rFonts w:ascii="Arial Narrow" w:hAnsi="Arial Narrow"/>
          <w:color w:val="000000"/>
          <w:vertAlign w:val="superscript"/>
          <w:lang w:val="es-ES" w:eastAsia="es-ES"/>
        </w:rPr>
        <w:footnoteReference w:id="2"/>
      </w:r>
      <w:r w:rsidR="008B5A83" w:rsidRPr="00D231D5">
        <w:rPr>
          <w:rFonts w:ascii="Arial" w:hAnsi="Arial" w:cs="Arial"/>
          <w:sz w:val="22"/>
          <w:szCs w:val="22"/>
          <w:lang w:eastAsia="es-ES"/>
        </w:rPr>
        <w:t>,</w:t>
      </w:r>
      <w:r w:rsidR="000C747A" w:rsidRPr="00D231D5">
        <w:rPr>
          <w:rFonts w:ascii="Arial" w:hAnsi="Arial" w:cs="Arial"/>
          <w:sz w:val="22"/>
          <w:szCs w:val="22"/>
          <w:lang w:eastAsia="es-ES"/>
        </w:rPr>
        <w:t xml:space="preserve"> </w:t>
      </w:r>
      <w:r w:rsidR="00D231D5" w:rsidRPr="00D231D5">
        <w:rPr>
          <w:rFonts w:ascii="Arial" w:hAnsi="Arial" w:cs="Arial"/>
          <w:sz w:val="22"/>
          <w:szCs w:val="22"/>
          <w:lang w:eastAsia="es-ES"/>
        </w:rPr>
        <w:t>subsanado mediante escrito del 8 de julio de 2026,</w:t>
      </w:r>
      <w:r w:rsidR="008B5A83" w:rsidRPr="00D231D5">
        <w:rPr>
          <w:rFonts w:ascii="Arial" w:hAnsi="Arial" w:cs="Arial"/>
          <w:sz w:val="22"/>
          <w:szCs w:val="22"/>
          <w:lang w:eastAsia="es-ES"/>
        </w:rPr>
        <w:t xml:space="preserve"> </w:t>
      </w:r>
      <w:r w:rsidR="000C747A" w:rsidRPr="00D231D5">
        <w:rPr>
          <w:rFonts w:ascii="Arial" w:hAnsi="Arial" w:cs="Arial"/>
          <w:sz w:val="22"/>
          <w:szCs w:val="22"/>
          <w:lang w:val="es-ES" w:eastAsia="es-ES"/>
        </w:rPr>
        <w:t xml:space="preserve">el señor </w:t>
      </w:r>
      <w:r w:rsidR="00D231D5" w:rsidRPr="00D231D5">
        <w:rPr>
          <w:rFonts w:ascii="Arial" w:hAnsi="Arial" w:cs="Arial"/>
          <w:sz w:val="22"/>
          <w:szCs w:val="22"/>
          <w:lang w:val="es-ES" w:eastAsia="es-ES"/>
        </w:rPr>
        <w:t xml:space="preserve">Inca </w:t>
      </w:r>
      <w:r w:rsidRPr="00D231D5">
        <w:rPr>
          <w:rFonts w:ascii="Arial" w:hAnsi="Arial" w:cs="Arial"/>
          <w:sz w:val="22"/>
          <w:szCs w:val="22"/>
          <w:lang w:val="es-ES" w:eastAsia="es-ES"/>
        </w:rPr>
        <w:t>presentó una de</w:t>
      </w:r>
      <w:r w:rsidRPr="00E23FCD">
        <w:rPr>
          <w:rFonts w:ascii="Arial" w:hAnsi="Arial" w:cs="Arial"/>
          <w:sz w:val="22"/>
          <w:szCs w:val="22"/>
          <w:lang w:val="es-ES" w:eastAsia="es-ES"/>
        </w:rPr>
        <w:t xml:space="preserve">nuncia administrativa en contra de </w:t>
      </w:r>
      <w:r w:rsidR="00D231D5" w:rsidRPr="00D231D5">
        <w:rPr>
          <w:rFonts w:ascii="Arial" w:hAnsi="Arial" w:cs="Arial"/>
          <w:sz w:val="22"/>
          <w:szCs w:val="22"/>
          <w:lang w:val="es-ES" w:eastAsia="es-ES"/>
        </w:rPr>
        <w:t>Scotiabank</w:t>
      </w:r>
      <w:r w:rsidR="00D231D5">
        <w:rPr>
          <w:rFonts w:ascii="Arial" w:hAnsi="Arial" w:cs="Arial"/>
          <w:sz w:val="22"/>
          <w:szCs w:val="22"/>
          <w:lang w:val="es-ES" w:eastAsia="es-ES"/>
        </w:rPr>
        <w:t xml:space="preserve"> y </w:t>
      </w:r>
      <w:r w:rsidR="00D231D5" w:rsidRPr="00D231D5">
        <w:rPr>
          <w:rFonts w:ascii="Arial" w:hAnsi="Arial" w:cs="Arial"/>
          <w:sz w:val="22"/>
          <w:szCs w:val="22"/>
          <w:lang w:val="es-ES" w:eastAsia="es-ES"/>
        </w:rPr>
        <w:t xml:space="preserve">BNP </w:t>
      </w:r>
      <w:r w:rsidR="00D231D5" w:rsidRPr="00D231D5">
        <w:rPr>
          <w:rFonts w:ascii="Arial" w:hAnsi="Arial" w:cs="Arial"/>
          <w:sz w:val="22"/>
          <w:szCs w:val="22"/>
          <w:lang w:val="es-ES" w:eastAsia="es-ES"/>
        </w:rPr>
        <w:t>Paribas</w:t>
      </w:r>
      <w:r w:rsidRPr="00E23FCD">
        <w:rPr>
          <w:rFonts w:ascii="Arial" w:hAnsi="Arial" w:cs="Arial"/>
          <w:sz w:val="22"/>
          <w:szCs w:val="22"/>
          <w:lang w:val="es-ES" w:eastAsia="es-ES"/>
        </w:rPr>
        <w:t xml:space="preserve">, </w:t>
      </w:r>
      <w:r w:rsidRPr="00D231D5">
        <w:rPr>
          <w:rFonts w:ascii="Arial" w:hAnsi="Arial" w:cs="Arial"/>
          <w:sz w:val="22"/>
          <w:szCs w:val="22"/>
          <w:lang w:val="es-ES" w:eastAsia="es-ES"/>
        </w:rPr>
        <w:t>por presuntas infracciones a la Ley N° 29571, Código de Protección y Defensa del Consumidor (en adelante, Código)</w:t>
      </w:r>
      <w:r w:rsidRPr="00D231D5">
        <w:rPr>
          <w:rStyle w:val="Refdenotaalpie"/>
          <w:rFonts w:ascii="Arial" w:hAnsi="Arial" w:cs="Arial"/>
          <w:sz w:val="22"/>
          <w:szCs w:val="22"/>
          <w:lang w:val="es-ES" w:eastAsia="es-ES"/>
        </w:rPr>
        <w:footnoteReference w:id="3"/>
      </w:r>
      <w:r w:rsidR="00C9306D" w:rsidRPr="00D231D5">
        <w:rPr>
          <w:rFonts w:ascii="Arial" w:hAnsi="Arial" w:cs="Arial"/>
          <w:bCs/>
          <w:sz w:val="22"/>
          <w:szCs w:val="22"/>
          <w:lang w:val="es-ES" w:eastAsia="es-ES"/>
        </w:rPr>
        <w:t>.</w:t>
      </w:r>
    </w:p>
    <w:p w14:paraId="66841689" w14:textId="05B140C3" w:rsidR="004E651F" w:rsidRPr="00D231D5" w:rsidRDefault="004E651F" w:rsidP="007409F7">
      <w:pPr>
        <w:pStyle w:val="Prrafodelista"/>
        <w:pBdr>
          <w:top w:val="nil"/>
          <w:left w:val="nil"/>
          <w:bottom w:val="nil"/>
          <w:right w:val="nil"/>
          <w:between w:val="nil"/>
        </w:pBdr>
        <w:spacing w:after="0" w:line="240" w:lineRule="auto"/>
        <w:ind w:left="1287"/>
        <w:jc w:val="both"/>
        <w:rPr>
          <w:rFonts w:ascii="Arial" w:eastAsia="Arial Narrow" w:hAnsi="Arial" w:cs="Arial"/>
          <w:color w:val="000000" w:themeColor="text1"/>
          <w:sz w:val="22"/>
          <w:szCs w:val="22"/>
        </w:rPr>
      </w:pPr>
    </w:p>
    <w:p w14:paraId="47DBBDC2" w14:textId="6D9DCE7E" w:rsidR="009F3D6E" w:rsidRPr="00E23FCD" w:rsidRDefault="00EA7710" w:rsidP="00A61A25">
      <w:pPr>
        <w:pStyle w:val="Prrafodelista"/>
        <w:numPr>
          <w:ilvl w:val="1"/>
          <w:numId w:val="7"/>
        </w:numPr>
        <w:tabs>
          <w:tab w:val="clear" w:pos="1440"/>
        </w:tabs>
        <w:spacing w:after="0" w:line="240" w:lineRule="auto"/>
        <w:ind w:left="567" w:hanging="567"/>
        <w:jc w:val="both"/>
        <w:rPr>
          <w:rFonts w:ascii="Arial" w:hAnsi="Arial" w:cs="Arial"/>
          <w:color w:val="000000" w:themeColor="text1"/>
          <w:sz w:val="22"/>
          <w:szCs w:val="22"/>
        </w:rPr>
      </w:pPr>
      <w:r w:rsidRPr="00D231D5">
        <w:rPr>
          <w:rFonts w:ascii="Arial" w:eastAsia="Arial Narrow" w:hAnsi="Arial" w:cs="Arial"/>
          <w:color w:val="000000" w:themeColor="text1"/>
          <w:sz w:val="22"/>
          <w:szCs w:val="22"/>
        </w:rPr>
        <w:t xml:space="preserve">El señor </w:t>
      </w:r>
      <w:r w:rsidR="00D231D5" w:rsidRPr="00D231D5">
        <w:rPr>
          <w:rFonts w:ascii="Arial" w:hAnsi="Arial" w:cs="Arial"/>
          <w:sz w:val="22"/>
          <w:szCs w:val="22"/>
          <w:lang w:val="es-ES" w:eastAsia="es-ES"/>
        </w:rPr>
        <w:t xml:space="preserve">Inca </w:t>
      </w:r>
      <w:r w:rsidRPr="00D231D5">
        <w:rPr>
          <w:rFonts w:ascii="Arial" w:eastAsia="Arial Narrow" w:hAnsi="Arial" w:cs="Arial"/>
          <w:color w:val="000000" w:themeColor="text1"/>
          <w:sz w:val="22"/>
          <w:szCs w:val="22"/>
        </w:rPr>
        <w:t xml:space="preserve">solicitó, en calidad de medida correctiva, </w:t>
      </w:r>
      <w:r w:rsidR="00D231D5" w:rsidRPr="00D231D5">
        <w:rPr>
          <w:rFonts w:ascii="Arial" w:eastAsia="Arial Narrow" w:hAnsi="Arial" w:cs="Arial"/>
          <w:color w:val="000000" w:themeColor="text1"/>
          <w:sz w:val="22"/>
          <w:szCs w:val="22"/>
        </w:rPr>
        <w:t>que los proveedores denunciados cumplan con: (i) aplicar la nulidad, ineficacia o inaplicabilidad de las condiciones contractuales vinculadas a la exclusión de cobertura del Seguro de Desgravamen; (</w:t>
      </w:r>
      <w:proofErr w:type="spellStart"/>
      <w:r w:rsidR="00D231D5" w:rsidRPr="00D231D5">
        <w:rPr>
          <w:rFonts w:ascii="Arial" w:eastAsia="Arial Narrow" w:hAnsi="Arial" w:cs="Arial"/>
          <w:color w:val="000000" w:themeColor="text1"/>
          <w:sz w:val="22"/>
          <w:szCs w:val="22"/>
        </w:rPr>
        <w:t>ii</w:t>
      </w:r>
      <w:proofErr w:type="spellEnd"/>
      <w:r w:rsidR="00D231D5" w:rsidRPr="00D231D5">
        <w:rPr>
          <w:rFonts w:ascii="Arial" w:eastAsia="Arial Narrow" w:hAnsi="Arial" w:cs="Arial"/>
          <w:color w:val="000000" w:themeColor="text1"/>
          <w:sz w:val="22"/>
          <w:szCs w:val="22"/>
        </w:rPr>
        <w:t>) otorgar la cobertura del saldo de la deuda ascendiente a S/ 380 000,00 en virtud de los hechos materia de denuncia, o el mecanismo equivalente que corresponda, con efectos desde la fecha de ocurrencia del siniestro del 21 de marzo de 2026, momento a partir del cual debió activarse la cobertura del Seguro de Desgravamen; (</w:t>
      </w:r>
      <w:proofErr w:type="spellStart"/>
      <w:r w:rsidR="00D231D5" w:rsidRPr="00D231D5">
        <w:rPr>
          <w:rFonts w:ascii="Arial" w:eastAsia="Arial Narrow" w:hAnsi="Arial" w:cs="Arial"/>
          <w:color w:val="000000" w:themeColor="text1"/>
          <w:sz w:val="22"/>
          <w:szCs w:val="22"/>
        </w:rPr>
        <w:t>iii</w:t>
      </w:r>
      <w:proofErr w:type="spellEnd"/>
      <w:r w:rsidR="00D231D5" w:rsidRPr="00D231D5">
        <w:rPr>
          <w:rFonts w:ascii="Arial" w:eastAsia="Arial Narrow" w:hAnsi="Arial" w:cs="Arial"/>
          <w:color w:val="000000" w:themeColor="text1"/>
          <w:sz w:val="22"/>
          <w:szCs w:val="22"/>
        </w:rPr>
        <w:t>) realizar la extinción proporcional de la deuda del crédito hipotecario 94****26 y la devolución de las cuotas pagadas bajo protesta desde la ocurrencia del siniestro; (</w:t>
      </w:r>
      <w:proofErr w:type="spellStart"/>
      <w:r w:rsidR="00D231D5" w:rsidRPr="00D231D5">
        <w:rPr>
          <w:rFonts w:ascii="Arial" w:eastAsia="Arial Narrow" w:hAnsi="Arial" w:cs="Arial"/>
          <w:color w:val="000000" w:themeColor="text1"/>
          <w:sz w:val="22"/>
          <w:szCs w:val="22"/>
        </w:rPr>
        <w:t>iv</w:t>
      </w:r>
      <w:proofErr w:type="spellEnd"/>
      <w:r w:rsidR="00D231D5" w:rsidRPr="00D231D5">
        <w:rPr>
          <w:rFonts w:ascii="Arial" w:eastAsia="Arial Narrow" w:hAnsi="Arial" w:cs="Arial"/>
          <w:color w:val="000000" w:themeColor="text1"/>
          <w:sz w:val="22"/>
          <w:szCs w:val="22"/>
        </w:rPr>
        <w:t>) otorgar la devolución de los montos cobrados en abril de 2026 bajo protesta y otorgar el pago de los intereses legales correspondientes. Asimismo, requirió el reembolso de costos y costas del presente procedimiento</w:t>
      </w:r>
      <w:r w:rsidR="00D97C36">
        <w:rPr>
          <w:rFonts w:ascii="Arial" w:eastAsia="Arial Narrow" w:hAnsi="Arial" w:cs="Arial"/>
          <w:color w:val="000000" w:themeColor="text1"/>
          <w:sz w:val="22"/>
          <w:szCs w:val="22"/>
        </w:rPr>
        <w:t>.</w:t>
      </w:r>
    </w:p>
    <w:p w14:paraId="540B850E" w14:textId="77777777" w:rsidR="009F3D6E" w:rsidRPr="00E23FCD" w:rsidRDefault="009F3D6E" w:rsidP="00A61A25">
      <w:pPr>
        <w:pStyle w:val="Prrafodelista"/>
        <w:spacing w:after="0" w:line="240" w:lineRule="auto"/>
        <w:ind w:left="567"/>
        <w:jc w:val="both"/>
        <w:rPr>
          <w:rFonts w:ascii="Arial" w:hAnsi="Arial" w:cs="Arial"/>
          <w:color w:val="000000" w:themeColor="text1"/>
          <w:sz w:val="22"/>
          <w:szCs w:val="22"/>
        </w:rPr>
      </w:pPr>
    </w:p>
    <w:p w14:paraId="1BF24A23" w14:textId="14B4B744" w:rsidR="001026B0" w:rsidRPr="00D231D5" w:rsidRDefault="005412CD" w:rsidP="00C9306D">
      <w:pPr>
        <w:pStyle w:val="Prrafodelista"/>
        <w:numPr>
          <w:ilvl w:val="1"/>
          <w:numId w:val="7"/>
        </w:numPr>
        <w:tabs>
          <w:tab w:val="clear" w:pos="1440"/>
        </w:tabs>
        <w:spacing w:after="0" w:line="240" w:lineRule="auto"/>
        <w:ind w:left="567" w:hanging="567"/>
        <w:jc w:val="both"/>
        <w:rPr>
          <w:rFonts w:ascii="Arial" w:hAnsi="Arial" w:cs="Arial"/>
          <w:color w:val="000000" w:themeColor="text1"/>
          <w:sz w:val="22"/>
          <w:szCs w:val="22"/>
        </w:rPr>
      </w:pPr>
      <w:r w:rsidRPr="00D231D5">
        <w:rPr>
          <w:rFonts w:ascii="Arial" w:eastAsia="Arial Narrow" w:hAnsi="Arial" w:cs="Arial"/>
          <w:color w:val="000000" w:themeColor="text1"/>
          <w:sz w:val="22"/>
          <w:szCs w:val="22"/>
        </w:rPr>
        <w:lastRenderedPageBreak/>
        <w:t>Además</w:t>
      </w:r>
      <w:r w:rsidR="00521172" w:rsidRPr="00D231D5">
        <w:rPr>
          <w:rFonts w:ascii="Arial" w:eastAsia="Arial Narrow" w:hAnsi="Arial" w:cs="Arial"/>
          <w:color w:val="000000" w:themeColor="text1"/>
          <w:sz w:val="22"/>
          <w:szCs w:val="22"/>
        </w:rPr>
        <w:t>,</w:t>
      </w:r>
      <w:r w:rsidR="006666E2" w:rsidRPr="00D231D5">
        <w:rPr>
          <w:rFonts w:ascii="Arial" w:eastAsia="Arial Narrow" w:hAnsi="Arial" w:cs="Arial"/>
          <w:color w:val="000000" w:themeColor="text1"/>
          <w:sz w:val="22"/>
          <w:szCs w:val="22"/>
        </w:rPr>
        <w:t xml:space="preserve"> </w:t>
      </w:r>
      <w:r w:rsidR="001C0453" w:rsidRPr="00D231D5">
        <w:rPr>
          <w:rFonts w:ascii="Arial" w:eastAsia="Arial Narrow" w:hAnsi="Arial" w:cs="Arial"/>
          <w:color w:val="000000" w:themeColor="text1"/>
          <w:sz w:val="22"/>
          <w:szCs w:val="22"/>
        </w:rPr>
        <w:t xml:space="preserve">el </w:t>
      </w:r>
      <w:r w:rsidR="00D231D5" w:rsidRPr="00D231D5">
        <w:rPr>
          <w:rFonts w:ascii="Arial" w:eastAsia="Arial Narrow" w:hAnsi="Arial" w:cs="Arial"/>
          <w:color w:val="000000" w:themeColor="text1"/>
          <w:sz w:val="22"/>
          <w:szCs w:val="22"/>
        </w:rPr>
        <w:t xml:space="preserve">señor Inca </w:t>
      </w:r>
      <w:r w:rsidR="00521172" w:rsidRPr="00E23FCD">
        <w:rPr>
          <w:rFonts w:ascii="Arial" w:eastAsia="Arial Narrow" w:hAnsi="Arial" w:cs="Arial"/>
          <w:color w:val="000000" w:themeColor="text1"/>
          <w:sz w:val="22"/>
          <w:szCs w:val="22"/>
        </w:rPr>
        <w:t xml:space="preserve">solicitó </w:t>
      </w:r>
      <w:r w:rsidR="00D231D5" w:rsidRPr="00D231D5">
        <w:rPr>
          <w:rFonts w:ascii="Arial" w:eastAsia="Arial Narrow" w:hAnsi="Arial" w:cs="Arial"/>
          <w:color w:val="000000" w:themeColor="text1"/>
          <w:sz w:val="22"/>
          <w:szCs w:val="22"/>
        </w:rPr>
        <w:t>que se disponga como medida cautelar</w:t>
      </w:r>
      <w:r w:rsidR="00D231D5">
        <w:rPr>
          <w:rFonts w:ascii="Arial" w:eastAsia="Arial Narrow" w:hAnsi="Arial" w:cs="Arial"/>
          <w:color w:val="000000" w:themeColor="text1"/>
          <w:sz w:val="22"/>
          <w:szCs w:val="22"/>
        </w:rPr>
        <w:t xml:space="preserve"> e</w:t>
      </w:r>
      <w:r w:rsidR="00D231D5" w:rsidRPr="00D231D5">
        <w:rPr>
          <w:rFonts w:ascii="Arial" w:eastAsia="Arial Narrow" w:hAnsi="Arial" w:cs="Arial"/>
          <w:color w:val="000000" w:themeColor="text1"/>
          <w:sz w:val="22"/>
          <w:szCs w:val="22"/>
        </w:rPr>
        <w:t xml:space="preserve">l cese temporal de los cobros derivados del </w:t>
      </w:r>
      <w:r w:rsidR="00F16ED5" w:rsidRPr="00F16ED5">
        <w:rPr>
          <w:rFonts w:ascii="Arial" w:eastAsia="Arial Narrow" w:hAnsi="Arial" w:cs="Arial"/>
          <w:sz w:val="22"/>
          <w:szCs w:val="22"/>
        </w:rPr>
        <w:t>crédito hipotecario 94****</w:t>
      </w:r>
      <w:proofErr w:type="gramStart"/>
      <w:r w:rsidR="00F16ED5" w:rsidRPr="00F16ED5">
        <w:rPr>
          <w:rFonts w:ascii="Arial" w:eastAsia="Arial Narrow" w:hAnsi="Arial" w:cs="Arial"/>
          <w:sz w:val="22"/>
          <w:szCs w:val="22"/>
        </w:rPr>
        <w:t xml:space="preserve">26 </w:t>
      </w:r>
      <w:r w:rsidR="00D231D5" w:rsidRPr="00D231D5">
        <w:rPr>
          <w:rFonts w:ascii="Arial" w:eastAsia="Arial Narrow" w:hAnsi="Arial" w:cs="Arial"/>
          <w:color w:val="000000" w:themeColor="text1"/>
          <w:sz w:val="22"/>
          <w:szCs w:val="22"/>
        </w:rPr>
        <w:t xml:space="preserve"> materia</w:t>
      </w:r>
      <w:proofErr w:type="gramEnd"/>
      <w:r w:rsidR="00D231D5" w:rsidRPr="00D231D5">
        <w:rPr>
          <w:rFonts w:ascii="Arial" w:eastAsia="Arial Narrow" w:hAnsi="Arial" w:cs="Arial"/>
          <w:color w:val="000000" w:themeColor="text1"/>
          <w:sz w:val="22"/>
          <w:szCs w:val="22"/>
        </w:rPr>
        <w:t xml:space="preserve"> de controversia, incluyendo el pago de cuotas mensuales.</w:t>
      </w:r>
    </w:p>
    <w:p w14:paraId="3912EF2A" w14:textId="77777777" w:rsidR="001026B0" w:rsidRPr="00735E1B" w:rsidRDefault="001026B0" w:rsidP="00A61A25">
      <w:pPr>
        <w:pStyle w:val="Prrafodelista"/>
        <w:spacing w:after="0" w:line="240" w:lineRule="auto"/>
        <w:ind w:left="567"/>
        <w:jc w:val="both"/>
        <w:rPr>
          <w:rFonts w:ascii="Arial" w:eastAsia="Arial" w:hAnsi="Arial" w:cs="Arial"/>
          <w:b/>
          <w:sz w:val="22"/>
          <w:szCs w:val="22"/>
        </w:rPr>
      </w:pPr>
    </w:p>
    <w:p w14:paraId="247493EA" w14:textId="0CFB7B58" w:rsidR="000301FA" w:rsidRPr="00735E1B" w:rsidRDefault="006666E2" w:rsidP="00A61A25">
      <w:pPr>
        <w:ind w:left="567" w:hanging="567"/>
        <w:jc w:val="both"/>
        <w:rPr>
          <w:rFonts w:ascii="Arial" w:eastAsia="Arial" w:hAnsi="Arial" w:cs="Arial"/>
          <w:b/>
          <w:bCs/>
          <w:sz w:val="22"/>
          <w:szCs w:val="22"/>
        </w:rPr>
      </w:pPr>
      <w:r w:rsidRPr="00735E1B">
        <w:rPr>
          <w:rFonts w:ascii="Arial" w:eastAsia="Arial" w:hAnsi="Arial" w:cs="Arial"/>
          <w:b/>
          <w:bCs/>
          <w:sz w:val="22"/>
          <w:szCs w:val="22"/>
        </w:rPr>
        <w:t xml:space="preserve">II </w:t>
      </w:r>
      <w:r w:rsidRPr="00735E1B">
        <w:rPr>
          <w:rFonts w:ascii="Arial" w:eastAsia="Arial" w:hAnsi="Arial" w:cs="Arial"/>
          <w:b/>
          <w:bCs/>
          <w:sz w:val="22"/>
          <w:szCs w:val="22"/>
        </w:rPr>
        <w:tab/>
        <w:t>DE LA SOLICITUD DE MEDIDA CAUTELAR</w:t>
      </w:r>
    </w:p>
    <w:p w14:paraId="423686BD" w14:textId="77777777" w:rsidR="000301FA" w:rsidRPr="00735E1B" w:rsidRDefault="000301FA" w:rsidP="00A61A25">
      <w:pPr>
        <w:pStyle w:val="Prrafodelista"/>
        <w:spacing w:after="0" w:line="240" w:lineRule="auto"/>
        <w:ind w:left="567" w:hanging="567"/>
        <w:jc w:val="both"/>
        <w:rPr>
          <w:rFonts w:ascii="Arial" w:eastAsia="Arial" w:hAnsi="Arial" w:cs="Arial"/>
          <w:sz w:val="22"/>
          <w:szCs w:val="22"/>
        </w:rPr>
      </w:pPr>
    </w:p>
    <w:p w14:paraId="33F91998"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735E1B">
        <w:rPr>
          <w:rFonts w:ascii="Arial" w:eastAsia="Arial Narrow" w:hAnsi="Arial" w:cs="Arial"/>
          <w:sz w:val="22"/>
          <w:szCs w:val="22"/>
        </w:rPr>
        <w:t xml:space="preserve">El literal b) del artículo 21 del Decreto Legislativo N° 1033, Ley de Organización y Funciones del </w:t>
      </w:r>
      <w:r w:rsidRPr="00735E1B">
        <w:rPr>
          <w:rFonts w:ascii="Arial" w:hAnsi="Arial" w:cs="Arial"/>
          <w:sz w:val="22"/>
          <w:szCs w:val="22"/>
        </w:rPr>
        <w:t>Indecopi</w:t>
      </w:r>
      <w:r w:rsidRPr="00735E1B">
        <w:rPr>
          <w:rFonts w:ascii="Arial" w:eastAsia="Arial Narrow" w:hAnsi="Arial" w:cs="Arial"/>
          <w:sz w:val="22"/>
          <w:szCs w:val="22"/>
        </w:rPr>
        <w:t>, en</w:t>
      </w:r>
      <w:r w:rsidRPr="00E23FCD">
        <w:rPr>
          <w:rFonts w:ascii="Arial" w:eastAsia="Arial Narrow" w:hAnsi="Arial" w:cs="Arial"/>
          <w:sz w:val="22"/>
          <w:szCs w:val="22"/>
        </w:rPr>
        <w:t xml:space="preserve"> </w:t>
      </w:r>
      <w:r w:rsidRPr="00E23FCD">
        <w:rPr>
          <w:rFonts w:ascii="Arial" w:eastAsia="Arial" w:hAnsi="Arial" w:cs="Arial"/>
          <w:sz w:val="22"/>
          <w:szCs w:val="22"/>
        </w:rPr>
        <w:t>concordancia</w:t>
      </w:r>
      <w:r w:rsidRPr="00E23FCD">
        <w:rPr>
          <w:rFonts w:ascii="Arial" w:eastAsia="Arial Narrow" w:hAnsi="Arial" w:cs="Arial"/>
          <w:sz w:val="22"/>
          <w:szCs w:val="22"/>
        </w:rPr>
        <w:t xml:space="preserve"> a lo dispuesto por el Reglamento de Organización y Funciones del Indecopi, aprobado por Decreto Supremo 009-2009-PCM y modificado por Decreto Supremo 107-2012-PCM, establece que las Comisiones resuelven, en primera instancia administrativa, los procesos de su competencia, la adopción de medidas cautelares y correctivas, la imposición de las sanciones correspondientes y la determinación de costas y costos</w:t>
      </w:r>
      <w:r w:rsidRPr="00E23FCD">
        <w:rPr>
          <w:rStyle w:val="Refdenotaalpie"/>
          <w:rFonts w:ascii="Arial" w:eastAsia="Arial Narrow" w:hAnsi="Arial" w:cs="Arial"/>
          <w:sz w:val="22"/>
          <w:szCs w:val="22"/>
        </w:rPr>
        <w:footnoteReference w:customMarkFollows="1" w:id="4"/>
        <w:t>2</w:t>
      </w:r>
      <w:r w:rsidRPr="00E23FCD">
        <w:rPr>
          <w:rFonts w:ascii="Arial" w:eastAsia="Arial Narrow" w:hAnsi="Arial" w:cs="Arial"/>
          <w:sz w:val="22"/>
          <w:szCs w:val="22"/>
        </w:rPr>
        <w:t xml:space="preserve">. </w:t>
      </w:r>
    </w:p>
    <w:p w14:paraId="7657A01A" w14:textId="77777777" w:rsidR="000408B2" w:rsidRPr="00E23FCD" w:rsidRDefault="000408B2" w:rsidP="00A61A25">
      <w:pPr>
        <w:ind w:left="567"/>
        <w:jc w:val="both"/>
        <w:rPr>
          <w:rFonts w:ascii="Arial" w:hAnsi="Arial" w:cs="Arial"/>
          <w:sz w:val="22"/>
          <w:szCs w:val="22"/>
        </w:rPr>
      </w:pPr>
    </w:p>
    <w:p w14:paraId="1AA5F504"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 xml:space="preserve">Por su parte, el artículo 109 del Código establece que, en cualquier etapa del procedimiento, de oficio o a pedido de parte, el Indecopi puede, dentro del ámbito de su correspondiente competencia, dictar una o varias de las medidas cautelares indicadas en dicho </w:t>
      </w:r>
      <w:r w:rsidRPr="00E23FCD">
        <w:rPr>
          <w:rFonts w:ascii="Arial" w:eastAsia="Arial" w:hAnsi="Arial" w:cs="Arial"/>
          <w:sz w:val="22"/>
          <w:szCs w:val="22"/>
        </w:rPr>
        <w:t>artículo</w:t>
      </w:r>
      <w:r w:rsidRPr="00E23FCD">
        <w:rPr>
          <w:rFonts w:ascii="Arial" w:eastAsia="Arial Narrow" w:hAnsi="Arial" w:cs="Arial"/>
          <w:sz w:val="22"/>
          <w:szCs w:val="22"/>
        </w:rPr>
        <w:t>, destinadas a asegurar el cumplimiento de la decisión definitiva</w:t>
      </w:r>
      <w:r w:rsidRPr="00E23FCD">
        <w:rPr>
          <w:rStyle w:val="Refdenotaalpie"/>
          <w:rFonts w:ascii="Arial" w:eastAsia="Arial Narrow" w:hAnsi="Arial" w:cs="Arial"/>
          <w:sz w:val="22"/>
          <w:szCs w:val="22"/>
        </w:rPr>
        <w:footnoteReference w:customMarkFollows="1" w:id="5"/>
        <w:t>3</w:t>
      </w:r>
      <w:r w:rsidRPr="00E23FCD">
        <w:rPr>
          <w:rFonts w:ascii="Arial" w:eastAsia="Arial Narrow" w:hAnsi="Arial" w:cs="Arial"/>
          <w:sz w:val="22"/>
          <w:szCs w:val="22"/>
        </w:rPr>
        <w:t>.</w:t>
      </w:r>
    </w:p>
    <w:p w14:paraId="6BB55FC2" w14:textId="77777777" w:rsidR="000408B2" w:rsidRPr="00E23FCD" w:rsidRDefault="000408B2" w:rsidP="00A61A25">
      <w:pPr>
        <w:ind w:left="567"/>
        <w:jc w:val="both"/>
        <w:rPr>
          <w:rFonts w:ascii="Arial" w:hAnsi="Arial" w:cs="Arial"/>
          <w:sz w:val="22"/>
          <w:szCs w:val="22"/>
        </w:rPr>
      </w:pPr>
    </w:p>
    <w:p w14:paraId="2827965B"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 xml:space="preserve">La Comisión considera que existen tres (3) presupuestos que deben presentarse de forma </w:t>
      </w:r>
      <w:r w:rsidRPr="00E23FCD">
        <w:rPr>
          <w:rFonts w:ascii="Arial" w:eastAsia="Arial" w:hAnsi="Arial" w:cs="Arial"/>
          <w:sz w:val="22"/>
          <w:szCs w:val="22"/>
        </w:rPr>
        <w:t>concurrente</w:t>
      </w:r>
      <w:r w:rsidRPr="00E23FCD">
        <w:rPr>
          <w:rFonts w:ascii="Arial" w:eastAsia="Arial Narrow" w:hAnsi="Arial" w:cs="Arial"/>
          <w:sz w:val="22"/>
          <w:szCs w:val="22"/>
        </w:rPr>
        <w:t xml:space="preserve"> a efectos de analizar la viabilidad de dictar una medida cautelar solicitada en los procedimientos por infracción a las normas de protección al consumidor:</w:t>
      </w:r>
    </w:p>
    <w:p w14:paraId="11BFE4B9" w14:textId="77777777" w:rsidR="000408B2" w:rsidRPr="00E23FCD" w:rsidRDefault="000408B2" w:rsidP="00A61A25">
      <w:pPr>
        <w:ind w:left="567"/>
        <w:jc w:val="both"/>
        <w:rPr>
          <w:rFonts w:ascii="Arial" w:hAnsi="Arial" w:cs="Arial"/>
          <w:sz w:val="22"/>
          <w:szCs w:val="22"/>
        </w:rPr>
      </w:pPr>
    </w:p>
    <w:p w14:paraId="09B64183" w14:textId="77777777" w:rsidR="000408B2" w:rsidRPr="00E23FCD" w:rsidRDefault="000408B2" w:rsidP="00A61A25">
      <w:pPr>
        <w:numPr>
          <w:ilvl w:val="0"/>
          <w:numId w:val="20"/>
        </w:numPr>
        <w:ind w:left="1140" w:hanging="570"/>
        <w:contextualSpacing/>
        <w:jc w:val="both"/>
        <w:rPr>
          <w:rFonts w:ascii="Arial" w:hAnsi="Arial" w:cs="Arial"/>
          <w:sz w:val="22"/>
          <w:szCs w:val="22"/>
        </w:rPr>
      </w:pPr>
      <w:r w:rsidRPr="00E23FCD">
        <w:rPr>
          <w:rFonts w:ascii="Arial" w:hAnsi="Arial" w:cs="Arial"/>
          <w:sz w:val="22"/>
          <w:szCs w:val="22"/>
        </w:rPr>
        <w:t>Acreditar la verosimilitud de la infracción;</w:t>
      </w:r>
    </w:p>
    <w:p w14:paraId="2FFBE9D3" w14:textId="77777777" w:rsidR="000408B2" w:rsidRPr="00E23FCD" w:rsidRDefault="000408B2" w:rsidP="00A61A25">
      <w:pPr>
        <w:numPr>
          <w:ilvl w:val="0"/>
          <w:numId w:val="20"/>
        </w:numPr>
        <w:ind w:left="1140" w:hanging="570"/>
        <w:contextualSpacing/>
        <w:jc w:val="both"/>
        <w:rPr>
          <w:rFonts w:ascii="Arial" w:hAnsi="Arial" w:cs="Arial"/>
          <w:sz w:val="22"/>
          <w:szCs w:val="22"/>
        </w:rPr>
      </w:pPr>
      <w:r w:rsidRPr="00E23FCD">
        <w:rPr>
          <w:rFonts w:ascii="Arial" w:hAnsi="Arial" w:cs="Arial"/>
          <w:sz w:val="22"/>
          <w:szCs w:val="22"/>
        </w:rPr>
        <w:t>demostrar que existe un peligro en la demora de la emisión del pronunciamiento que definirá la controversia; y,</w:t>
      </w:r>
    </w:p>
    <w:p w14:paraId="6E461612" w14:textId="77777777" w:rsidR="000408B2" w:rsidRPr="00E23FCD" w:rsidRDefault="000408B2" w:rsidP="00A61A25">
      <w:pPr>
        <w:numPr>
          <w:ilvl w:val="0"/>
          <w:numId w:val="20"/>
        </w:numPr>
        <w:ind w:left="1140" w:hanging="570"/>
        <w:contextualSpacing/>
        <w:jc w:val="both"/>
        <w:rPr>
          <w:rFonts w:ascii="Arial" w:hAnsi="Arial" w:cs="Arial"/>
          <w:sz w:val="22"/>
          <w:szCs w:val="22"/>
        </w:rPr>
      </w:pPr>
      <w:r w:rsidRPr="00E23FCD">
        <w:rPr>
          <w:rFonts w:ascii="Arial" w:hAnsi="Arial" w:cs="Arial"/>
          <w:sz w:val="22"/>
          <w:szCs w:val="22"/>
        </w:rPr>
        <w:t>señalar cuál es la medida adecuada para cautelar la decisión final.</w:t>
      </w:r>
    </w:p>
    <w:p w14:paraId="11C9A940" w14:textId="77777777" w:rsidR="000408B2" w:rsidRPr="00E23FCD" w:rsidRDefault="000408B2" w:rsidP="00A61A25">
      <w:pPr>
        <w:ind w:left="567"/>
        <w:jc w:val="both"/>
        <w:rPr>
          <w:rFonts w:ascii="Arial" w:hAnsi="Arial" w:cs="Arial"/>
          <w:sz w:val="22"/>
          <w:szCs w:val="22"/>
        </w:rPr>
      </w:pPr>
    </w:p>
    <w:p w14:paraId="006EC7B5"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Sobre el primer presupuesto, la Comisión considera que la verosimilitud de la infracción es un grado intermedio entre la duda y la certeza, sin constituir un estado que acredite fehacientemente la comisión de una infracción al Código</w:t>
      </w:r>
      <w:r w:rsidRPr="00E23FCD">
        <w:rPr>
          <w:rStyle w:val="Refdenotaalpie"/>
          <w:rFonts w:ascii="Arial" w:eastAsia="Arial Narrow" w:hAnsi="Arial" w:cs="Arial"/>
          <w:sz w:val="22"/>
          <w:szCs w:val="22"/>
        </w:rPr>
        <w:footnoteReference w:customMarkFollows="1" w:id="6"/>
        <w:t>4</w:t>
      </w:r>
      <w:r w:rsidRPr="00E23FCD">
        <w:rPr>
          <w:rFonts w:ascii="Arial" w:eastAsia="Arial Narrow" w:hAnsi="Arial" w:cs="Arial"/>
          <w:sz w:val="22"/>
          <w:szCs w:val="22"/>
        </w:rPr>
        <w:t>. Asimismo, este Colegiado entiende que la carga de acreditar el presente presupuesto corresponde al solicitante de la medida cautelar, por lo que deberá evaluarse, en cada caso concreto, la forma a través de la cual se está demostrando dicha verosimilitud</w:t>
      </w:r>
      <w:r w:rsidRPr="00E23FCD">
        <w:rPr>
          <w:rStyle w:val="Refdenotaalpie"/>
          <w:rFonts w:ascii="Arial" w:eastAsia="Arial Narrow" w:hAnsi="Arial" w:cs="Arial"/>
          <w:sz w:val="22"/>
          <w:szCs w:val="22"/>
        </w:rPr>
        <w:footnoteReference w:customMarkFollows="1" w:id="7"/>
        <w:t>5</w:t>
      </w:r>
      <w:r w:rsidRPr="00E23FCD">
        <w:rPr>
          <w:rFonts w:ascii="Arial" w:eastAsia="Arial Narrow" w:hAnsi="Arial" w:cs="Arial"/>
          <w:sz w:val="22"/>
          <w:szCs w:val="22"/>
        </w:rPr>
        <w:t>.</w:t>
      </w:r>
    </w:p>
    <w:p w14:paraId="34F01ADC" w14:textId="77777777" w:rsidR="000408B2" w:rsidRPr="00E23FCD" w:rsidRDefault="000408B2" w:rsidP="00A61A25">
      <w:pPr>
        <w:ind w:left="567"/>
        <w:jc w:val="both"/>
        <w:rPr>
          <w:rFonts w:ascii="Arial" w:hAnsi="Arial" w:cs="Arial"/>
          <w:sz w:val="22"/>
          <w:szCs w:val="22"/>
        </w:rPr>
      </w:pPr>
    </w:p>
    <w:p w14:paraId="7A4334EC"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 xml:space="preserve">De otro lado, sobre el segundo presupuesto que debe observar el peticionante de la medida, </w:t>
      </w:r>
      <w:r w:rsidRPr="00E23FCD">
        <w:rPr>
          <w:rFonts w:ascii="Arial" w:eastAsia="Arial" w:hAnsi="Arial" w:cs="Arial"/>
          <w:sz w:val="22"/>
          <w:szCs w:val="22"/>
        </w:rPr>
        <w:t>le</w:t>
      </w:r>
      <w:r w:rsidRPr="00E23FCD">
        <w:rPr>
          <w:rFonts w:ascii="Arial" w:eastAsia="Arial Narrow" w:hAnsi="Arial" w:cs="Arial"/>
          <w:sz w:val="22"/>
          <w:szCs w:val="22"/>
        </w:rPr>
        <w:t xml:space="preserve"> corresponde a éste demostrar que la intervención de la autoridad es necesaria en la medida que existe un peligro en la demora de la emisión de la decisión que definirá la controversia presentada ante la Comisión</w:t>
      </w:r>
      <w:r w:rsidRPr="00E23FCD">
        <w:rPr>
          <w:rStyle w:val="Refdenotaalpie"/>
          <w:rFonts w:ascii="Arial" w:eastAsia="Arial Narrow" w:hAnsi="Arial" w:cs="Arial"/>
          <w:sz w:val="22"/>
          <w:szCs w:val="22"/>
        </w:rPr>
        <w:footnoteReference w:customMarkFollows="1" w:id="8"/>
        <w:t>6</w:t>
      </w:r>
      <w:r w:rsidRPr="00E23FCD">
        <w:rPr>
          <w:rFonts w:ascii="Arial" w:eastAsia="Arial Narrow" w:hAnsi="Arial" w:cs="Arial"/>
          <w:sz w:val="22"/>
          <w:szCs w:val="22"/>
        </w:rPr>
        <w:t>.</w:t>
      </w:r>
    </w:p>
    <w:p w14:paraId="7F52469E" w14:textId="77777777" w:rsidR="000408B2" w:rsidRPr="00E23FCD" w:rsidRDefault="000408B2" w:rsidP="00A61A25">
      <w:pPr>
        <w:ind w:left="567"/>
        <w:jc w:val="both"/>
        <w:rPr>
          <w:rFonts w:ascii="Arial" w:hAnsi="Arial" w:cs="Arial"/>
          <w:sz w:val="22"/>
          <w:szCs w:val="22"/>
        </w:rPr>
      </w:pPr>
    </w:p>
    <w:p w14:paraId="126C0DD1"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 xml:space="preserve">Finalmente, sobre el tercer presupuesto para el dictado de una medida cautelar, la Comisión entiende que la adecuación es la necesidad que la medida cautelar peticionada </w:t>
      </w:r>
      <w:r w:rsidRPr="00E23FCD">
        <w:rPr>
          <w:rFonts w:ascii="Arial" w:eastAsia="Arial Narrow" w:hAnsi="Arial" w:cs="Arial"/>
          <w:sz w:val="22"/>
          <w:szCs w:val="22"/>
        </w:rPr>
        <w:lastRenderedPageBreak/>
        <w:t xml:space="preserve">sea </w:t>
      </w:r>
      <w:r w:rsidRPr="00E23FCD">
        <w:rPr>
          <w:rFonts w:ascii="Arial" w:eastAsia="Arial" w:hAnsi="Arial" w:cs="Arial"/>
          <w:sz w:val="22"/>
          <w:szCs w:val="22"/>
        </w:rPr>
        <w:t>congruente</w:t>
      </w:r>
      <w:r w:rsidRPr="00E23FCD">
        <w:rPr>
          <w:rFonts w:ascii="Arial" w:eastAsia="Arial Narrow" w:hAnsi="Arial" w:cs="Arial"/>
          <w:sz w:val="22"/>
          <w:szCs w:val="22"/>
        </w:rPr>
        <w:t xml:space="preserve"> y proporcional para lograr la finalidad de la tutela cautelar; esto es, asegurar la eficacia de la decisión final que pueda emitir la Comisión al término del procedimiento</w:t>
      </w:r>
      <w:r w:rsidRPr="00E23FCD">
        <w:rPr>
          <w:rStyle w:val="Refdenotaalpie"/>
          <w:rFonts w:ascii="Arial" w:eastAsia="Arial Narrow" w:hAnsi="Arial" w:cs="Arial"/>
          <w:sz w:val="22"/>
          <w:szCs w:val="22"/>
        </w:rPr>
        <w:footnoteReference w:customMarkFollows="1" w:id="9"/>
        <w:t>7</w:t>
      </w:r>
      <w:r w:rsidRPr="00E23FCD">
        <w:rPr>
          <w:rFonts w:ascii="Arial" w:eastAsia="Arial Narrow" w:hAnsi="Arial" w:cs="Arial"/>
          <w:sz w:val="22"/>
          <w:szCs w:val="22"/>
        </w:rPr>
        <w:t xml:space="preserve">. </w:t>
      </w:r>
    </w:p>
    <w:p w14:paraId="565ACC7D" w14:textId="77777777" w:rsidR="000408B2" w:rsidRPr="00E23FCD" w:rsidRDefault="000408B2" w:rsidP="00A61A25">
      <w:pPr>
        <w:ind w:left="567"/>
        <w:jc w:val="both"/>
        <w:rPr>
          <w:rFonts w:ascii="Arial" w:hAnsi="Arial" w:cs="Arial"/>
          <w:sz w:val="22"/>
          <w:szCs w:val="22"/>
        </w:rPr>
      </w:pPr>
    </w:p>
    <w:p w14:paraId="7463AEC6"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 xml:space="preserve">Así, para observar el presupuesto de la adecuación, la autoridad debe verificar la </w:t>
      </w:r>
      <w:r w:rsidRPr="00E23FCD">
        <w:rPr>
          <w:rFonts w:ascii="Arial" w:eastAsia="Arial" w:hAnsi="Arial" w:cs="Arial"/>
          <w:sz w:val="22"/>
          <w:szCs w:val="22"/>
        </w:rPr>
        <w:t>congruencia</w:t>
      </w:r>
      <w:r w:rsidRPr="00E23FCD">
        <w:rPr>
          <w:rFonts w:ascii="Arial" w:eastAsia="Arial Narrow" w:hAnsi="Arial" w:cs="Arial"/>
          <w:sz w:val="22"/>
          <w:szCs w:val="22"/>
        </w:rPr>
        <w:t>, esto es la existencia de correlación lógica entre el pedido cautelar y la pretensión u objeto de tutela en el proceso principal; y, además, la proporcionalidad, vale decir que la afectación que supone el dictado de la medida cautelar en quien la soporta sea la necesaria para alcanzar la plena efectividad de la decisión definitiva</w:t>
      </w:r>
      <w:r w:rsidRPr="00E23FCD">
        <w:rPr>
          <w:rStyle w:val="Refdenotaalpie"/>
          <w:rFonts w:ascii="Arial" w:eastAsia="Arial Narrow" w:hAnsi="Arial" w:cs="Arial"/>
          <w:sz w:val="22"/>
          <w:szCs w:val="22"/>
        </w:rPr>
        <w:footnoteReference w:customMarkFollows="1" w:id="10"/>
        <w:t>8</w:t>
      </w:r>
      <w:r w:rsidRPr="00E23FCD">
        <w:rPr>
          <w:rFonts w:ascii="Arial" w:eastAsia="Arial Narrow" w:hAnsi="Arial" w:cs="Arial"/>
          <w:sz w:val="22"/>
          <w:szCs w:val="22"/>
        </w:rPr>
        <w:t>.</w:t>
      </w:r>
    </w:p>
    <w:p w14:paraId="2F34DA31" w14:textId="77777777" w:rsidR="000408B2" w:rsidRPr="00E23FCD" w:rsidRDefault="000408B2" w:rsidP="00A61A25">
      <w:pPr>
        <w:ind w:left="567"/>
        <w:jc w:val="both"/>
        <w:rPr>
          <w:rFonts w:ascii="Arial" w:hAnsi="Arial" w:cs="Arial"/>
          <w:sz w:val="22"/>
          <w:szCs w:val="22"/>
        </w:rPr>
      </w:pPr>
    </w:p>
    <w:p w14:paraId="19A351CF"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 xml:space="preserve">Así, </w:t>
      </w:r>
      <w:r w:rsidRPr="00E23FCD">
        <w:rPr>
          <w:rFonts w:ascii="Arial" w:eastAsia="Arial" w:hAnsi="Arial" w:cs="Arial"/>
          <w:sz w:val="22"/>
          <w:szCs w:val="22"/>
        </w:rPr>
        <w:t>sobre</w:t>
      </w:r>
      <w:r w:rsidRPr="00E23FCD">
        <w:rPr>
          <w:rFonts w:ascii="Arial" w:eastAsia="Arial Narrow" w:hAnsi="Arial" w:cs="Arial"/>
          <w:sz w:val="22"/>
          <w:szCs w:val="22"/>
        </w:rPr>
        <w:t xml:space="preserve"> el principio de adecuación en teoría cautelar, el Tribunal Constitucional</w:t>
      </w:r>
      <w:r w:rsidRPr="00E23FCD">
        <w:rPr>
          <w:rStyle w:val="Refdenotaalpie"/>
          <w:rFonts w:ascii="Arial" w:eastAsia="Arial Narrow" w:hAnsi="Arial" w:cs="Arial"/>
          <w:sz w:val="22"/>
          <w:szCs w:val="22"/>
        </w:rPr>
        <w:footnoteReference w:customMarkFollows="1" w:id="11"/>
        <w:t>9</w:t>
      </w:r>
      <w:r w:rsidRPr="00E23FCD">
        <w:rPr>
          <w:rFonts w:ascii="Arial" w:eastAsia="Arial Narrow" w:hAnsi="Arial" w:cs="Arial"/>
          <w:sz w:val="22"/>
          <w:szCs w:val="22"/>
        </w:rPr>
        <w:t xml:space="preserve"> señaló que:</w:t>
      </w:r>
    </w:p>
    <w:p w14:paraId="29863B08" w14:textId="77777777" w:rsidR="000408B2" w:rsidRPr="00E23FCD" w:rsidRDefault="000408B2" w:rsidP="00A61A25">
      <w:pPr>
        <w:ind w:left="567"/>
        <w:jc w:val="both"/>
        <w:rPr>
          <w:rFonts w:ascii="Arial" w:hAnsi="Arial" w:cs="Arial"/>
          <w:sz w:val="22"/>
          <w:szCs w:val="22"/>
        </w:rPr>
      </w:pPr>
    </w:p>
    <w:p w14:paraId="1D936AAA" w14:textId="77777777" w:rsidR="000408B2" w:rsidRPr="006666E2" w:rsidRDefault="000408B2" w:rsidP="00A61A25">
      <w:pPr>
        <w:ind w:left="1140"/>
        <w:jc w:val="both"/>
        <w:rPr>
          <w:rFonts w:ascii="Arial" w:hAnsi="Arial" w:cs="Arial"/>
          <w:sz w:val="20"/>
          <w:szCs w:val="20"/>
        </w:rPr>
      </w:pPr>
      <w:r w:rsidRPr="006666E2">
        <w:rPr>
          <w:rFonts w:ascii="Arial" w:hAnsi="Arial" w:cs="Arial"/>
          <w:i/>
          <w:sz w:val="20"/>
          <w:szCs w:val="20"/>
        </w:rPr>
        <w:t xml:space="preserve">“(…) lo que desde una perspectiva procesal se conoce como </w:t>
      </w:r>
      <w:r w:rsidRPr="006666E2">
        <w:rPr>
          <w:rFonts w:ascii="Arial" w:hAnsi="Arial" w:cs="Arial"/>
          <w:b/>
          <w:i/>
          <w:sz w:val="20"/>
          <w:szCs w:val="20"/>
        </w:rPr>
        <w:t>principio de congruencia</w:t>
      </w:r>
      <w:r w:rsidRPr="006666E2">
        <w:rPr>
          <w:rFonts w:ascii="Arial" w:hAnsi="Arial" w:cs="Arial"/>
          <w:i/>
          <w:sz w:val="20"/>
          <w:szCs w:val="20"/>
        </w:rPr>
        <w:t xml:space="preserve"> o, en la teoría cautelar como </w:t>
      </w:r>
      <w:r w:rsidRPr="006666E2">
        <w:rPr>
          <w:rFonts w:ascii="Arial" w:hAnsi="Arial" w:cs="Arial"/>
          <w:b/>
          <w:i/>
          <w:sz w:val="20"/>
          <w:szCs w:val="20"/>
        </w:rPr>
        <w:t>principio de adecuación o principio de mínima injerencia,</w:t>
      </w:r>
      <w:r w:rsidRPr="006666E2">
        <w:rPr>
          <w:rFonts w:ascii="Arial" w:hAnsi="Arial" w:cs="Arial"/>
          <w:i/>
          <w:sz w:val="20"/>
          <w:szCs w:val="20"/>
        </w:rPr>
        <w:t xml:space="preserve"> sirve para delimitar las potestades cautelares del juez, ya que permite que la medida adoptada sea no sólo idónea a la finalidad que persigue, sino que al mismo tiempo no sea tan dañina que incluso cause mayores estragos al peligro de daño irreparable que se intenta garantizar al adoptarla“ (…) “Se trata de optimizar las técnicas procesales de tutela de los derechos a efectos de garantizar la vigencia de los derechos no sólo de quien solicita una medida cautelar, sino también y con mayor rigor aún, de quien los va a sufrir (…)”</w:t>
      </w:r>
      <w:r w:rsidRPr="006666E2">
        <w:rPr>
          <w:rFonts w:ascii="Arial" w:hAnsi="Arial" w:cs="Arial"/>
          <w:sz w:val="20"/>
          <w:szCs w:val="20"/>
        </w:rPr>
        <w:t>.</w:t>
      </w:r>
    </w:p>
    <w:p w14:paraId="3B6FBD8C" w14:textId="77777777" w:rsidR="000408B2" w:rsidRPr="00E23FCD" w:rsidRDefault="000408B2" w:rsidP="00A61A25">
      <w:pPr>
        <w:ind w:left="567"/>
        <w:jc w:val="both"/>
        <w:rPr>
          <w:rFonts w:ascii="Arial" w:hAnsi="Arial" w:cs="Arial"/>
          <w:sz w:val="22"/>
          <w:szCs w:val="22"/>
        </w:rPr>
      </w:pPr>
    </w:p>
    <w:p w14:paraId="48C769C4"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 xml:space="preserve">En </w:t>
      </w:r>
      <w:r w:rsidRPr="00E23FCD">
        <w:rPr>
          <w:rFonts w:ascii="Arial" w:eastAsia="Arial" w:hAnsi="Arial" w:cs="Arial"/>
          <w:sz w:val="22"/>
          <w:szCs w:val="22"/>
        </w:rPr>
        <w:t>atención</w:t>
      </w:r>
      <w:r w:rsidRPr="00E23FCD">
        <w:rPr>
          <w:rFonts w:ascii="Arial" w:eastAsia="Arial Narrow" w:hAnsi="Arial" w:cs="Arial"/>
          <w:sz w:val="22"/>
          <w:szCs w:val="22"/>
        </w:rPr>
        <w:t xml:space="preserve"> a lo expuesto, la Comisión considera que, a efectos de evaluar la solicitud de medida cautelar presentada por la parte denunciante, se debe analizar, de forma independiente, la concurrencia de los tres (3) presupuestos señalados, a efectos de otorgar la tutela cautelar prevista en el procedimiento especial por infracción de las normas de protección al consumidor. Por tanto, la ausencia o falta de uno de los presupuestos, determinará que la medida cautelar no sea concedida por la autoridad.</w:t>
      </w:r>
    </w:p>
    <w:p w14:paraId="2531701A" w14:textId="77777777" w:rsidR="000408B2" w:rsidRPr="00E23FCD" w:rsidRDefault="000408B2" w:rsidP="00A61A25">
      <w:pPr>
        <w:pStyle w:val="Prrafodelista"/>
        <w:spacing w:after="0" w:line="240" w:lineRule="auto"/>
        <w:ind w:left="567"/>
        <w:jc w:val="both"/>
        <w:rPr>
          <w:rFonts w:ascii="Arial" w:hAnsi="Arial" w:cs="Arial"/>
          <w:sz w:val="22"/>
          <w:szCs w:val="22"/>
        </w:rPr>
      </w:pPr>
    </w:p>
    <w:p w14:paraId="74A65E7F"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hAnsi="Arial" w:cs="Arial"/>
          <w:sz w:val="22"/>
          <w:szCs w:val="22"/>
        </w:rPr>
        <w:t xml:space="preserve">Finalmente, en el orden establecido, para este Colegiado corresponderá verificar, en primer lugar, la verosimilitud del carácter ilegal del hecho infractor —a la luz de lo dispuesto en lo </w:t>
      </w:r>
      <w:r w:rsidRPr="00E23FCD">
        <w:rPr>
          <w:rFonts w:ascii="Arial" w:hAnsi="Arial" w:cs="Arial"/>
          <w:sz w:val="22"/>
          <w:szCs w:val="22"/>
        </w:rPr>
        <w:lastRenderedPageBreak/>
        <w:t>desarrollado en los párrafos precedentes—, luego de lo cual se analizará si es que la intervención preventiva es necesaria para evitar que el daño se torne en irreparable —peligro en la demora— y, finalmente, evaluará la adecuación de la medida a efectos de cautelar la decisión final.</w:t>
      </w:r>
    </w:p>
    <w:p w14:paraId="2D843229" w14:textId="77777777" w:rsidR="000408B2" w:rsidRPr="00E23FCD" w:rsidRDefault="000408B2" w:rsidP="00A61A25">
      <w:pPr>
        <w:jc w:val="both"/>
        <w:rPr>
          <w:rFonts w:ascii="Arial" w:hAnsi="Arial" w:cs="Arial"/>
          <w:sz w:val="22"/>
          <w:szCs w:val="22"/>
        </w:rPr>
      </w:pPr>
    </w:p>
    <w:p w14:paraId="363F8214" w14:textId="53DE0FB2" w:rsidR="000408B2" w:rsidRPr="00E23FCD" w:rsidRDefault="00E74895" w:rsidP="00A61A25">
      <w:pPr>
        <w:pStyle w:val="Prrafodelista"/>
        <w:numPr>
          <w:ilvl w:val="1"/>
          <w:numId w:val="7"/>
        </w:numPr>
        <w:tabs>
          <w:tab w:val="clear" w:pos="1440"/>
        </w:tabs>
        <w:spacing w:after="0" w:line="240" w:lineRule="auto"/>
        <w:ind w:left="567" w:hanging="567"/>
        <w:jc w:val="both"/>
        <w:rPr>
          <w:rFonts w:ascii="Arial" w:eastAsia="Arial Narrow" w:hAnsi="Arial" w:cs="Arial"/>
          <w:sz w:val="22"/>
          <w:szCs w:val="22"/>
        </w:rPr>
      </w:pPr>
      <w:r w:rsidRPr="00E23FCD">
        <w:rPr>
          <w:rFonts w:ascii="Arial" w:eastAsia="Arial Narrow" w:hAnsi="Arial" w:cs="Arial"/>
          <w:sz w:val="22"/>
          <w:szCs w:val="22"/>
        </w:rPr>
        <w:t xml:space="preserve">En el </w:t>
      </w:r>
      <w:r w:rsidRPr="00E23FCD">
        <w:rPr>
          <w:rFonts w:ascii="Arial" w:eastAsia="Arial" w:hAnsi="Arial" w:cs="Arial"/>
          <w:sz w:val="22"/>
          <w:szCs w:val="22"/>
        </w:rPr>
        <w:t>presente</w:t>
      </w:r>
      <w:r w:rsidRPr="00E23FCD">
        <w:rPr>
          <w:rFonts w:ascii="Arial" w:eastAsia="Arial Narrow" w:hAnsi="Arial" w:cs="Arial"/>
          <w:sz w:val="22"/>
          <w:szCs w:val="22"/>
        </w:rPr>
        <w:t xml:space="preserve"> </w:t>
      </w:r>
      <w:r w:rsidRPr="00D231D5">
        <w:rPr>
          <w:rFonts w:ascii="Arial" w:eastAsia="Arial Narrow" w:hAnsi="Arial" w:cs="Arial"/>
          <w:sz w:val="22"/>
          <w:szCs w:val="22"/>
        </w:rPr>
        <w:t xml:space="preserve">caso, </w:t>
      </w:r>
      <w:r w:rsidR="00D704DB" w:rsidRPr="00D231D5">
        <w:rPr>
          <w:rFonts w:ascii="Arial" w:eastAsia="Arial Narrow" w:hAnsi="Arial" w:cs="Arial"/>
          <w:sz w:val="22"/>
          <w:szCs w:val="22"/>
        </w:rPr>
        <w:t xml:space="preserve">el señor </w:t>
      </w:r>
      <w:r w:rsidR="00D231D5" w:rsidRPr="00D231D5">
        <w:rPr>
          <w:rFonts w:ascii="Arial" w:hAnsi="Arial" w:cs="Arial"/>
          <w:sz w:val="22"/>
          <w:szCs w:val="22"/>
          <w:lang w:val="es-ES" w:eastAsia="es-ES"/>
        </w:rPr>
        <w:t xml:space="preserve">Inca </w:t>
      </w:r>
      <w:r w:rsidRPr="00E23FCD">
        <w:rPr>
          <w:rFonts w:ascii="Arial" w:eastAsia="Arial Narrow" w:hAnsi="Arial" w:cs="Arial"/>
          <w:sz w:val="22"/>
          <w:szCs w:val="22"/>
        </w:rPr>
        <w:t>denunció</w:t>
      </w:r>
      <w:r w:rsidR="00F16ED5">
        <w:rPr>
          <w:rFonts w:ascii="Arial" w:eastAsia="Arial Narrow" w:hAnsi="Arial" w:cs="Arial"/>
          <w:sz w:val="22"/>
          <w:szCs w:val="22"/>
        </w:rPr>
        <w:t>, entre otros,</w:t>
      </w:r>
      <w:r w:rsidRPr="00E23FCD">
        <w:rPr>
          <w:rFonts w:ascii="Arial" w:eastAsia="Arial Narrow" w:hAnsi="Arial" w:cs="Arial"/>
          <w:sz w:val="22"/>
          <w:szCs w:val="22"/>
        </w:rPr>
        <w:t xml:space="preserve"> que </w:t>
      </w:r>
      <w:r w:rsidR="00D231D5" w:rsidRPr="00D231D5">
        <w:rPr>
          <w:rFonts w:ascii="Arial" w:eastAsia="Arial Narrow" w:hAnsi="Arial" w:cs="Arial"/>
          <w:sz w:val="22"/>
          <w:szCs w:val="22"/>
        </w:rPr>
        <w:t xml:space="preserve">BNP Paribas </w:t>
      </w:r>
      <w:r w:rsidR="00D231D5">
        <w:rPr>
          <w:rFonts w:ascii="Arial" w:eastAsia="Arial Narrow" w:hAnsi="Arial" w:cs="Arial"/>
          <w:sz w:val="22"/>
          <w:szCs w:val="22"/>
        </w:rPr>
        <w:t xml:space="preserve">le </w:t>
      </w:r>
      <w:r w:rsidR="00D231D5" w:rsidRPr="00D231D5">
        <w:rPr>
          <w:rFonts w:ascii="Arial" w:eastAsia="Arial Narrow" w:hAnsi="Arial" w:cs="Arial"/>
          <w:sz w:val="22"/>
          <w:szCs w:val="22"/>
        </w:rPr>
        <w:t>denegó la cobertura del seguro de desgravamen del crédito hipotecario 94****26, pese a que previamente le requirió la historia clínica e información médica de su cónyuge.</w:t>
      </w:r>
      <w:r w:rsidR="00F16ED5">
        <w:rPr>
          <w:rFonts w:ascii="Arial" w:eastAsia="Arial Narrow" w:hAnsi="Arial" w:cs="Arial"/>
          <w:sz w:val="22"/>
          <w:szCs w:val="22"/>
        </w:rPr>
        <w:t xml:space="preserve"> Asimismo, el señor Inca denunció que </w:t>
      </w:r>
      <w:r w:rsidR="00F16ED5" w:rsidRPr="00F16ED5">
        <w:rPr>
          <w:rFonts w:ascii="Arial" w:eastAsia="Arial Narrow" w:hAnsi="Arial" w:cs="Arial"/>
          <w:sz w:val="22"/>
          <w:szCs w:val="22"/>
        </w:rPr>
        <w:t>Scotiabank no habría</w:t>
      </w:r>
      <w:r w:rsidR="00F16ED5">
        <w:rPr>
          <w:rFonts w:ascii="Arial" w:eastAsia="Arial Narrow" w:hAnsi="Arial" w:cs="Arial"/>
          <w:sz w:val="22"/>
          <w:szCs w:val="22"/>
        </w:rPr>
        <w:t xml:space="preserve"> le</w:t>
      </w:r>
      <w:r w:rsidR="00F16ED5" w:rsidRPr="00F16ED5">
        <w:rPr>
          <w:rFonts w:ascii="Arial" w:eastAsia="Arial Narrow" w:hAnsi="Arial" w:cs="Arial"/>
          <w:sz w:val="22"/>
          <w:szCs w:val="22"/>
        </w:rPr>
        <w:t xml:space="preserve"> informado sobre la existencia de un seguro de desgravamen mancomunado, pese a que el crédito hipotecario 94****26 fue contratado por la sociedad conyugal.</w:t>
      </w:r>
    </w:p>
    <w:p w14:paraId="03879BD9" w14:textId="77777777" w:rsidR="000408B2" w:rsidRPr="00E23FCD" w:rsidRDefault="000408B2" w:rsidP="00A61A25">
      <w:pPr>
        <w:pStyle w:val="Prrafodelista"/>
        <w:spacing w:line="240" w:lineRule="auto"/>
        <w:ind w:left="1430"/>
        <w:jc w:val="both"/>
        <w:rPr>
          <w:rFonts w:ascii="Arial" w:eastAsia="Arial Narrow" w:hAnsi="Arial" w:cs="Arial"/>
          <w:sz w:val="22"/>
          <w:szCs w:val="22"/>
        </w:rPr>
      </w:pPr>
    </w:p>
    <w:p w14:paraId="4F91EADC" w14:textId="1D5BE5B2" w:rsidR="00C77155" w:rsidRPr="00E23FCD" w:rsidRDefault="000408B2" w:rsidP="00A61A25">
      <w:pPr>
        <w:pStyle w:val="Prrafodelista"/>
        <w:numPr>
          <w:ilvl w:val="1"/>
          <w:numId w:val="7"/>
        </w:numPr>
        <w:tabs>
          <w:tab w:val="clear" w:pos="1440"/>
        </w:tabs>
        <w:spacing w:after="0" w:line="240" w:lineRule="auto"/>
        <w:ind w:left="567" w:hanging="567"/>
        <w:jc w:val="both"/>
        <w:rPr>
          <w:rFonts w:ascii="Arial" w:eastAsia="Arial Narrow" w:hAnsi="Arial" w:cs="Arial"/>
          <w:sz w:val="22"/>
          <w:szCs w:val="22"/>
        </w:rPr>
      </w:pPr>
      <w:r w:rsidRPr="00E23FCD">
        <w:rPr>
          <w:rFonts w:ascii="Arial" w:eastAsia="Arial Narrow" w:hAnsi="Arial" w:cs="Arial"/>
          <w:sz w:val="22"/>
          <w:szCs w:val="22"/>
        </w:rPr>
        <w:t xml:space="preserve">En </w:t>
      </w:r>
      <w:r w:rsidRPr="00E23FCD">
        <w:rPr>
          <w:rFonts w:ascii="Arial" w:eastAsia="Arial" w:hAnsi="Arial" w:cs="Arial"/>
          <w:sz w:val="22"/>
          <w:szCs w:val="22"/>
        </w:rPr>
        <w:t>atención</w:t>
      </w:r>
      <w:r w:rsidRPr="00E23FCD">
        <w:rPr>
          <w:rFonts w:ascii="Arial" w:eastAsia="Arial Narrow" w:hAnsi="Arial" w:cs="Arial"/>
          <w:sz w:val="22"/>
          <w:szCs w:val="22"/>
        </w:rPr>
        <w:t xml:space="preserve"> a ello</w:t>
      </w:r>
      <w:r w:rsidRPr="00D231D5">
        <w:rPr>
          <w:rFonts w:ascii="Arial" w:eastAsia="Arial Narrow" w:hAnsi="Arial" w:cs="Arial"/>
          <w:sz w:val="22"/>
          <w:szCs w:val="22"/>
        </w:rPr>
        <w:t xml:space="preserve">, </w:t>
      </w:r>
      <w:r w:rsidR="00D231D5" w:rsidRPr="00D231D5">
        <w:rPr>
          <w:rFonts w:ascii="Arial" w:eastAsia="Arial Narrow" w:hAnsi="Arial" w:cs="Arial"/>
          <w:sz w:val="22"/>
          <w:szCs w:val="22"/>
        </w:rPr>
        <w:t>el</w:t>
      </w:r>
      <w:r w:rsidR="00E74895" w:rsidRPr="00D231D5">
        <w:rPr>
          <w:rFonts w:ascii="Arial" w:eastAsia="Arial Narrow" w:hAnsi="Arial" w:cs="Arial"/>
          <w:sz w:val="22"/>
          <w:szCs w:val="22"/>
        </w:rPr>
        <w:t xml:space="preserve"> denunciante solicitó</w:t>
      </w:r>
      <w:r w:rsidR="00E74895" w:rsidRPr="00E23FCD">
        <w:rPr>
          <w:rFonts w:ascii="Arial" w:eastAsia="Arial Narrow" w:hAnsi="Arial" w:cs="Arial"/>
          <w:sz w:val="22"/>
          <w:szCs w:val="22"/>
        </w:rPr>
        <w:t xml:space="preserve"> </w:t>
      </w:r>
      <w:r w:rsidR="00D231D5" w:rsidRPr="00D231D5">
        <w:rPr>
          <w:rFonts w:ascii="Arial" w:eastAsia="Arial Narrow" w:hAnsi="Arial" w:cs="Arial"/>
          <w:color w:val="000000" w:themeColor="text1"/>
          <w:sz w:val="22"/>
          <w:szCs w:val="22"/>
        </w:rPr>
        <w:t>que se disponga como medida cautelar</w:t>
      </w:r>
      <w:r w:rsidR="00D231D5">
        <w:rPr>
          <w:rFonts w:ascii="Arial" w:eastAsia="Arial Narrow" w:hAnsi="Arial" w:cs="Arial"/>
          <w:color w:val="000000" w:themeColor="text1"/>
          <w:sz w:val="22"/>
          <w:szCs w:val="22"/>
        </w:rPr>
        <w:t xml:space="preserve"> e</w:t>
      </w:r>
      <w:r w:rsidR="00D231D5" w:rsidRPr="00D231D5">
        <w:rPr>
          <w:rFonts w:ascii="Arial" w:eastAsia="Arial Narrow" w:hAnsi="Arial" w:cs="Arial"/>
          <w:color w:val="000000" w:themeColor="text1"/>
          <w:sz w:val="22"/>
          <w:szCs w:val="22"/>
        </w:rPr>
        <w:t xml:space="preserve">l cese temporal de los cobros derivados del </w:t>
      </w:r>
      <w:r w:rsidR="00F16ED5" w:rsidRPr="00F16ED5">
        <w:rPr>
          <w:rFonts w:ascii="Arial" w:eastAsia="Arial Narrow" w:hAnsi="Arial" w:cs="Arial"/>
          <w:sz w:val="22"/>
          <w:szCs w:val="22"/>
        </w:rPr>
        <w:t xml:space="preserve">crédito hipotecario 94****26 </w:t>
      </w:r>
      <w:r w:rsidR="00D231D5" w:rsidRPr="00D231D5">
        <w:rPr>
          <w:rFonts w:ascii="Arial" w:eastAsia="Arial Narrow" w:hAnsi="Arial" w:cs="Arial"/>
          <w:color w:val="000000" w:themeColor="text1"/>
          <w:sz w:val="22"/>
          <w:szCs w:val="22"/>
        </w:rPr>
        <w:t>materia de controversia, incluyendo el pago de cuotas mensuales</w:t>
      </w:r>
      <w:r w:rsidR="00C77155" w:rsidRPr="00E23FCD">
        <w:rPr>
          <w:rFonts w:ascii="Arial" w:hAnsi="Arial" w:cs="Arial"/>
          <w:color w:val="000000" w:themeColor="text1"/>
          <w:sz w:val="22"/>
          <w:szCs w:val="22"/>
        </w:rPr>
        <w:t>.</w:t>
      </w:r>
    </w:p>
    <w:p w14:paraId="6E9D2299" w14:textId="77777777" w:rsidR="00D752FA" w:rsidRPr="00AB2753" w:rsidRDefault="00D752FA" w:rsidP="00A61A25">
      <w:pPr>
        <w:jc w:val="both"/>
      </w:pPr>
    </w:p>
    <w:p w14:paraId="1D452D69" w14:textId="77777777" w:rsidR="00D752FA" w:rsidRPr="00AB2753" w:rsidRDefault="00D752FA" w:rsidP="00A61A25">
      <w:pPr>
        <w:tabs>
          <w:tab w:val="left" w:pos="566"/>
        </w:tabs>
        <w:jc w:val="both"/>
      </w:pPr>
      <w:r w:rsidRPr="00D752FA">
        <w:rPr>
          <w:rFonts w:ascii="Arial" w:hAnsi="Arial" w:cs="Arial"/>
          <w:b/>
          <w:sz w:val="22"/>
          <w:szCs w:val="22"/>
        </w:rPr>
        <w:t>(i)</w:t>
      </w:r>
      <w:r w:rsidRPr="00AB2753">
        <w:rPr>
          <w:b/>
          <w:i/>
        </w:rPr>
        <w:tab/>
      </w:r>
      <w:r w:rsidRPr="00D752FA">
        <w:rPr>
          <w:rFonts w:ascii="Arial" w:hAnsi="Arial" w:cs="Arial"/>
          <w:b/>
          <w:i/>
          <w:sz w:val="22"/>
          <w:szCs w:val="22"/>
        </w:rPr>
        <w:t>Sobre la verosimilitud de la infracción</w:t>
      </w:r>
    </w:p>
    <w:p w14:paraId="01EBE94B" w14:textId="77777777" w:rsidR="00D752FA" w:rsidRPr="00AB2753" w:rsidRDefault="00D752FA" w:rsidP="00A61A25">
      <w:pPr>
        <w:jc w:val="both"/>
      </w:pPr>
    </w:p>
    <w:p w14:paraId="0F182B08" w14:textId="5CCAD034" w:rsidR="00D752FA" w:rsidRPr="00E23FCD"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hAnsi="Arial" w:cs="Arial"/>
          <w:sz w:val="22"/>
          <w:szCs w:val="22"/>
        </w:rPr>
        <w:t xml:space="preserve">En el </w:t>
      </w:r>
      <w:r w:rsidR="00F16ED5" w:rsidRPr="00F16ED5">
        <w:rPr>
          <w:rFonts w:ascii="Arial" w:hAnsi="Arial" w:cs="Arial"/>
          <w:sz w:val="22"/>
          <w:szCs w:val="22"/>
        </w:rPr>
        <w:t xml:space="preserve">presente caso, el objeto principal de discusión versa sobre la presunta denegatoria de la cobertura del seguro de desgravamen vinculado al crédito hipotecario </w:t>
      </w:r>
      <w:proofErr w:type="spellStart"/>
      <w:r w:rsidR="00F16ED5" w:rsidRPr="00F16ED5">
        <w:rPr>
          <w:rFonts w:ascii="Arial" w:hAnsi="Arial" w:cs="Arial"/>
          <w:sz w:val="22"/>
          <w:szCs w:val="22"/>
        </w:rPr>
        <w:t>N.°</w:t>
      </w:r>
      <w:proofErr w:type="spellEnd"/>
      <w:r w:rsidR="00F16ED5" w:rsidRPr="00F16ED5">
        <w:rPr>
          <w:rFonts w:ascii="Arial" w:hAnsi="Arial" w:cs="Arial"/>
          <w:sz w:val="22"/>
          <w:szCs w:val="22"/>
        </w:rPr>
        <w:t xml:space="preserve"> 94****26 por parte de BNP Paribas, así como sobre la presunta omisión de información atribuida a Scotiabank respecto de la existencia de un seguro de desgravamen mancomunado aplicable al referido crédito; por lo que la solicitud de medida cautelar tiene por finalidad que se disponga el cese temporal de los cobros derivados del citado crédito hipotecario mientras se resuelve la controversia de fondo</w:t>
      </w:r>
      <w:r w:rsidRPr="00E23FCD">
        <w:rPr>
          <w:rFonts w:ascii="Arial" w:eastAsia="Arial Narrow" w:hAnsi="Arial" w:cs="Arial"/>
          <w:color w:val="000000" w:themeColor="text1"/>
          <w:sz w:val="22"/>
          <w:szCs w:val="22"/>
        </w:rPr>
        <w:t>.</w:t>
      </w:r>
    </w:p>
    <w:p w14:paraId="049FCD0D" w14:textId="77777777" w:rsidR="00D752FA" w:rsidRPr="00D752FA" w:rsidRDefault="00D752FA" w:rsidP="00A61A25">
      <w:pPr>
        <w:tabs>
          <w:tab w:val="left" w:pos="1140"/>
        </w:tabs>
        <w:contextualSpacing/>
        <w:jc w:val="both"/>
        <w:rPr>
          <w:rFonts w:ascii="Arial" w:hAnsi="Arial" w:cs="Arial"/>
          <w:sz w:val="22"/>
          <w:szCs w:val="22"/>
        </w:rPr>
      </w:pPr>
    </w:p>
    <w:p w14:paraId="018A0E1E" w14:textId="18129121" w:rsidR="00D752FA" w:rsidRPr="00D752FA"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D752FA">
        <w:rPr>
          <w:rFonts w:ascii="Arial" w:hAnsi="Arial" w:cs="Arial"/>
          <w:sz w:val="22"/>
          <w:szCs w:val="22"/>
        </w:rPr>
        <w:t xml:space="preserve">Al respecto, </w:t>
      </w:r>
      <w:r w:rsidR="00F16ED5" w:rsidRPr="00F16ED5">
        <w:rPr>
          <w:rFonts w:ascii="Arial" w:hAnsi="Arial" w:cs="Arial"/>
          <w:sz w:val="22"/>
          <w:szCs w:val="22"/>
        </w:rPr>
        <w:t>la Comisión considera que, para acreditar la verosimilitud de la presunta infracción, corresponde al señor Inca demostrar que resulta probable que, al término del presente procedimiento, se determine que las conductas atribuidas a BNP Paribas y/o Scotiabank constituyen infracciones administrativas al Código</w:t>
      </w:r>
      <w:r w:rsidRPr="00D752FA">
        <w:rPr>
          <w:rFonts w:ascii="Arial" w:hAnsi="Arial" w:cs="Arial"/>
          <w:sz w:val="22"/>
          <w:szCs w:val="22"/>
        </w:rPr>
        <w:t>.</w:t>
      </w:r>
    </w:p>
    <w:p w14:paraId="284C56B0" w14:textId="77777777" w:rsidR="00D752FA" w:rsidRPr="00D752FA" w:rsidRDefault="00D752FA" w:rsidP="00A61A25">
      <w:pPr>
        <w:tabs>
          <w:tab w:val="left" w:pos="1140"/>
        </w:tabs>
        <w:jc w:val="both"/>
        <w:rPr>
          <w:rFonts w:ascii="Arial" w:hAnsi="Arial" w:cs="Arial"/>
          <w:sz w:val="22"/>
          <w:szCs w:val="22"/>
        </w:rPr>
      </w:pPr>
    </w:p>
    <w:p w14:paraId="13A663DA" w14:textId="46672BAF" w:rsidR="00D752FA" w:rsidRPr="00D752FA"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D752FA">
        <w:rPr>
          <w:rFonts w:ascii="Arial" w:hAnsi="Arial" w:cs="Arial"/>
          <w:sz w:val="22"/>
          <w:szCs w:val="22"/>
        </w:rPr>
        <w:t xml:space="preserve">Del análisis del escrito </w:t>
      </w:r>
      <w:r>
        <w:rPr>
          <w:rFonts w:ascii="Arial" w:hAnsi="Arial" w:cs="Arial"/>
          <w:sz w:val="22"/>
          <w:szCs w:val="22"/>
        </w:rPr>
        <w:t>de denuncia</w:t>
      </w:r>
      <w:r w:rsidRPr="00D752FA">
        <w:rPr>
          <w:rFonts w:ascii="Arial" w:hAnsi="Arial" w:cs="Arial"/>
          <w:sz w:val="22"/>
          <w:szCs w:val="22"/>
        </w:rPr>
        <w:t xml:space="preserve">, se </w:t>
      </w:r>
      <w:r w:rsidRPr="00F16ED5">
        <w:rPr>
          <w:rFonts w:ascii="Arial" w:hAnsi="Arial" w:cs="Arial"/>
          <w:sz w:val="22"/>
          <w:szCs w:val="22"/>
        </w:rPr>
        <w:t xml:space="preserve">advierte que </w:t>
      </w:r>
      <w:r w:rsidR="009C2BE4" w:rsidRPr="00F16ED5">
        <w:rPr>
          <w:rFonts w:ascii="Arial" w:hAnsi="Arial" w:cs="Arial"/>
          <w:sz w:val="22"/>
          <w:szCs w:val="22"/>
        </w:rPr>
        <w:t>el</w:t>
      </w:r>
      <w:r w:rsidRPr="00F16ED5">
        <w:rPr>
          <w:rFonts w:ascii="Arial" w:hAnsi="Arial" w:cs="Arial"/>
          <w:sz w:val="22"/>
          <w:szCs w:val="22"/>
        </w:rPr>
        <w:t xml:space="preserve"> denunciante ha descrito los hechos materia del caso; sin embargo, no se desprende, de manera indiciaria, la presunta infracción </w:t>
      </w:r>
      <w:r w:rsidR="00F16ED5" w:rsidRPr="00F16ED5">
        <w:rPr>
          <w:rFonts w:ascii="Arial" w:hAnsi="Arial" w:cs="Arial"/>
          <w:sz w:val="22"/>
          <w:szCs w:val="22"/>
        </w:rPr>
        <w:t>de los</w:t>
      </w:r>
      <w:r w:rsidRPr="00F16ED5">
        <w:rPr>
          <w:rFonts w:ascii="Arial" w:hAnsi="Arial" w:cs="Arial"/>
          <w:sz w:val="22"/>
          <w:szCs w:val="22"/>
        </w:rPr>
        <w:t xml:space="preserve"> proveedor</w:t>
      </w:r>
      <w:r w:rsidR="00F16ED5" w:rsidRPr="00F16ED5">
        <w:rPr>
          <w:rFonts w:ascii="Arial" w:hAnsi="Arial" w:cs="Arial"/>
          <w:sz w:val="22"/>
          <w:szCs w:val="22"/>
        </w:rPr>
        <w:t>es</w:t>
      </w:r>
      <w:r w:rsidRPr="00F16ED5">
        <w:rPr>
          <w:rFonts w:ascii="Arial" w:hAnsi="Arial" w:cs="Arial"/>
          <w:sz w:val="22"/>
          <w:szCs w:val="22"/>
        </w:rPr>
        <w:t xml:space="preserve"> denunciado</w:t>
      </w:r>
      <w:r w:rsidR="00F16ED5" w:rsidRPr="00F16ED5">
        <w:rPr>
          <w:rFonts w:ascii="Arial" w:hAnsi="Arial" w:cs="Arial"/>
          <w:sz w:val="22"/>
          <w:szCs w:val="22"/>
        </w:rPr>
        <w:t>s</w:t>
      </w:r>
      <w:r w:rsidRPr="00F16ED5">
        <w:rPr>
          <w:rFonts w:ascii="Arial" w:hAnsi="Arial" w:cs="Arial"/>
          <w:sz w:val="22"/>
          <w:szCs w:val="22"/>
        </w:rPr>
        <w:t>.</w:t>
      </w:r>
    </w:p>
    <w:p w14:paraId="04F332E2" w14:textId="77777777" w:rsidR="00D752FA" w:rsidRPr="00D752FA" w:rsidRDefault="00D752FA" w:rsidP="00A61A25">
      <w:pPr>
        <w:jc w:val="both"/>
        <w:rPr>
          <w:rFonts w:ascii="Arial" w:hAnsi="Arial" w:cs="Arial"/>
          <w:sz w:val="22"/>
          <w:szCs w:val="22"/>
        </w:rPr>
      </w:pPr>
    </w:p>
    <w:p w14:paraId="00F3C7F2" w14:textId="77777777" w:rsidR="00D752FA" w:rsidRPr="00D752FA"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proofErr w:type="gramStart"/>
      <w:r w:rsidRPr="00D752FA">
        <w:rPr>
          <w:rFonts w:ascii="Arial" w:hAnsi="Arial" w:cs="Arial"/>
          <w:sz w:val="22"/>
          <w:szCs w:val="22"/>
        </w:rPr>
        <w:t>De acuerdo a</w:t>
      </w:r>
      <w:proofErr w:type="gramEnd"/>
      <w:r w:rsidRPr="00D752FA">
        <w:rPr>
          <w:rFonts w:ascii="Arial" w:hAnsi="Arial" w:cs="Arial"/>
          <w:sz w:val="22"/>
          <w:szCs w:val="22"/>
        </w:rPr>
        <w:t xml:space="preserve"> lo expuesto, la Comisión considera que se requiere realizar previamente una evaluación sobre los hechos materia de controversia, teniendo a la vista argumentaciones y medios probatorios adicionales a los aportados por las partes hasta esta etapa del procedimiento.</w:t>
      </w:r>
    </w:p>
    <w:p w14:paraId="234A391A" w14:textId="77777777" w:rsidR="00D752FA" w:rsidRPr="00D752FA" w:rsidRDefault="00D752FA" w:rsidP="00A61A25">
      <w:pPr>
        <w:pStyle w:val="Prrafodelista"/>
        <w:spacing w:after="0" w:line="240" w:lineRule="auto"/>
        <w:ind w:left="567"/>
        <w:jc w:val="both"/>
        <w:rPr>
          <w:rFonts w:ascii="Arial" w:hAnsi="Arial" w:cs="Arial"/>
          <w:sz w:val="22"/>
          <w:szCs w:val="22"/>
        </w:rPr>
      </w:pPr>
    </w:p>
    <w:p w14:paraId="70A74272" w14:textId="4DE5B7B3" w:rsidR="00D752FA"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D752FA">
        <w:rPr>
          <w:rFonts w:ascii="Arial" w:hAnsi="Arial" w:cs="Arial"/>
          <w:sz w:val="22"/>
          <w:szCs w:val="22"/>
        </w:rPr>
        <w:t xml:space="preserve">Por tanto, </w:t>
      </w:r>
      <w:proofErr w:type="gramStart"/>
      <w:r w:rsidRPr="00D752FA">
        <w:rPr>
          <w:rFonts w:ascii="Arial" w:hAnsi="Arial" w:cs="Arial"/>
          <w:sz w:val="22"/>
          <w:szCs w:val="22"/>
        </w:rPr>
        <w:t>de acuerdo al</w:t>
      </w:r>
      <w:proofErr w:type="gramEnd"/>
      <w:r w:rsidRPr="00D752FA">
        <w:rPr>
          <w:rFonts w:ascii="Arial" w:hAnsi="Arial" w:cs="Arial"/>
          <w:sz w:val="22"/>
          <w:szCs w:val="22"/>
        </w:rPr>
        <w:t xml:space="preserve"> contenido de la solicitud de medida cautelar de</w:t>
      </w:r>
      <w:r w:rsidR="009C2BE4">
        <w:rPr>
          <w:rFonts w:ascii="Arial" w:hAnsi="Arial" w:cs="Arial"/>
          <w:sz w:val="22"/>
          <w:szCs w:val="22"/>
        </w:rPr>
        <w:t xml:space="preserve">l </w:t>
      </w:r>
      <w:r>
        <w:rPr>
          <w:rFonts w:ascii="Arial" w:hAnsi="Arial" w:cs="Arial"/>
          <w:sz w:val="22"/>
          <w:szCs w:val="22"/>
        </w:rPr>
        <w:t>denunciante</w:t>
      </w:r>
      <w:r w:rsidRPr="00D752FA">
        <w:rPr>
          <w:rFonts w:ascii="Arial" w:hAnsi="Arial" w:cs="Arial"/>
          <w:sz w:val="22"/>
          <w:szCs w:val="22"/>
        </w:rPr>
        <w:t xml:space="preserve"> y conforme a lo expuesto precedentemente, este Colegiado considera que no se configuraría el primer presupuesto de toda medida cautelar, esto es, la verosimilitud de la infracción, en </w:t>
      </w:r>
      <w:r w:rsidRPr="00D752FA">
        <w:rPr>
          <w:rFonts w:ascii="Arial" w:hAnsi="Arial" w:cs="Arial"/>
          <w:sz w:val="22"/>
          <w:szCs w:val="22"/>
        </w:rPr>
        <w:lastRenderedPageBreak/>
        <w:t xml:space="preserve">tanto no se advierte que, de manera preliminar, la conducta efectuada por </w:t>
      </w:r>
      <w:r w:rsidR="00F8483B">
        <w:rPr>
          <w:rFonts w:ascii="Arial" w:hAnsi="Arial" w:cs="Arial"/>
          <w:sz w:val="22"/>
          <w:szCs w:val="22"/>
        </w:rPr>
        <w:t>el denunciante</w:t>
      </w:r>
      <w:r w:rsidRPr="00D752FA">
        <w:rPr>
          <w:rFonts w:ascii="Arial" w:hAnsi="Arial" w:cs="Arial"/>
          <w:sz w:val="22"/>
          <w:szCs w:val="22"/>
        </w:rPr>
        <w:t xml:space="preserve"> constituya una posible infracción a la normativa de protección al consumidor.</w:t>
      </w:r>
    </w:p>
    <w:p w14:paraId="248C9BA6" w14:textId="77777777" w:rsidR="009C2BE4" w:rsidRPr="009C2BE4" w:rsidRDefault="009C2BE4" w:rsidP="009C2BE4">
      <w:pPr>
        <w:jc w:val="both"/>
        <w:rPr>
          <w:rFonts w:ascii="Arial" w:hAnsi="Arial" w:cs="Arial"/>
          <w:sz w:val="22"/>
          <w:szCs w:val="22"/>
        </w:rPr>
      </w:pPr>
    </w:p>
    <w:p w14:paraId="5BAD0AAB" w14:textId="1BCB2441" w:rsidR="00D752FA" w:rsidRPr="00D752FA"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D752FA">
        <w:rPr>
          <w:rFonts w:ascii="Arial" w:hAnsi="Arial" w:cs="Arial"/>
          <w:sz w:val="22"/>
          <w:szCs w:val="22"/>
        </w:rPr>
        <w:t>En este punto, resulta importante precisar que conforme lo ha señalado la Sala Especializada en Protección al Consumidor en un anterior pronunciamiento</w:t>
      </w:r>
      <w:r w:rsidRPr="00D752FA">
        <w:rPr>
          <w:rFonts w:ascii="Arial" w:hAnsi="Arial" w:cs="Arial"/>
          <w:sz w:val="22"/>
          <w:szCs w:val="22"/>
          <w:vertAlign w:val="superscript"/>
        </w:rPr>
        <w:footnoteReference w:id="12"/>
      </w:r>
      <w:r w:rsidRPr="00D752FA">
        <w:rPr>
          <w:rFonts w:ascii="Arial" w:hAnsi="Arial" w:cs="Arial"/>
          <w:sz w:val="22"/>
          <w:szCs w:val="22"/>
        </w:rPr>
        <w:t xml:space="preserve">, la conclusión antes arribada se ha realizado sin perjuicio de los medios probatorios y alegatos que se puedan presentar durante la tramitación del presente procedimiento, en el cual se verificará si </w:t>
      </w:r>
      <w:r w:rsidR="0031338F" w:rsidRPr="00D752FA">
        <w:rPr>
          <w:rFonts w:ascii="Arial" w:hAnsi="Arial" w:cs="Arial"/>
          <w:sz w:val="22"/>
          <w:szCs w:val="22"/>
        </w:rPr>
        <w:t xml:space="preserve">la conducta de </w:t>
      </w:r>
      <w:r w:rsidR="00F8483B">
        <w:rPr>
          <w:rFonts w:ascii="Arial" w:hAnsi="Arial" w:cs="Arial"/>
          <w:sz w:val="22"/>
          <w:szCs w:val="22"/>
        </w:rPr>
        <w:t>Pacífico</w:t>
      </w:r>
      <w:r w:rsidR="0031338F" w:rsidRPr="00D752FA">
        <w:rPr>
          <w:rFonts w:ascii="Arial" w:hAnsi="Arial" w:cs="Arial"/>
          <w:sz w:val="22"/>
          <w:szCs w:val="22"/>
        </w:rPr>
        <w:t xml:space="preserve"> constituye</w:t>
      </w:r>
      <w:r w:rsidRPr="00D752FA">
        <w:rPr>
          <w:rFonts w:ascii="Arial" w:hAnsi="Arial" w:cs="Arial"/>
          <w:sz w:val="22"/>
          <w:szCs w:val="22"/>
        </w:rPr>
        <w:t xml:space="preserve"> una infracción al Código. </w:t>
      </w:r>
    </w:p>
    <w:p w14:paraId="187F3AAF" w14:textId="77777777" w:rsidR="00D752FA" w:rsidRPr="00D752FA" w:rsidRDefault="00D752FA" w:rsidP="00A61A25">
      <w:pPr>
        <w:ind w:left="567"/>
        <w:jc w:val="both"/>
        <w:rPr>
          <w:rFonts w:ascii="Arial" w:hAnsi="Arial" w:cs="Arial"/>
          <w:sz w:val="22"/>
          <w:szCs w:val="22"/>
        </w:rPr>
      </w:pPr>
    </w:p>
    <w:p w14:paraId="63FB0903" w14:textId="63897EC4" w:rsidR="00D752FA" w:rsidRPr="00D752FA"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D752FA">
        <w:rPr>
          <w:rFonts w:ascii="Arial" w:hAnsi="Arial" w:cs="Arial"/>
          <w:sz w:val="22"/>
          <w:szCs w:val="22"/>
        </w:rPr>
        <w:t>En consideración de lo expuesto precedentemente y sobre la base del prejuzgamiento que toda medida cautelar importa, conforme al artículo 612 del Código Procesal Civil</w:t>
      </w:r>
      <w:r w:rsidRPr="00D752FA">
        <w:rPr>
          <w:rFonts w:ascii="Arial" w:hAnsi="Arial" w:cs="Arial"/>
          <w:sz w:val="22"/>
          <w:szCs w:val="22"/>
          <w:vertAlign w:val="superscript"/>
        </w:rPr>
        <w:footnoteReference w:id="13"/>
      </w:r>
      <w:r w:rsidRPr="00D752FA">
        <w:rPr>
          <w:rFonts w:ascii="Arial" w:hAnsi="Arial" w:cs="Arial"/>
          <w:sz w:val="22"/>
          <w:szCs w:val="22"/>
        </w:rPr>
        <w:t xml:space="preserve">, este órgano colegiado estima que </w:t>
      </w:r>
      <w:r w:rsidR="00A61A25" w:rsidRPr="00D752FA">
        <w:rPr>
          <w:rFonts w:ascii="Arial" w:hAnsi="Arial" w:cs="Arial"/>
          <w:sz w:val="22"/>
          <w:szCs w:val="22"/>
        </w:rPr>
        <w:t xml:space="preserve">los documentos aportados </w:t>
      </w:r>
      <w:r w:rsidR="00A61A25" w:rsidRPr="00F16ED5">
        <w:rPr>
          <w:rFonts w:ascii="Arial" w:hAnsi="Arial" w:cs="Arial"/>
          <w:sz w:val="22"/>
          <w:szCs w:val="22"/>
        </w:rPr>
        <w:t xml:space="preserve">por </w:t>
      </w:r>
      <w:r w:rsidR="00F16ED5" w:rsidRPr="00F16ED5">
        <w:rPr>
          <w:rFonts w:ascii="Arial" w:hAnsi="Arial" w:cs="Arial"/>
          <w:sz w:val="22"/>
          <w:szCs w:val="22"/>
        </w:rPr>
        <w:t>el</w:t>
      </w:r>
      <w:r w:rsidR="00A61A25" w:rsidRPr="00F16ED5">
        <w:rPr>
          <w:rFonts w:ascii="Arial" w:hAnsi="Arial" w:cs="Arial"/>
          <w:sz w:val="22"/>
          <w:szCs w:val="22"/>
        </w:rPr>
        <w:t xml:space="preserve"> denunciante no</w:t>
      </w:r>
      <w:r w:rsidR="00A61A25" w:rsidRPr="00D752FA">
        <w:rPr>
          <w:rFonts w:ascii="Arial" w:hAnsi="Arial" w:cs="Arial"/>
          <w:sz w:val="22"/>
          <w:szCs w:val="22"/>
        </w:rPr>
        <w:t xml:space="preserve"> se han</w:t>
      </w:r>
      <w:r w:rsidRPr="00D752FA">
        <w:rPr>
          <w:rFonts w:ascii="Arial" w:hAnsi="Arial" w:cs="Arial"/>
          <w:sz w:val="22"/>
          <w:szCs w:val="22"/>
        </w:rPr>
        <w:t xml:space="preserve"> verificado, en forma preliminar, la probabilidad suficiente de que su denuncia será amparada, por lo que no se cumple el primer presupuesto relativo a la verosimilitud del hecho infractor denunciado.</w:t>
      </w:r>
    </w:p>
    <w:p w14:paraId="3095B632" w14:textId="77777777" w:rsidR="00D752FA" w:rsidRPr="00D752FA" w:rsidRDefault="00D752FA" w:rsidP="00A61A25">
      <w:pPr>
        <w:ind w:left="567"/>
        <w:jc w:val="both"/>
        <w:rPr>
          <w:rFonts w:ascii="Arial" w:hAnsi="Arial" w:cs="Arial"/>
          <w:sz w:val="22"/>
          <w:szCs w:val="22"/>
        </w:rPr>
      </w:pPr>
    </w:p>
    <w:p w14:paraId="7A7B6A89" w14:textId="77777777" w:rsidR="00D752FA" w:rsidRPr="00D752FA" w:rsidRDefault="00D752FA" w:rsidP="00A61A25">
      <w:pPr>
        <w:tabs>
          <w:tab w:val="left" w:pos="566"/>
        </w:tabs>
        <w:jc w:val="both"/>
        <w:rPr>
          <w:rFonts w:ascii="Arial" w:hAnsi="Arial" w:cs="Arial"/>
          <w:sz w:val="22"/>
          <w:szCs w:val="22"/>
        </w:rPr>
      </w:pPr>
      <w:r w:rsidRPr="00D752FA">
        <w:rPr>
          <w:rFonts w:ascii="Arial" w:hAnsi="Arial" w:cs="Arial"/>
          <w:b/>
          <w:sz w:val="22"/>
          <w:szCs w:val="22"/>
        </w:rPr>
        <w:t>(</w:t>
      </w:r>
      <w:proofErr w:type="spellStart"/>
      <w:r w:rsidRPr="00D752FA">
        <w:rPr>
          <w:rFonts w:ascii="Arial" w:hAnsi="Arial" w:cs="Arial"/>
          <w:b/>
          <w:sz w:val="22"/>
          <w:szCs w:val="22"/>
        </w:rPr>
        <w:t>ii</w:t>
      </w:r>
      <w:proofErr w:type="spellEnd"/>
      <w:r w:rsidRPr="00D752FA">
        <w:rPr>
          <w:rFonts w:ascii="Arial" w:hAnsi="Arial" w:cs="Arial"/>
          <w:b/>
          <w:sz w:val="22"/>
          <w:szCs w:val="22"/>
        </w:rPr>
        <w:t>)</w:t>
      </w:r>
      <w:r w:rsidRPr="00D752FA">
        <w:rPr>
          <w:rFonts w:ascii="Arial" w:hAnsi="Arial" w:cs="Arial"/>
          <w:b/>
          <w:i/>
          <w:sz w:val="22"/>
          <w:szCs w:val="22"/>
        </w:rPr>
        <w:tab/>
        <w:t>Sobre el peligro en la demora y la adecuación de la medida cautelar solicitada</w:t>
      </w:r>
    </w:p>
    <w:p w14:paraId="6BB309D2" w14:textId="77777777" w:rsidR="00D752FA" w:rsidRPr="00D752FA" w:rsidRDefault="00D752FA" w:rsidP="00A61A25">
      <w:pPr>
        <w:jc w:val="both"/>
        <w:rPr>
          <w:rFonts w:ascii="Arial" w:hAnsi="Arial" w:cs="Arial"/>
          <w:sz w:val="22"/>
          <w:szCs w:val="22"/>
        </w:rPr>
      </w:pPr>
    </w:p>
    <w:p w14:paraId="71507CBF" w14:textId="6DDFC099" w:rsidR="000408B2" w:rsidRPr="00CA2916"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D752FA">
        <w:rPr>
          <w:rFonts w:ascii="Arial" w:hAnsi="Arial" w:cs="Arial"/>
          <w:sz w:val="22"/>
          <w:szCs w:val="22"/>
        </w:rPr>
        <w:t xml:space="preserve">En tanto no se ha acreditado el primer requisito del peligro en la demora, y siendo que los </w:t>
      </w:r>
      <w:r w:rsidRPr="00CA2916">
        <w:rPr>
          <w:rFonts w:ascii="Arial" w:hAnsi="Arial" w:cs="Arial"/>
          <w:sz w:val="22"/>
          <w:szCs w:val="22"/>
        </w:rPr>
        <w:t xml:space="preserve">presupuestos de toda medida cautelar son de naturaleza concurrente, por lo que basta que no se configure alguno para que dicha medida sea rechazada, carece de sentido realizar el análisis de la adecuación de la medida cautelar solicitada por </w:t>
      </w:r>
      <w:r w:rsidR="00F16ED5" w:rsidRPr="00D231D5">
        <w:rPr>
          <w:rFonts w:ascii="Arial" w:eastAsia="Arial Narrow" w:hAnsi="Arial" w:cs="Arial"/>
          <w:sz w:val="22"/>
          <w:szCs w:val="22"/>
        </w:rPr>
        <w:t xml:space="preserve">el señor </w:t>
      </w:r>
      <w:r w:rsidR="00F16ED5" w:rsidRPr="00D231D5">
        <w:rPr>
          <w:rFonts w:ascii="Arial" w:hAnsi="Arial" w:cs="Arial"/>
          <w:sz w:val="22"/>
          <w:szCs w:val="22"/>
          <w:lang w:val="es-ES" w:eastAsia="es-ES"/>
        </w:rPr>
        <w:t>Inca</w:t>
      </w:r>
      <w:r w:rsidRPr="00CA2916">
        <w:rPr>
          <w:rFonts w:ascii="Arial" w:hAnsi="Arial" w:cs="Arial"/>
          <w:sz w:val="22"/>
          <w:szCs w:val="22"/>
        </w:rPr>
        <w:t>.</w:t>
      </w:r>
    </w:p>
    <w:p w14:paraId="37CE8C58" w14:textId="77777777" w:rsidR="000408B2" w:rsidRPr="00CA2916" w:rsidRDefault="000408B2" w:rsidP="00A61A25">
      <w:pPr>
        <w:pStyle w:val="Prrafodelista"/>
        <w:spacing w:line="240" w:lineRule="auto"/>
        <w:rPr>
          <w:rFonts w:ascii="Arial" w:hAnsi="Arial" w:cs="Arial"/>
          <w:sz w:val="22"/>
          <w:szCs w:val="22"/>
        </w:rPr>
      </w:pPr>
    </w:p>
    <w:p w14:paraId="09EAE79C" w14:textId="006C7A03" w:rsidR="000408B2" w:rsidRPr="00CA2916"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CA2916">
        <w:rPr>
          <w:rFonts w:ascii="Arial" w:eastAsia="Arial" w:hAnsi="Arial" w:cs="Arial"/>
          <w:color w:val="000000"/>
          <w:sz w:val="22"/>
          <w:szCs w:val="22"/>
        </w:rPr>
        <w:t xml:space="preserve">En ese </w:t>
      </w:r>
      <w:r w:rsidRPr="00CA2916">
        <w:rPr>
          <w:rFonts w:ascii="Arial" w:eastAsia="Arial" w:hAnsi="Arial" w:cs="Arial"/>
          <w:sz w:val="22"/>
          <w:szCs w:val="22"/>
        </w:rPr>
        <w:t>orden</w:t>
      </w:r>
      <w:r w:rsidRPr="00CA2916">
        <w:rPr>
          <w:rFonts w:ascii="Arial" w:eastAsia="Arial" w:hAnsi="Arial" w:cs="Arial"/>
          <w:color w:val="000000"/>
          <w:sz w:val="22"/>
          <w:szCs w:val="22"/>
        </w:rPr>
        <w:t xml:space="preserve"> de ideas, en la medida que los fundamentos de la solicitud cautelar no </w:t>
      </w:r>
      <w:r w:rsidRPr="00CA2916">
        <w:rPr>
          <w:rFonts w:ascii="Arial" w:eastAsia="Arial Narrow" w:hAnsi="Arial" w:cs="Arial"/>
          <w:sz w:val="22"/>
          <w:szCs w:val="22"/>
        </w:rPr>
        <w:t>resultan</w:t>
      </w:r>
      <w:r w:rsidRPr="00CA2916">
        <w:rPr>
          <w:rFonts w:ascii="Arial" w:eastAsia="Arial" w:hAnsi="Arial" w:cs="Arial"/>
          <w:color w:val="000000"/>
          <w:sz w:val="22"/>
          <w:szCs w:val="22"/>
        </w:rPr>
        <w:t xml:space="preserve"> suficientes para generar verosimilitud respecto de la presunta</w:t>
      </w:r>
      <w:r w:rsidR="00F8483B" w:rsidRPr="00CA2916">
        <w:rPr>
          <w:rFonts w:ascii="Arial" w:eastAsia="Arial" w:hAnsi="Arial" w:cs="Arial"/>
          <w:color w:val="000000"/>
          <w:sz w:val="22"/>
          <w:szCs w:val="22"/>
        </w:rPr>
        <w:t xml:space="preserve"> </w:t>
      </w:r>
      <w:r w:rsidRPr="00CA2916">
        <w:rPr>
          <w:rFonts w:ascii="Arial" w:eastAsia="Arial" w:hAnsi="Arial" w:cs="Arial"/>
          <w:color w:val="000000"/>
          <w:sz w:val="22"/>
          <w:szCs w:val="22"/>
        </w:rPr>
        <w:t>infracc</w:t>
      </w:r>
      <w:r w:rsidR="00F8483B" w:rsidRPr="00CA2916">
        <w:rPr>
          <w:rFonts w:ascii="Arial" w:eastAsia="Arial" w:hAnsi="Arial" w:cs="Arial"/>
          <w:color w:val="000000"/>
          <w:sz w:val="22"/>
          <w:szCs w:val="22"/>
        </w:rPr>
        <w:t xml:space="preserve">ión </w:t>
      </w:r>
      <w:r w:rsidRPr="00CA2916">
        <w:rPr>
          <w:rFonts w:ascii="Arial" w:eastAsia="Arial" w:hAnsi="Arial" w:cs="Arial"/>
          <w:color w:val="000000"/>
          <w:sz w:val="22"/>
          <w:szCs w:val="22"/>
        </w:rPr>
        <w:t xml:space="preserve">denunciada, corresponde denegar la medida cautelar solicitada por </w:t>
      </w:r>
      <w:r w:rsidR="00F16ED5" w:rsidRPr="00D231D5">
        <w:rPr>
          <w:rFonts w:ascii="Arial" w:eastAsia="Arial Narrow" w:hAnsi="Arial" w:cs="Arial"/>
          <w:sz w:val="22"/>
          <w:szCs w:val="22"/>
        </w:rPr>
        <w:t xml:space="preserve">el señor </w:t>
      </w:r>
      <w:r w:rsidR="00F16ED5" w:rsidRPr="00D231D5">
        <w:rPr>
          <w:rFonts w:ascii="Arial" w:hAnsi="Arial" w:cs="Arial"/>
          <w:sz w:val="22"/>
          <w:szCs w:val="22"/>
          <w:lang w:val="es-ES" w:eastAsia="es-ES"/>
        </w:rPr>
        <w:t>Inca</w:t>
      </w:r>
      <w:r w:rsidRPr="00CA2916">
        <w:rPr>
          <w:rFonts w:ascii="Arial" w:eastAsia="Arial" w:hAnsi="Arial" w:cs="Arial"/>
          <w:color w:val="000000"/>
          <w:sz w:val="22"/>
          <w:szCs w:val="22"/>
        </w:rPr>
        <w:t xml:space="preserve">.  </w:t>
      </w:r>
    </w:p>
    <w:p w14:paraId="0404BBD8" w14:textId="35635415" w:rsidR="001F5FEB" w:rsidRPr="00CA2916" w:rsidRDefault="001F5FEB" w:rsidP="001238FD">
      <w:pPr>
        <w:jc w:val="both"/>
        <w:rPr>
          <w:rFonts w:ascii="Arial" w:hAnsi="Arial" w:cs="Arial"/>
          <w:color w:val="000000"/>
          <w:sz w:val="22"/>
          <w:szCs w:val="22"/>
          <w:u w:val="single"/>
          <w:lang w:val="es-ES" w:eastAsia="es-ES"/>
        </w:rPr>
      </w:pPr>
      <w:bookmarkStart w:id="1" w:name="_Hlk45797221"/>
    </w:p>
    <w:p w14:paraId="0BC6DA35" w14:textId="77777777" w:rsidR="00F62D8E" w:rsidRPr="00CA2916" w:rsidRDefault="00F62D8E" w:rsidP="00A61A25">
      <w:pPr>
        <w:jc w:val="both"/>
        <w:rPr>
          <w:rFonts w:ascii="Arial" w:eastAsia="Arial Narrow" w:hAnsi="Arial" w:cs="Arial"/>
          <w:b/>
          <w:bCs/>
          <w:sz w:val="22"/>
          <w:szCs w:val="22"/>
        </w:rPr>
      </w:pPr>
    </w:p>
    <w:p w14:paraId="69B7A881" w14:textId="3CF7DC2F" w:rsidR="00965FE3" w:rsidRPr="00CA2916" w:rsidRDefault="6AA8E620" w:rsidP="00A61A25">
      <w:pPr>
        <w:jc w:val="both"/>
        <w:rPr>
          <w:rFonts w:ascii="Arial" w:eastAsia="Arial Narrow" w:hAnsi="Arial" w:cs="Arial"/>
          <w:b/>
          <w:sz w:val="22"/>
          <w:szCs w:val="22"/>
        </w:rPr>
      </w:pPr>
      <w:r w:rsidRPr="00CA2916">
        <w:rPr>
          <w:rFonts w:ascii="Arial" w:eastAsia="Arial Narrow" w:hAnsi="Arial" w:cs="Arial"/>
          <w:b/>
          <w:bCs/>
          <w:sz w:val="22"/>
          <w:szCs w:val="22"/>
        </w:rPr>
        <w:t>RESUELVE</w:t>
      </w:r>
    </w:p>
    <w:p w14:paraId="73E5C852" w14:textId="77777777" w:rsidR="00846C4D" w:rsidRPr="00CA2916" w:rsidRDefault="00846C4D" w:rsidP="00846C4D">
      <w:pPr>
        <w:jc w:val="both"/>
        <w:rPr>
          <w:rFonts w:ascii="Arial" w:eastAsia="Arial Narrow" w:hAnsi="Arial" w:cs="Arial"/>
          <w:b/>
          <w:sz w:val="22"/>
          <w:szCs w:val="22"/>
        </w:rPr>
      </w:pPr>
      <w:bookmarkStart w:id="2" w:name="_Hlk98421600"/>
      <w:bookmarkStart w:id="3" w:name="_Hlk109128834"/>
    </w:p>
    <w:p w14:paraId="59582341" w14:textId="1A110847" w:rsidR="00CA2916" w:rsidRPr="00CA2916" w:rsidRDefault="00846C4D" w:rsidP="00CA2916">
      <w:pPr>
        <w:jc w:val="both"/>
        <w:rPr>
          <w:rFonts w:ascii="Arial" w:hAnsi="Arial" w:cs="Arial"/>
          <w:sz w:val="22"/>
          <w:szCs w:val="22"/>
        </w:rPr>
      </w:pPr>
      <w:r w:rsidRPr="00CA2916">
        <w:rPr>
          <w:rFonts w:ascii="Arial" w:eastAsia="Arial Narrow" w:hAnsi="Arial" w:cs="Arial"/>
          <w:b/>
          <w:sz w:val="22"/>
          <w:szCs w:val="22"/>
        </w:rPr>
        <w:t>PRIMERO</w:t>
      </w:r>
      <w:r w:rsidR="00F573F5" w:rsidRPr="00CA2916">
        <w:rPr>
          <w:rFonts w:ascii="Arial" w:hAnsi="Arial" w:cs="Arial"/>
          <w:b/>
          <w:sz w:val="22"/>
          <w:szCs w:val="22"/>
        </w:rPr>
        <w:t>:</w:t>
      </w:r>
      <w:r w:rsidR="00F573F5" w:rsidRPr="00CA2916">
        <w:rPr>
          <w:rFonts w:ascii="Arial" w:hAnsi="Arial" w:cs="Arial"/>
          <w:sz w:val="22"/>
          <w:szCs w:val="22"/>
        </w:rPr>
        <w:t xml:space="preserve"> </w:t>
      </w:r>
      <w:r w:rsidR="00CA2916" w:rsidRPr="00CA2916">
        <w:rPr>
          <w:rFonts w:ascii="Arial" w:hAnsi="Arial" w:cs="Arial"/>
          <w:sz w:val="22"/>
          <w:szCs w:val="22"/>
        </w:rPr>
        <w:t xml:space="preserve">denegar la medida cautelar solicitada </w:t>
      </w:r>
      <w:r w:rsidR="00CA2916" w:rsidRPr="00F16ED5">
        <w:rPr>
          <w:rFonts w:ascii="Arial" w:hAnsi="Arial" w:cs="Arial"/>
          <w:sz w:val="22"/>
          <w:szCs w:val="22"/>
        </w:rPr>
        <w:t xml:space="preserve">por el señor </w:t>
      </w:r>
      <w:r w:rsidR="00F16ED5" w:rsidRPr="00F16ED5">
        <w:rPr>
          <w:rFonts w:ascii="Arial" w:hAnsi="Arial" w:cs="Arial"/>
          <w:sz w:val="22"/>
          <w:szCs w:val="22"/>
        </w:rPr>
        <w:t>Juan Mario Inca Rojas</w:t>
      </w:r>
      <w:r w:rsidR="00CA2916" w:rsidRPr="00CA2916">
        <w:rPr>
          <w:rFonts w:ascii="Arial" w:hAnsi="Arial" w:cs="Arial"/>
          <w:sz w:val="22"/>
          <w:szCs w:val="22"/>
        </w:rPr>
        <w:t>, en el</w:t>
      </w:r>
    </w:p>
    <w:p w14:paraId="20E19429" w14:textId="1E79E66F" w:rsidR="00CA2916" w:rsidRPr="00CA2916" w:rsidRDefault="00CA2916" w:rsidP="00F16ED5">
      <w:pPr>
        <w:jc w:val="both"/>
        <w:rPr>
          <w:rFonts w:ascii="Arial" w:hAnsi="Arial" w:cs="Arial"/>
          <w:sz w:val="22"/>
          <w:szCs w:val="22"/>
        </w:rPr>
      </w:pPr>
      <w:r w:rsidRPr="00CA2916">
        <w:rPr>
          <w:rFonts w:ascii="Arial" w:hAnsi="Arial" w:cs="Arial"/>
          <w:sz w:val="22"/>
          <w:szCs w:val="22"/>
        </w:rPr>
        <w:t xml:space="preserve">marco de la tramitación </w:t>
      </w:r>
      <w:r w:rsidRPr="00F16ED5">
        <w:rPr>
          <w:rFonts w:ascii="Arial" w:hAnsi="Arial" w:cs="Arial"/>
          <w:sz w:val="22"/>
          <w:szCs w:val="22"/>
        </w:rPr>
        <w:t xml:space="preserve">del Expediente N° </w:t>
      </w:r>
      <w:r w:rsidR="00F16ED5" w:rsidRPr="00F16ED5">
        <w:rPr>
          <w:rFonts w:ascii="Arial" w:hAnsi="Arial" w:cs="Arial"/>
          <w:sz w:val="22"/>
          <w:szCs w:val="22"/>
        </w:rPr>
        <w:t>2266-2026</w:t>
      </w:r>
      <w:r w:rsidRPr="00F16ED5">
        <w:rPr>
          <w:rFonts w:ascii="Arial" w:hAnsi="Arial" w:cs="Arial"/>
          <w:sz w:val="22"/>
          <w:szCs w:val="22"/>
        </w:rPr>
        <w:t>/CC1,</w:t>
      </w:r>
      <w:r w:rsidRPr="00CA2916">
        <w:rPr>
          <w:rFonts w:ascii="Arial" w:hAnsi="Arial" w:cs="Arial"/>
          <w:sz w:val="22"/>
          <w:szCs w:val="22"/>
        </w:rPr>
        <w:t xml:space="preserve"> a través </w:t>
      </w:r>
      <w:r w:rsidRPr="00F16ED5">
        <w:rPr>
          <w:rFonts w:ascii="Arial" w:hAnsi="Arial" w:cs="Arial"/>
          <w:sz w:val="22"/>
          <w:szCs w:val="22"/>
        </w:rPr>
        <w:t xml:space="preserve">del escrito del </w:t>
      </w:r>
      <w:r w:rsidR="00F16ED5" w:rsidRPr="00F16ED5">
        <w:rPr>
          <w:rFonts w:ascii="Arial" w:hAnsi="Arial" w:cs="Arial"/>
          <w:sz w:val="22"/>
          <w:szCs w:val="22"/>
          <w:lang w:eastAsia="es-ES"/>
        </w:rPr>
        <w:t>8 de julio de 2026</w:t>
      </w:r>
      <w:r w:rsidRPr="00F16ED5">
        <w:rPr>
          <w:rFonts w:ascii="Arial" w:hAnsi="Arial" w:cs="Arial"/>
          <w:sz w:val="22"/>
          <w:szCs w:val="22"/>
        </w:rPr>
        <w:t>, toda vez que no se ha verificado el cumplimiento de los presupue</w:t>
      </w:r>
      <w:r w:rsidRPr="00CA2916">
        <w:rPr>
          <w:rFonts w:ascii="Arial" w:hAnsi="Arial" w:cs="Arial"/>
          <w:sz w:val="22"/>
          <w:szCs w:val="22"/>
        </w:rPr>
        <w:t>stos establecidos</w:t>
      </w:r>
    </w:p>
    <w:p w14:paraId="2E871380" w14:textId="75D40147" w:rsidR="00CA2916" w:rsidRPr="00CA2916" w:rsidRDefault="00CA2916" w:rsidP="00CA2916">
      <w:pPr>
        <w:jc w:val="both"/>
        <w:rPr>
          <w:rFonts w:ascii="Arial" w:hAnsi="Arial" w:cs="Arial"/>
          <w:sz w:val="22"/>
          <w:szCs w:val="22"/>
        </w:rPr>
      </w:pPr>
      <w:r w:rsidRPr="00CA2916">
        <w:rPr>
          <w:rFonts w:ascii="Arial" w:hAnsi="Arial" w:cs="Arial"/>
          <w:sz w:val="22"/>
          <w:szCs w:val="22"/>
        </w:rPr>
        <w:t>normativamente para su otorgamiento.</w:t>
      </w:r>
    </w:p>
    <w:p w14:paraId="37E8B987" w14:textId="77777777" w:rsidR="00CA2916" w:rsidRPr="00CA2916" w:rsidRDefault="00CA2916" w:rsidP="00CA2916">
      <w:pPr>
        <w:jc w:val="both"/>
        <w:rPr>
          <w:rFonts w:ascii="Arial" w:hAnsi="Arial" w:cs="Arial"/>
          <w:sz w:val="22"/>
          <w:szCs w:val="22"/>
        </w:rPr>
      </w:pPr>
    </w:p>
    <w:p w14:paraId="5B5EACF1" w14:textId="188E1982" w:rsidR="00722B37" w:rsidRPr="00CA2916" w:rsidRDefault="00CA2916" w:rsidP="00CA2916">
      <w:pPr>
        <w:jc w:val="both"/>
        <w:rPr>
          <w:sz w:val="22"/>
          <w:szCs w:val="22"/>
        </w:rPr>
      </w:pPr>
      <w:r w:rsidRPr="00CA2916">
        <w:rPr>
          <w:rFonts w:ascii="Arial" w:hAnsi="Arial" w:cs="Arial"/>
          <w:b/>
          <w:bCs/>
          <w:sz w:val="22"/>
          <w:szCs w:val="22"/>
        </w:rPr>
        <w:t>SEGUNDO</w:t>
      </w:r>
      <w:r w:rsidRPr="00CA2916">
        <w:rPr>
          <w:rFonts w:ascii="Arial" w:hAnsi="Arial" w:cs="Arial"/>
          <w:sz w:val="22"/>
          <w:szCs w:val="22"/>
        </w:rPr>
        <w:t>: informar a la parte denunciante que la presente resolución tiene vigencia desde el día de su notificación y no agota la vía administrativa. En tal sentido, de conformidad con lo dispuesto por el artículo</w:t>
      </w:r>
      <w:bookmarkEnd w:id="0"/>
      <w:bookmarkEnd w:id="1"/>
      <w:bookmarkEnd w:id="2"/>
      <w:bookmarkEnd w:id="3"/>
      <w:r w:rsidRPr="00CA2916">
        <w:rPr>
          <w:rFonts w:ascii="Arial" w:eastAsia="Calibri" w:hAnsi="Arial" w:cs="Arial"/>
          <w:color w:val="000000"/>
          <w:sz w:val="22"/>
          <w:szCs w:val="22"/>
        </w:rPr>
        <w:t xml:space="preserve"> 38° del Decreto Legislativo </w:t>
      </w:r>
      <w:proofErr w:type="spellStart"/>
      <w:r w:rsidRPr="00CA2916">
        <w:rPr>
          <w:rFonts w:ascii="Arial" w:eastAsia="Calibri" w:hAnsi="Arial" w:cs="Arial"/>
          <w:color w:val="000000"/>
          <w:sz w:val="22"/>
          <w:szCs w:val="22"/>
        </w:rPr>
        <w:t>Nº</w:t>
      </w:r>
      <w:proofErr w:type="spellEnd"/>
      <w:r w:rsidRPr="00CA2916">
        <w:rPr>
          <w:rFonts w:ascii="Arial" w:eastAsia="Calibri" w:hAnsi="Arial" w:cs="Arial"/>
          <w:color w:val="000000"/>
          <w:sz w:val="22"/>
          <w:szCs w:val="22"/>
        </w:rPr>
        <w:t xml:space="preserve"> 807, el único recurso impugnativo que </w:t>
      </w:r>
      <w:r w:rsidRPr="00CA2916">
        <w:rPr>
          <w:rFonts w:ascii="Arial" w:eastAsia="Calibri" w:hAnsi="Arial" w:cs="Arial"/>
          <w:color w:val="000000"/>
          <w:sz w:val="22"/>
          <w:szCs w:val="22"/>
        </w:rPr>
        <w:lastRenderedPageBreak/>
        <w:t>puede interponerse contra lo dispuesto por la Comisión de Protección al Consumidor N° 1 es el de apelación</w:t>
      </w:r>
      <w:r w:rsidRPr="00CA2916">
        <w:rPr>
          <w:rFonts w:ascii="Arial" w:eastAsia="Calibri" w:hAnsi="Arial" w:cs="Arial"/>
          <w:color w:val="000000"/>
          <w:sz w:val="22"/>
          <w:szCs w:val="22"/>
          <w:vertAlign w:val="superscript"/>
        </w:rPr>
        <w:footnoteReference w:id="14"/>
      </w:r>
      <w:r w:rsidRPr="00CA2916">
        <w:rPr>
          <w:rFonts w:ascii="Arial" w:eastAsia="Calibri" w:hAnsi="Arial" w:cs="Arial"/>
          <w:color w:val="000000"/>
          <w:sz w:val="22"/>
          <w:szCs w:val="22"/>
        </w:rPr>
        <w:t>, el cual debe ser presentado ante dicho órgano colegiado en un plazo no mayor de quince (15) días hábiles, contado a partir del día siguiente de su notificación</w:t>
      </w:r>
      <w:r w:rsidRPr="00CA2916">
        <w:rPr>
          <w:rFonts w:ascii="Arial" w:eastAsia="Calibri" w:hAnsi="Arial" w:cs="Arial"/>
          <w:color w:val="000000"/>
          <w:sz w:val="22"/>
          <w:szCs w:val="22"/>
          <w:vertAlign w:val="superscript"/>
        </w:rPr>
        <w:footnoteReference w:id="15"/>
      </w:r>
      <w:r w:rsidRPr="00CA2916">
        <w:rPr>
          <w:rFonts w:ascii="Arial" w:eastAsia="Calibri" w:hAnsi="Arial" w:cs="Arial"/>
          <w:color w:val="000000"/>
          <w:sz w:val="22"/>
          <w:szCs w:val="22"/>
        </w:rPr>
        <w:t>, ello de acuerdo con lo establecido en el artículo 212° del Texto Único Ordenado de la Ley N° 27444, Ley del Procedimiento Administrativo General, aprobado por Decreto Supremo N° 006-2026-JUS; caso contrario, la resolución quedará consentida</w:t>
      </w:r>
      <w:r w:rsidRPr="00CA2916">
        <w:rPr>
          <w:rFonts w:ascii="Arial" w:eastAsia="Calibri" w:hAnsi="Arial" w:cs="Arial"/>
          <w:color w:val="000000"/>
          <w:sz w:val="22"/>
          <w:szCs w:val="22"/>
          <w:vertAlign w:val="superscript"/>
        </w:rPr>
        <w:footnoteReference w:id="16"/>
      </w:r>
      <w:r w:rsidRPr="00CA2916">
        <w:rPr>
          <w:rFonts w:ascii="Arial" w:eastAsia="Calibri" w:hAnsi="Arial" w:cs="Arial"/>
          <w:color w:val="000000"/>
          <w:sz w:val="22"/>
          <w:szCs w:val="22"/>
        </w:rPr>
        <w:t>.</w:t>
      </w:r>
    </w:p>
    <w:sectPr w:rsidR="00722B37" w:rsidRPr="00CA2916" w:rsidSect="00B16299">
      <w:headerReference w:type="default" r:id="rId12"/>
      <w:footerReference w:type="default" r:id="rId13"/>
      <w:pgSz w:w="12240" w:h="15840"/>
      <w:pgMar w:top="1418" w:right="1467" w:bottom="1985" w:left="1418" w:header="993" w:footer="67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5E84B" w14:textId="77777777" w:rsidR="00C256C6" w:rsidRDefault="00C256C6" w:rsidP="008B5FDB">
      <w:r>
        <w:separator/>
      </w:r>
    </w:p>
  </w:endnote>
  <w:endnote w:type="continuationSeparator" w:id="0">
    <w:p w14:paraId="272A9790" w14:textId="77777777" w:rsidR="00C256C6" w:rsidRDefault="00C256C6" w:rsidP="008B5FDB">
      <w:r>
        <w:continuationSeparator/>
      </w:r>
    </w:p>
  </w:endnote>
  <w:endnote w:type="continuationNotice" w:id="1">
    <w:p w14:paraId="68900B7E" w14:textId="77777777" w:rsidR="00C256C6" w:rsidRDefault="00C256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A5AEC" w14:textId="77777777" w:rsidR="00722B37" w:rsidRDefault="00722B37" w:rsidP="00BF5593">
    <w:pPr>
      <w:tabs>
        <w:tab w:val="left" w:pos="325"/>
      </w:tabs>
      <w:jc w:val="center"/>
      <w:rPr>
        <w:rFonts w:ascii="Arial" w:hAnsi="Arial" w:cs="Arial"/>
        <w:sz w:val="16"/>
        <w:szCs w:val="16"/>
      </w:rPr>
    </w:pPr>
  </w:p>
  <w:p w14:paraId="4C130C19" w14:textId="77777777" w:rsidR="00722B37" w:rsidRDefault="00722B37" w:rsidP="00BF5593">
    <w:pPr>
      <w:tabs>
        <w:tab w:val="left" w:pos="325"/>
      </w:tabs>
      <w:jc w:val="center"/>
      <w:rPr>
        <w:rFonts w:ascii="Arial" w:hAnsi="Arial" w:cs="Arial"/>
        <w:sz w:val="16"/>
        <w:szCs w:val="16"/>
      </w:rPr>
    </w:pPr>
  </w:p>
  <w:p w14:paraId="25EB2FA8" w14:textId="77777777" w:rsidR="00722B37" w:rsidRDefault="00722B37" w:rsidP="00BF5593">
    <w:pPr>
      <w:tabs>
        <w:tab w:val="left" w:pos="325"/>
      </w:tabs>
      <w:jc w:val="center"/>
      <w:rPr>
        <w:rFonts w:ascii="Arial" w:hAnsi="Arial" w:cs="Arial"/>
        <w:sz w:val="16"/>
        <w:szCs w:val="16"/>
      </w:rPr>
    </w:pPr>
  </w:p>
  <w:p w14:paraId="14827A18" w14:textId="77777777" w:rsidR="00722B37" w:rsidRDefault="00722B37" w:rsidP="00BF5593">
    <w:pPr>
      <w:tabs>
        <w:tab w:val="left" w:pos="325"/>
      </w:tabs>
      <w:jc w:val="center"/>
      <w:rPr>
        <w:rFonts w:ascii="Arial" w:hAnsi="Arial" w:cs="Arial"/>
        <w:sz w:val="16"/>
        <w:szCs w:val="16"/>
      </w:rPr>
    </w:pPr>
  </w:p>
  <w:p w14:paraId="4FA097C6" w14:textId="77777777" w:rsidR="00722B37" w:rsidRDefault="00722B37" w:rsidP="00BF5593">
    <w:pPr>
      <w:tabs>
        <w:tab w:val="left" w:pos="325"/>
      </w:tabs>
      <w:jc w:val="center"/>
      <w:rPr>
        <w:rFonts w:ascii="Arial" w:hAnsi="Arial" w:cs="Arial"/>
        <w:sz w:val="16"/>
        <w:szCs w:val="16"/>
      </w:rPr>
    </w:pPr>
  </w:p>
  <w:p w14:paraId="6CE852BD" w14:textId="7831CD34" w:rsidR="00722B37" w:rsidRDefault="00722B37" w:rsidP="00BF5593">
    <w:pPr>
      <w:tabs>
        <w:tab w:val="left" w:pos="325"/>
      </w:tabs>
      <w:jc w:val="center"/>
      <w:rPr>
        <w:rFonts w:ascii="Arial" w:hAnsi="Arial" w:cs="Arial"/>
        <w:sz w:val="16"/>
        <w:szCs w:val="16"/>
      </w:rPr>
    </w:pPr>
    <w:r w:rsidRPr="008551C5">
      <w:rPr>
        <w:rFonts w:ascii="Arial" w:hAnsi="Arial" w:cs="Arial"/>
        <w:sz w:val="16"/>
        <w:szCs w:val="16"/>
      </w:rPr>
      <w:fldChar w:fldCharType="begin"/>
    </w:r>
    <w:r w:rsidRPr="008551C5">
      <w:rPr>
        <w:rFonts w:ascii="Arial" w:hAnsi="Arial" w:cs="Arial"/>
        <w:sz w:val="16"/>
        <w:szCs w:val="16"/>
      </w:rPr>
      <w:instrText>PAGE</w:instrText>
    </w:r>
    <w:r w:rsidRPr="008551C5">
      <w:rPr>
        <w:rFonts w:ascii="Arial" w:hAnsi="Arial" w:cs="Arial"/>
        <w:sz w:val="16"/>
        <w:szCs w:val="16"/>
      </w:rPr>
      <w:fldChar w:fldCharType="separate"/>
    </w:r>
    <w:r>
      <w:rPr>
        <w:rFonts w:ascii="Arial" w:hAnsi="Arial" w:cs="Arial"/>
        <w:noProof/>
        <w:sz w:val="16"/>
        <w:szCs w:val="16"/>
      </w:rPr>
      <w:t>10</w:t>
    </w:r>
    <w:r w:rsidRPr="008551C5">
      <w:rPr>
        <w:rFonts w:ascii="Arial" w:hAnsi="Arial" w:cs="Arial"/>
        <w:sz w:val="16"/>
        <w:szCs w:val="16"/>
      </w:rPr>
      <w:fldChar w:fldCharType="end"/>
    </w:r>
  </w:p>
  <w:p w14:paraId="092924C5" w14:textId="77777777" w:rsidR="00722B37" w:rsidRPr="00BF5593" w:rsidRDefault="00722B37" w:rsidP="00BF5593">
    <w:pPr>
      <w:tabs>
        <w:tab w:val="left" w:pos="325"/>
      </w:tabs>
      <w:jc w:val="center"/>
      <w:rPr>
        <w:rFonts w:ascii="Arial" w:hAnsi="Arial" w:cs="Arial"/>
        <w:sz w:val="16"/>
        <w:szCs w:val="16"/>
      </w:rPr>
    </w:pPr>
  </w:p>
  <w:p w14:paraId="22C34F2C" w14:textId="77777777" w:rsidR="00722B37" w:rsidRPr="00BF5593" w:rsidRDefault="00722B37" w:rsidP="00BF5593">
    <w:pPr>
      <w:pStyle w:val="Sinespaciado"/>
      <w:jc w:val="center"/>
      <w:rPr>
        <w:rFonts w:ascii="Arial" w:hAnsi="Arial" w:cs="Arial"/>
        <w:b/>
        <w:i/>
        <w:sz w:val="14"/>
        <w:szCs w:val="14"/>
      </w:rPr>
    </w:pPr>
    <w:r w:rsidRPr="00BF5593">
      <w:rPr>
        <w:rFonts w:ascii="Arial" w:hAnsi="Arial" w:cs="Arial"/>
        <w:b/>
        <w:i/>
        <w:sz w:val="14"/>
        <w:szCs w:val="14"/>
      </w:rPr>
      <w:t>INSTITUTO NACIONAL DE DEFENSA DE LA COMPETENCIA Y DE LA PROTECCIÓN DE LA PROPIEDAD INTELECTUAL</w:t>
    </w:r>
  </w:p>
  <w:p w14:paraId="39C0FF96" w14:textId="77777777" w:rsidR="00722B37" w:rsidRPr="00BF5593" w:rsidRDefault="00722B37" w:rsidP="00BF5593">
    <w:pPr>
      <w:pStyle w:val="Sinespaciado"/>
      <w:jc w:val="center"/>
      <w:rPr>
        <w:rFonts w:ascii="Arial" w:hAnsi="Arial" w:cs="Arial"/>
        <w:sz w:val="14"/>
        <w:szCs w:val="14"/>
      </w:rPr>
    </w:pPr>
    <w:r w:rsidRPr="00BF5593">
      <w:rPr>
        <w:rFonts w:ascii="Arial" w:hAnsi="Arial" w:cs="Arial"/>
        <w:sz w:val="14"/>
        <w:szCs w:val="14"/>
      </w:rPr>
      <w:t xml:space="preserve">Calle De la Prosa 104, San Borja, Lima 41 - Perú </w:t>
    </w:r>
    <w:proofErr w:type="spellStart"/>
    <w:r w:rsidRPr="00BF5593">
      <w:rPr>
        <w:rFonts w:ascii="Arial" w:hAnsi="Arial" w:cs="Arial"/>
        <w:sz w:val="14"/>
        <w:szCs w:val="14"/>
      </w:rPr>
      <w:t>Telf</w:t>
    </w:r>
    <w:proofErr w:type="spellEnd"/>
    <w:r w:rsidRPr="00BF5593">
      <w:rPr>
        <w:rFonts w:ascii="Arial" w:hAnsi="Arial" w:cs="Arial"/>
        <w:sz w:val="14"/>
        <w:szCs w:val="14"/>
      </w:rPr>
      <w:t>: 224 7800 / Fax: 224 0348</w:t>
    </w:r>
  </w:p>
  <w:p w14:paraId="3C19E49A" w14:textId="71BF3370" w:rsidR="00722B37" w:rsidRDefault="00722B37" w:rsidP="00BF5593">
    <w:pPr>
      <w:pStyle w:val="Sinespaciado"/>
      <w:jc w:val="center"/>
      <w:rPr>
        <w:rFonts w:ascii="Arial" w:hAnsi="Arial" w:cs="Arial"/>
        <w:sz w:val="14"/>
        <w:szCs w:val="14"/>
        <w:lang w:val="en-US"/>
      </w:rPr>
    </w:pPr>
    <w:r w:rsidRPr="00BF5593">
      <w:rPr>
        <w:rFonts w:ascii="Arial" w:hAnsi="Arial" w:cs="Arial"/>
        <w:sz w:val="14"/>
        <w:szCs w:val="14"/>
        <w:lang w:val="en-US"/>
      </w:rPr>
      <w:t xml:space="preserve">E-mail: postmaster@indecopi.gob.pe / Web: </w:t>
    </w:r>
    <w:hyperlink r:id="rId1" w:history="1">
      <w:r w:rsidRPr="000237CF">
        <w:rPr>
          <w:rStyle w:val="Hipervnculo"/>
          <w:rFonts w:ascii="Arial" w:hAnsi="Arial" w:cs="Arial"/>
          <w:sz w:val="14"/>
          <w:szCs w:val="14"/>
          <w:lang w:val="en-US"/>
        </w:rPr>
        <w:t>www.indecopi.gob.pe</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608AF" w14:textId="77777777" w:rsidR="00C256C6" w:rsidRDefault="00C256C6" w:rsidP="008B5FDB">
      <w:r>
        <w:separator/>
      </w:r>
    </w:p>
  </w:footnote>
  <w:footnote w:type="continuationSeparator" w:id="0">
    <w:p w14:paraId="1A4EC205" w14:textId="77777777" w:rsidR="00C256C6" w:rsidRDefault="00C256C6" w:rsidP="008B5FDB">
      <w:r>
        <w:continuationSeparator/>
      </w:r>
    </w:p>
  </w:footnote>
  <w:footnote w:type="continuationNotice" w:id="1">
    <w:p w14:paraId="793CC67E" w14:textId="77777777" w:rsidR="00C256C6" w:rsidRDefault="00C256C6"/>
  </w:footnote>
  <w:footnote w:id="2">
    <w:p w14:paraId="6FEE84A6" w14:textId="7DD1E95B" w:rsidR="00B204CA" w:rsidRPr="00271C1B" w:rsidRDefault="00B204CA" w:rsidP="00B204CA">
      <w:pPr>
        <w:pStyle w:val="Textonotapie"/>
        <w:ind w:left="567" w:hanging="567"/>
        <w:jc w:val="both"/>
        <w:rPr>
          <w:rFonts w:ascii="Arial" w:hAnsi="Arial" w:cs="Arial"/>
          <w:sz w:val="16"/>
          <w:szCs w:val="16"/>
        </w:rPr>
      </w:pPr>
      <w:r w:rsidRPr="00271C1B">
        <w:rPr>
          <w:rStyle w:val="Refdenotaalpie"/>
          <w:rFonts w:ascii="Arial" w:hAnsi="Arial" w:cs="Arial"/>
        </w:rPr>
        <w:footnoteRef/>
      </w:r>
      <w:r w:rsidRPr="00271C1B">
        <w:rPr>
          <w:rFonts w:ascii="Arial" w:hAnsi="Arial" w:cs="Arial"/>
          <w:sz w:val="16"/>
          <w:szCs w:val="16"/>
        </w:rPr>
        <w:t xml:space="preserve"> </w:t>
      </w:r>
      <w:r w:rsidRPr="00271C1B">
        <w:rPr>
          <w:rFonts w:ascii="Arial" w:hAnsi="Arial" w:cs="Arial"/>
          <w:sz w:val="16"/>
          <w:szCs w:val="16"/>
        </w:rPr>
        <w:tab/>
      </w:r>
      <w:r w:rsidR="00D231D5" w:rsidRPr="00D231D5">
        <w:rPr>
          <w:rFonts w:ascii="Arial" w:hAnsi="Arial" w:cs="Arial"/>
          <w:sz w:val="16"/>
          <w:szCs w:val="16"/>
        </w:rPr>
        <w:t xml:space="preserve">Denuncia remitida a esta Comisión mediante DOCUMENTO DE TRASLADO N° 342-2026-CC2/INDECOPI de fecha 17 de junio de 2026, </w:t>
      </w:r>
      <w:proofErr w:type="spellStart"/>
      <w:r w:rsidR="00D231D5" w:rsidRPr="00D231D5">
        <w:rPr>
          <w:rFonts w:ascii="Arial" w:hAnsi="Arial" w:cs="Arial"/>
          <w:sz w:val="16"/>
          <w:szCs w:val="16"/>
        </w:rPr>
        <w:t>recepcionada</w:t>
      </w:r>
      <w:proofErr w:type="spellEnd"/>
      <w:r w:rsidR="00D231D5" w:rsidRPr="00D231D5">
        <w:rPr>
          <w:rFonts w:ascii="Arial" w:hAnsi="Arial" w:cs="Arial"/>
          <w:sz w:val="16"/>
          <w:szCs w:val="16"/>
        </w:rPr>
        <w:t xml:space="preserve"> el 23 de junio de 2026.</w:t>
      </w:r>
    </w:p>
    <w:p w14:paraId="2C63D5DB" w14:textId="77777777" w:rsidR="00B204CA" w:rsidRPr="00827364" w:rsidRDefault="00B204CA" w:rsidP="00B204CA">
      <w:pPr>
        <w:pStyle w:val="Textonotapie"/>
        <w:ind w:left="567" w:hanging="567"/>
        <w:jc w:val="both"/>
        <w:rPr>
          <w:rFonts w:ascii="Arial Narrow" w:hAnsi="Arial Narrow" w:cs="Arial"/>
          <w:sz w:val="16"/>
          <w:szCs w:val="16"/>
        </w:rPr>
      </w:pPr>
    </w:p>
  </w:footnote>
  <w:footnote w:id="3">
    <w:p w14:paraId="794E0CCF" w14:textId="77777777" w:rsidR="00722B37" w:rsidRPr="00A61A25" w:rsidRDefault="00722B37" w:rsidP="00A61A25">
      <w:pPr>
        <w:pStyle w:val="Textonotapie"/>
        <w:ind w:left="567" w:hanging="567"/>
        <w:jc w:val="both"/>
        <w:rPr>
          <w:rFonts w:ascii="Arial" w:hAnsi="Arial" w:cs="Arial"/>
          <w:sz w:val="16"/>
          <w:szCs w:val="16"/>
        </w:rPr>
      </w:pPr>
      <w:r w:rsidRPr="00A61A25">
        <w:rPr>
          <w:rStyle w:val="Refdenotaalpie"/>
          <w:rFonts w:ascii="Arial" w:hAnsi="Arial" w:cs="Arial"/>
          <w:sz w:val="16"/>
          <w:szCs w:val="16"/>
        </w:rPr>
        <w:footnoteRef/>
      </w:r>
      <w:r w:rsidRPr="00A61A25">
        <w:rPr>
          <w:rFonts w:ascii="Arial" w:hAnsi="Arial" w:cs="Arial"/>
          <w:sz w:val="16"/>
          <w:szCs w:val="16"/>
        </w:rPr>
        <w:t xml:space="preserve"> </w:t>
      </w:r>
      <w:r w:rsidRPr="00A61A25">
        <w:rPr>
          <w:rFonts w:ascii="Arial" w:hAnsi="Arial" w:cs="Arial"/>
          <w:sz w:val="16"/>
          <w:szCs w:val="16"/>
        </w:rPr>
        <w:tab/>
        <w:t>Publicado</w:t>
      </w:r>
      <w:r w:rsidRPr="00A61A25">
        <w:rPr>
          <w:rFonts w:ascii="Arial" w:hAnsi="Arial" w:cs="Arial"/>
          <w:b/>
          <w:sz w:val="16"/>
          <w:szCs w:val="16"/>
        </w:rPr>
        <w:t xml:space="preserve"> </w:t>
      </w:r>
      <w:r w:rsidRPr="00A61A25">
        <w:rPr>
          <w:rFonts w:ascii="Arial" w:hAnsi="Arial" w:cs="Arial"/>
          <w:sz w:val="16"/>
          <w:szCs w:val="16"/>
        </w:rPr>
        <w:t>el 2 de setiembre del 2010 en el Diario Oficial El Peruano, vigente desde el 2 de octubre del 2010 y modificado por Decreto Legislativo 1308.</w:t>
      </w:r>
    </w:p>
  </w:footnote>
  <w:footnote w:id="4">
    <w:p w14:paraId="66C90258" w14:textId="77777777" w:rsidR="000408B2" w:rsidRPr="00A61A25" w:rsidRDefault="000408B2" w:rsidP="00A61A25">
      <w:pPr>
        <w:ind w:left="570" w:hanging="570"/>
        <w:contextualSpacing/>
        <w:jc w:val="both"/>
        <w:rPr>
          <w:rFonts w:ascii="Arial" w:hAnsi="Arial" w:cs="Arial"/>
          <w:sz w:val="16"/>
          <w:szCs w:val="16"/>
        </w:rPr>
      </w:pPr>
      <w:r w:rsidRPr="00A61A25">
        <w:rPr>
          <w:rStyle w:val="Refdenotaalpie"/>
          <w:rFonts w:ascii="Arial" w:eastAsiaTheme="minorHAnsi" w:hAnsi="Arial" w:cs="Arial"/>
          <w:sz w:val="16"/>
          <w:szCs w:val="16"/>
          <w:lang w:eastAsia="en-US"/>
        </w:rPr>
        <w:t>2</w:t>
      </w:r>
      <w:r w:rsidRPr="00A61A25">
        <w:rPr>
          <w:rFonts w:ascii="Arial" w:hAnsi="Arial" w:cs="Arial"/>
          <w:sz w:val="16"/>
          <w:szCs w:val="16"/>
        </w:rPr>
        <w:t xml:space="preserve"> </w:t>
      </w:r>
      <w:r w:rsidRPr="00A61A25">
        <w:rPr>
          <w:rFonts w:ascii="Arial" w:hAnsi="Arial" w:cs="Arial"/>
          <w:sz w:val="16"/>
          <w:szCs w:val="16"/>
        </w:rPr>
        <w:tab/>
      </w:r>
      <w:r w:rsidRPr="00A61A25">
        <w:rPr>
          <w:rFonts w:ascii="Arial" w:hAnsi="Arial" w:cs="Arial"/>
          <w:b/>
          <w:sz w:val="16"/>
          <w:szCs w:val="16"/>
        </w:rPr>
        <w:t>DECRETO LEGISLATIVO 1033, LEY DE ORGANIZACIÓN Y FUNCIONES DEL INDECOPI</w:t>
      </w:r>
      <w:r w:rsidRPr="00A61A25">
        <w:rPr>
          <w:rFonts w:ascii="Arial" w:eastAsia="Arial Narrow" w:hAnsi="Arial" w:cs="Arial"/>
          <w:b/>
          <w:sz w:val="16"/>
          <w:szCs w:val="16"/>
        </w:rPr>
        <w:t>, publicada el 18 de abril de 1996</w:t>
      </w:r>
    </w:p>
    <w:p w14:paraId="486BE96C"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b/>
          <w:sz w:val="16"/>
          <w:szCs w:val="16"/>
        </w:rPr>
        <w:t xml:space="preserve">Artículo </w:t>
      </w:r>
      <w:proofErr w:type="gramStart"/>
      <w:r w:rsidRPr="00A61A25">
        <w:rPr>
          <w:rFonts w:ascii="Arial" w:hAnsi="Arial" w:cs="Arial"/>
          <w:b/>
          <w:sz w:val="16"/>
          <w:szCs w:val="16"/>
        </w:rPr>
        <w:t>21 .</w:t>
      </w:r>
      <w:proofErr w:type="gramEnd"/>
      <w:r w:rsidRPr="00A61A25">
        <w:rPr>
          <w:rFonts w:ascii="Arial" w:hAnsi="Arial" w:cs="Arial"/>
          <w:b/>
          <w:sz w:val="16"/>
          <w:szCs w:val="16"/>
        </w:rPr>
        <w:t>- Régimen de las Comisiones</w:t>
      </w:r>
    </w:p>
    <w:p w14:paraId="6EE6ACF2"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sz w:val="16"/>
          <w:szCs w:val="16"/>
        </w:rPr>
        <w:t>Las Comisiones mencionadas en el artículo anterior tienen las siguientes características:</w:t>
      </w:r>
    </w:p>
    <w:p w14:paraId="2285C284"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sz w:val="16"/>
          <w:szCs w:val="16"/>
        </w:rPr>
        <w:t>(…)</w:t>
      </w:r>
    </w:p>
    <w:p w14:paraId="00840C83"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sz w:val="16"/>
          <w:szCs w:val="16"/>
        </w:rPr>
        <w:t>b) Resuelven en primera instancia administrativa los procesos de su competencia, la adopción de medidas cautelares y correctivas, la imposición de las sanciones correspondientes y la determinación de costas y costos;</w:t>
      </w:r>
    </w:p>
    <w:p w14:paraId="64E0A6CC" w14:textId="77777777" w:rsidR="000408B2" w:rsidRPr="00A61A25" w:rsidRDefault="000408B2" w:rsidP="00A61A25">
      <w:pPr>
        <w:ind w:left="570" w:hanging="570"/>
        <w:contextualSpacing/>
        <w:jc w:val="both"/>
        <w:rPr>
          <w:rFonts w:ascii="Arial" w:hAnsi="Arial" w:cs="Arial"/>
          <w:sz w:val="16"/>
          <w:szCs w:val="16"/>
        </w:rPr>
      </w:pPr>
    </w:p>
    <w:p w14:paraId="196BDC92"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b/>
          <w:sz w:val="16"/>
          <w:szCs w:val="16"/>
        </w:rPr>
        <w:t>DECRETO SUPREMO 009-2009-PCM, REGLAMENTO DE ORGANIZACIÓN Y FUNCIONES DEL INDECOPI</w:t>
      </w:r>
    </w:p>
    <w:p w14:paraId="59F980AA"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b/>
          <w:sz w:val="16"/>
          <w:szCs w:val="16"/>
        </w:rPr>
        <w:t xml:space="preserve">Artículo </w:t>
      </w:r>
      <w:proofErr w:type="gramStart"/>
      <w:r w:rsidRPr="00A61A25">
        <w:rPr>
          <w:rFonts w:ascii="Arial" w:hAnsi="Arial" w:cs="Arial"/>
          <w:b/>
          <w:sz w:val="16"/>
          <w:szCs w:val="16"/>
        </w:rPr>
        <w:t>37 .</w:t>
      </w:r>
      <w:proofErr w:type="gramEnd"/>
      <w:r w:rsidRPr="00A61A25">
        <w:rPr>
          <w:rFonts w:ascii="Arial" w:hAnsi="Arial" w:cs="Arial"/>
          <w:b/>
          <w:sz w:val="16"/>
          <w:szCs w:val="16"/>
        </w:rPr>
        <w:t>- Atribuciones generales de las Comisiones del Indecopi</w:t>
      </w:r>
    </w:p>
    <w:p w14:paraId="53C9D95E"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sz w:val="16"/>
          <w:szCs w:val="16"/>
        </w:rPr>
        <w:t>Son atribuciones generales de las Comisiones:</w:t>
      </w:r>
    </w:p>
    <w:p w14:paraId="01A4BC4D"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sz w:val="16"/>
          <w:szCs w:val="16"/>
        </w:rPr>
        <w:t>(…)</w:t>
      </w:r>
    </w:p>
    <w:p w14:paraId="27D87E96"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sz w:val="16"/>
          <w:szCs w:val="16"/>
        </w:rPr>
        <w:t>c) Disponer la adopción de medidas cautelares, correctivas, coercitivas, y determinación de costas y costos, con arreglo a lo que sus correspondientes normas legales de creación o las que regulan materias de su competencia establezcan;</w:t>
      </w:r>
    </w:p>
    <w:p w14:paraId="377D0534"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sz w:val="16"/>
          <w:szCs w:val="16"/>
        </w:rPr>
        <w:t>(…)</w:t>
      </w:r>
    </w:p>
    <w:p w14:paraId="523D7085" w14:textId="77777777" w:rsidR="000408B2" w:rsidRPr="00A61A25" w:rsidRDefault="000408B2" w:rsidP="00A61A25">
      <w:pPr>
        <w:contextualSpacing/>
        <w:jc w:val="both"/>
        <w:rPr>
          <w:rFonts w:ascii="Arial" w:hAnsi="Arial" w:cs="Arial"/>
          <w:sz w:val="16"/>
          <w:szCs w:val="16"/>
        </w:rPr>
      </w:pPr>
    </w:p>
  </w:footnote>
  <w:footnote w:id="5">
    <w:p w14:paraId="1A12918F" w14:textId="77777777" w:rsidR="000408B2" w:rsidRPr="00A61A25" w:rsidRDefault="000408B2" w:rsidP="00A61A25">
      <w:pPr>
        <w:widowControl w:val="0"/>
        <w:ind w:left="567" w:hanging="567"/>
        <w:jc w:val="both"/>
        <w:rPr>
          <w:rFonts w:ascii="Arial" w:hAnsi="Arial" w:cs="Arial"/>
          <w:b/>
          <w:sz w:val="16"/>
          <w:szCs w:val="16"/>
        </w:rPr>
      </w:pPr>
      <w:r w:rsidRPr="00A61A25">
        <w:rPr>
          <w:rStyle w:val="Refdenotaalpie"/>
          <w:rFonts w:ascii="Arial" w:eastAsiaTheme="minorHAnsi" w:hAnsi="Arial" w:cs="Arial"/>
          <w:sz w:val="16"/>
          <w:szCs w:val="16"/>
          <w:lang w:eastAsia="en-US"/>
        </w:rPr>
        <w:t>3</w:t>
      </w:r>
      <w:r w:rsidRPr="00A61A25">
        <w:rPr>
          <w:rFonts w:ascii="Arial" w:hAnsi="Arial" w:cs="Arial"/>
          <w:sz w:val="16"/>
          <w:szCs w:val="16"/>
        </w:rPr>
        <w:t xml:space="preserve"> </w:t>
      </w:r>
      <w:r w:rsidRPr="00A61A25">
        <w:rPr>
          <w:rFonts w:ascii="Arial" w:hAnsi="Arial" w:cs="Arial"/>
          <w:sz w:val="16"/>
          <w:szCs w:val="16"/>
        </w:rPr>
        <w:tab/>
      </w:r>
      <w:r w:rsidRPr="00A61A25">
        <w:rPr>
          <w:rFonts w:ascii="Arial" w:hAnsi="Arial" w:cs="Arial"/>
          <w:b/>
          <w:sz w:val="16"/>
          <w:szCs w:val="16"/>
        </w:rPr>
        <w:t>LEY 29571, CÓDIGO DE PROTECCIÓN Y DEFENSA DEL CONSUMIDOR, publicada el 2 de setiembre de 2010 y modificada por el Decreto Legislativo 1308, publicado el 30 de diciembre de 2016</w:t>
      </w:r>
    </w:p>
    <w:p w14:paraId="5566DC5C" w14:textId="77777777" w:rsidR="000408B2" w:rsidRPr="00A61A25" w:rsidRDefault="000408B2" w:rsidP="00A61A25">
      <w:pPr>
        <w:ind w:left="577" w:hanging="571"/>
        <w:contextualSpacing/>
        <w:jc w:val="both"/>
        <w:rPr>
          <w:rFonts w:ascii="Arial" w:hAnsi="Arial" w:cs="Arial"/>
          <w:sz w:val="16"/>
          <w:szCs w:val="16"/>
        </w:rPr>
      </w:pPr>
      <w:r w:rsidRPr="00A61A25">
        <w:rPr>
          <w:rFonts w:ascii="Arial" w:hAnsi="Arial" w:cs="Arial"/>
          <w:b/>
          <w:sz w:val="16"/>
          <w:szCs w:val="16"/>
        </w:rPr>
        <w:tab/>
        <w:t xml:space="preserve">Artículo </w:t>
      </w:r>
      <w:proofErr w:type="gramStart"/>
      <w:r w:rsidRPr="00A61A25">
        <w:rPr>
          <w:rFonts w:ascii="Arial" w:hAnsi="Arial" w:cs="Arial"/>
          <w:b/>
          <w:sz w:val="16"/>
          <w:szCs w:val="16"/>
        </w:rPr>
        <w:t>109 .</w:t>
      </w:r>
      <w:proofErr w:type="gramEnd"/>
      <w:r w:rsidRPr="00A61A25">
        <w:rPr>
          <w:rFonts w:ascii="Arial" w:hAnsi="Arial" w:cs="Arial"/>
          <w:b/>
          <w:sz w:val="16"/>
          <w:szCs w:val="16"/>
        </w:rPr>
        <w:t>- Medidas cautelares</w:t>
      </w:r>
    </w:p>
    <w:p w14:paraId="6620A536" w14:textId="77777777" w:rsidR="000408B2" w:rsidRPr="00A61A25" w:rsidRDefault="000408B2" w:rsidP="00A61A25">
      <w:pPr>
        <w:ind w:left="577" w:hanging="7"/>
        <w:contextualSpacing/>
        <w:jc w:val="both"/>
        <w:rPr>
          <w:rFonts w:ascii="Arial" w:hAnsi="Arial" w:cs="Arial"/>
          <w:sz w:val="16"/>
          <w:szCs w:val="16"/>
        </w:rPr>
      </w:pPr>
      <w:r w:rsidRPr="00A61A25">
        <w:rPr>
          <w:rFonts w:ascii="Arial" w:hAnsi="Arial" w:cs="Arial"/>
          <w:sz w:val="16"/>
          <w:szCs w:val="16"/>
        </w:rPr>
        <w:t>En cualquier etapa del procedimiento, de oficio o a pedido de parte, el Indecopi puede, dentro del ámbito de su correspondiente competencia, dictar una o varias de las siguientes medidas cautelares destinadas a asegurar el cumplimiento de la decisión definitiva:</w:t>
      </w:r>
    </w:p>
    <w:p w14:paraId="0D6F091F" w14:textId="77777777" w:rsidR="000408B2" w:rsidRPr="00A61A25" w:rsidRDefault="000408B2" w:rsidP="00A61A25">
      <w:pPr>
        <w:ind w:left="577" w:hanging="571"/>
        <w:contextualSpacing/>
        <w:jc w:val="both"/>
        <w:rPr>
          <w:rFonts w:ascii="Arial" w:hAnsi="Arial" w:cs="Arial"/>
          <w:sz w:val="16"/>
          <w:szCs w:val="16"/>
        </w:rPr>
      </w:pPr>
      <w:r w:rsidRPr="00A61A25">
        <w:rPr>
          <w:rFonts w:ascii="Arial" w:hAnsi="Arial" w:cs="Arial"/>
          <w:sz w:val="16"/>
          <w:szCs w:val="16"/>
        </w:rPr>
        <w:t xml:space="preserve"> </w:t>
      </w:r>
      <w:r w:rsidRPr="00A61A25">
        <w:rPr>
          <w:rFonts w:ascii="Arial" w:hAnsi="Arial" w:cs="Arial"/>
          <w:sz w:val="16"/>
          <w:szCs w:val="16"/>
        </w:rPr>
        <w:tab/>
      </w:r>
    </w:p>
    <w:p w14:paraId="77BDB171" w14:textId="77777777" w:rsidR="000408B2" w:rsidRPr="00A61A25" w:rsidRDefault="000408B2" w:rsidP="00A61A25">
      <w:pPr>
        <w:ind w:left="577" w:hanging="7"/>
        <w:contextualSpacing/>
        <w:jc w:val="both"/>
        <w:rPr>
          <w:rFonts w:ascii="Arial" w:hAnsi="Arial" w:cs="Arial"/>
          <w:sz w:val="16"/>
          <w:szCs w:val="16"/>
        </w:rPr>
      </w:pPr>
      <w:r w:rsidRPr="00A61A25">
        <w:rPr>
          <w:rFonts w:ascii="Arial" w:hAnsi="Arial" w:cs="Arial"/>
          <w:sz w:val="16"/>
          <w:szCs w:val="16"/>
        </w:rPr>
        <w:t>a. La cesación de los actos materia de denuncia.</w:t>
      </w:r>
    </w:p>
    <w:p w14:paraId="434D2B52" w14:textId="77777777" w:rsidR="000408B2" w:rsidRPr="00A61A25" w:rsidRDefault="000408B2" w:rsidP="00A61A25">
      <w:pPr>
        <w:ind w:left="570" w:firstLine="7"/>
        <w:contextualSpacing/>
        <w:jc w:val="both"/>
        <w:rPr>
          <w:rFonts w:ascii="Arial" w:hAnsi="Arial" w:cs="Arial"/>
          <w:sz w:val="16"/>
          <w:szCs w:val="16"/>
        </w:rPr>
      </w:pPr>
      <w:r w:rsidRPr="00A61A25">
        <w:rPr>
          <w:rFonts w:ascii="Arial" w:hAnsi="Arial" w:cs="Arial"/>
          <w:sz w:val="16"/>
          <w:szCs w:val="16"/>
        </w:rPr>
        <w:t>b. El comiso, el depósito o la inmovilización de los productos, etiquetas, envases y de cualquier otro bien que sea materia de denuncia.</w:t>
      </w:r>
    </w:p>
    <w:p w14:paraId="0283B897" w14:textId="77777777" w:rsidR="000408B2" w:rsidRPr="00A61A25" w:rsidRDefault="000408B2" w:rsidP="00A61A25">
      <w:pPr>
        <w:ind w:left="570" w:firstLine="7"/>
        <w:contextualSpacing/>
        <w:jc w:val="both"/>
        <w:rPr>
          <w:rFonts w:ascii="Arial" w:hAnsi="Arial" w:cs="Arial"/>
          <w:sz w:val="16"/>
          <w:szCs w:val="16"/>
        </w:rPr>
      </w:pPr>
      <w:r w:rsidRPr="00A61A25">
        <w:rPr>
          <w:rFonts w:ascii="Arial" w:hAnsi="Arial" w:cs="Arial"/>
          <w:sz w:val="16"/>
          <w:szCs w:val="16"/>
        </w:rPr>
        <w:t>c. La adopción de las medidas necesarias para que las autoridades aduaneras impidan el ingreso al país de los productos materia de denuncia.</w:t>
      </w:r>
    </w:p>
    <w:p w14:paraId="124D3D7E" w14:textId="77777777" w:rsidR="000408B2" w:rsidRPr="00A61A25" w:rsidRDefault="000408B2" w:rsidP="00A61A25">
      <w:pPr>
        <w:ind w:left="1140" w:hanging="562"/>
        <w:contextualSpacing/>
        <w:jc w:val="both"/>
        <w:rPr>
          <w:rFonts w:ascii="Arial" w:hAnsi="Arial" w:cs="Arial"/>
          <w:sz w:val="16"/>
          <w:szCs w:val="16"/>
        </w:rPr>
      </w:pPr>
      <w:r w:rsidRPr="00A61A25">
        <w:rPr>
          <w:rFonts w:ascii="Arial" w:hAnsi="Arial" w:cs="Arial"/>
          <w:sz w:val="16"/>
          <w:szCs w:val="16"/>
        </w:rPr>
        <w:t>d. El cierre temporal del establecimiento del denunciado.</w:t>
      </w:r>
    </w:p>
    <w:p w14:paraId="383CCCF0" w14:textId="77777777" w:rsidR="000408B2" w:rsidRPr="00A61A25" w:rsidRDefault="000408B2" w:rsidP="00A61A25">
      <w:pPr>
        <w:ind w:left="570" w:firstLine="7"/>
        <w:contextualSpacing/>
        <w:jc w:val="both"/>
        <w:rPr>
          <w:rFonts w:ascii="Arial" w:hAnsi="Arial" w:cs="Arial"/>
          <w:sz w:val="16"/>
          <w:szCs w:val="16"/>
        </w:rPr>
      </w:pPr>
      <w:r w:rsidRPr="00A61A25">
        <w:rPr>
          <w:rFonts w:ascii="Arial" w:hAnsi="Arial" w:cs="Arial"/>
          <w:sz w:val="16"/>
          <w:szCs w:val="16"/>
        </w:rPr>
        <w:t>e. Cualquier otra medida que tenga por objeto evitar que se produzca algún perjuicio derivado del acto denunciado o que tenga como finalidad la cesación de este.</w:t>
      </w:r>
    </w:p>
    <w:p w14:paraId="0F8EEC95" w14:textId="77777777" w:rsidR="000408B2" w:rsidRPr="00A61A25" w:rsidRDefault="000408B2" w:rsidP="00A61A25">
      <w:pPr>
        <w:ind w:left="570" w:firstLine="7"/>
        <w:contextualSpacing/>
        <w:jc w:val="both"/>
        <w:rPr>
          <w:rFonts w:ascii="Arial" w:hAnsi="Arial" w:cs="Arial"/>
          <w:sz w:val="16"/>
          <w:szCs w:val="16"/>
        </w:rPr>
      </w:pPr>
    </w:p>
    <w:p w14:paraId="7916B7FD" w14:textId="77777777" w:rsidR="000408B2" w:rsidRPr="00A61A25" w:rsidRDefault="000408B2" w:rsidP="00A61A25">
      <w:pPr>
        <w:ind w:left="570" w:firstLine="7"/>
        <w:contextualSpacing/>
        <w:jc w:val="both"/>
        <w:rPr>
          <w:rFonts w:ascii="Arial" w:hAnsi="Arial" w:cs="Arial"/>
          <w:sz w:val="16"/>
          <w:szCs w:val="16"/>
        </w:rPr>
      </w:pPr>
      <w:r w:rsidRPr="00A61A25">
        <w:rPr>
          <w:rFonts w:ascii="Arial" w:hAnsi="Arial" w:cs="Arial"/>
          <w:sz w:val="16"/>
          <w:szCs w:val="16"/>
        </w:rPr>
        <w:t>El Indecopi puede, de considerarlo pertinente, ordenar una medida cautelar distinta a la solicitada por la parte interesada. En caso de existir peligro actual o inminente si es que no se adoptan las medidas cautelares correspondientes, el secretario técnico puede imponerlas, con cargo a dar cuenta inmediatamente a la comisión. La comisión ratifica o levanta la medida cautelar impuesta. El Órgano Resolutivo de Procedimientos Sumarísimos en materia de protección al consumidor goza también de la facultad de ordenar medidas cautelares.</w:t>
      </w:r>
    </w:p>
    <w:p w14:paraId="779D5706" w14:textId="77777777" w:rsidR="000408B2" w:rsidRPr="00A61A25" w:rsidRDefault="000408B2" w:rsidP="00A61A25">
      <w:pPr>
        <w:contextualSpacing/>
        <w:jc w:val="both"/>
        <w:rPr>
          <w:rFonts w:ascii="Arial" w:hAnsi="Arial" w:cs="Arial"/>
          <w:sz w:val="16"/>
          <w:szCs w:val="16"/>
        </w:rPr>
      </w:pPr>
    </w:p>
  </w:footnote>
  <w:footnote w:id="6">
    <w:p w14:paraId="6A207398" w14:textId="77777777" w:rsidR="000408B2" w:rsidRPr="00A61A25" w:rsidRDefault="000408B2" w:rsidP="00A61A25">
      <w:pPr>
        <w:ind w:left="570" w:hanging="570"/>
        <w:contextualSpacing/>
        <w:jc w:val="both"/>
        <w:rPr>
          <w:rFonts w:ascii="Arial" w:hAnsi="Arial" w:cs="Arial"/>
          <w:sz w:val="16"/>
          <w:szCs w:val="16"/>
        </w:rPr>
      </w:pPr>
      <w:r w:rsidRPr="00A61A25">
        <w:rPr>
          <w:rStyle w:val="Refdenotaalpie"/>
          <w:rFonts w:ascii="Arial" w:eastAsiaTheme="minorHAnsi" w:hAnsi="Arial" w:cs="Arial"/>
          <w:sz w:val="16"/>
          <w:szCs w:val="16"/>
          <w:lang w:eastAsia="en-US"/>
        </w:rPr>
        <w:t>4</w:t>
      </w:r>
      <w:r w:rsidRPr="00A61A25">
        <w:rPr>
          <w:rFonts w:ascii="Arial" w:hAnsi="Arial" w:cs="Arial"/>
          <w:sz w:val="16"/>
          <w:szCs w:val="16"/>
        </w:rPr>
        <w:t xml:space="preserve"> </w:t>
      </w:r>
      <w:r w:rsidRPr="00A61A25">
        <w:rPr>
          <w:rFonts w:ascii="Arial" w:hAnsi="Arial" w:cs="Arial"/>
          <w:sz w:val="16"/>
          <w:szCs w:val="16"/>
        </w:rPr>
        <w:tab/>
        <w:t xml:space="preserve">Al respecto, la Sala ha señalado en diversos pronunciamientos que el grado de </w:t>
      </w:r>
      <w:r w:rsidRPr="00A61A25">
        <w:rPr>
          <w:rFonts w:ascii="Arial" w:hAnsi="Arial" w:cs="Arial"/>
          <w:i/>
          <w:sz w:val="16"/>
          <w:szCs w:val="16"/>
        </w:rPr>
        <w:t>verosimilitud</w:t>
      </w:r>
      <w:r w:rsidRPr="00A61A25">
        <w:rPr>
          <w:rFonts w:ascii="Arial" w:hAnsi="Arial" w:cs="Arial"/>
          <w:sz w:val="16"/>
          <w:szCs w:val="16"/>
        </w:rPr>
        <w:t xml:space="preserve"> requerido para el dictado de una medida cautelar puede ser equiparado a un nivel intermedio de certeza en el cual la autoridad administrativa debe tener la percepción que la presunta infracción denunciada tiene apariencia de verdadera, existiendo la probabilidad que el procedimiento sea declarado fundado. Ver Resolución 0820-2021/SPC-INDECOPI de fecha 14 de abril de 2021.</w:t>
      </w:r>
    </w:p>
    <w:p w14:paraId="79FF7624" w14:textId="77777777" w:rsidR="000408B2" w:rsidRPr="00A61A25" w:rsidRDefault="000408B2" w:rsidP="00A61A25">
      <w:pPr>
        <w:ind w:left="570" w:hanging="570"/>
        <w:contextualSpacing/>
        <w:jc w:val="both"/>
        <w:rPr>
          <w:rFonts w:ascii="Arial" w:hAnsi="Arial" w:cs="Arial"/>
          <w:sz w:val="16"/>
          <w:szCs w:val="16"/>
        </w:rPr>
      </w:pPr>
    </w:p>
  </w:footnote>
  <w:footnote w:id="7">
    <w:p w14:paraId="586440CF" w14:textId="77777777" w:rsidR="000408B2" w:rsidRPr="00A61A25" w:rsidRDefault="000408B2" w:rsidP="00A61A25">
      <w:pPr>
        <w:ind w:left="570" w:hanging="570"/>
        <w:contextualSpacing/>
        <w:jc w:val="both"/>
        <w:rPr>
          <w:rFonts w:ascii="Arial" w:hAnsi="Arial" w:cs="Arial"/>
          <w:sz w:val="16"/>
          <w:szCs w:val="16"/>
        </w:rPr>
      </w:pPr>
      <w:r w:rsidRPr="00A61A25">
        <w:rPr>
          <w:rStyle w:val="Refdenotaalpie"/>
          <w:rFonts w:ascii="Arial" w:eastAsiaTheme="minorHAnsi" w:hAnsi="Arial" w:cs="Arial"/>
          <w:sz w:val="16"/>
          <w:szCs w:val="16"/>
          <w:lang w:eastAsia="en-US"/>
        </w:rPr>
        <w:t>5</w:t>
      </w:r>
      <w:r w:rsidRPr="00A61A25">
        <w:rPr>
          <w:rFonts w:ascii="Arial" w:hAnsi="Arial" w:cs="Arial"/>
          <w:sz w:val="16"/>
          <w:szCs w:val="16"/>
        </w:rPr>
        <w:t xml:space="preserve"> </w:t>
      </w:r>
      <w:r w:rsidRPr="00A61A25">
        <w:rPr>
          <w:rFonts w:ascii="Arial" w:hAnsi="Arial" w:cs="Arial"/>
          <w:sz w:val="16"/>
          <w:szCs w:val="16"/>
        </w:rPr>
        <w:tab/>
      </w:r>
      <w:r w:rsidRPr="00A61A25">
        <w:rPr>
          <w:rFonts w:ascii="Arial" w:hAnsi="Arial" w:cs="Arial"/>
          <w:i/>
          <w:sz w:val="16"/>
          <w:szCs w:val="16"/>
        </w:rPr>
        <w:t xml:space="preserve">“El análisis sobre la fundabilidad de la pretensión no puede ser entonces un juicio de certeza como aquel que se hace en el proceso principal y que resulta necesario para el dictado de una sentencia, sino que debe ser un análisis basado en la probabilidad de que se obtenga una sentencia que ampare la pretensión planteada. Así, al juicio de certeza propio del proceso principal, se le opone el juicio de probabilidad propio del proceso cautelar.” </w:t>
      </w:r>
      <w:r w:rsidRPr="00A61A25">
        <w:rPr>
          <w:rFonts w:ascii="Arial" w:hAnsi="Arial" w:cs="Arial"/>
          <w:sz w:val="16"/>
          <w:szCs w:val="16"/>
        </w:rPr>
        <w:t xml:space="preserve">(Cfr.: PRIORI POSADA, Giovanni. </w:t>
      </w:r>
      <w:r w:rsidRPr="00A61A25">
        <w:rPr>
          <w:rFonts w:ascii="Arial" w:hAnsi="Arial" w:cs="Arial"/>
          <w:i/>
          <w:sz w:val="16"/>
          <w:szCs w:val="16"/>
        </w:rPr>
        <w:t>La tutela cautelar.</w:t>
      </w:r>
      <w:r w:rsidRPr="00A61A25">
        <w:rPr>
          <w:rFonts w:ascii="Arial" w:hAnsi="Arial" w:cs="Arial"/>
          <w:sz w:val="16"/>
          <w:szCs w:val="16"/>
        </w:rPr>
        <w:t xml:space="preserve"> ARA EDITORES, Lima, 2006, p. 73).</w:t>
      </w:r>
    </w:p>
    <w:p w14:paraId="19171740" w14:textId="77777777" w:rsidR="000408B2" w:rsidRPr="00A61A25" w:rsidRDefault="000408B2" w:rsidP="00A61A25">
      <w:pPr>
        <w:ind w:left="570" w:hanging="570"/>
        <w:contextualSpacing/>
        <w:jc w:val="both"/>
        <w:rPr>
          <w:rFonts w:ascii="Arial" w:hAnsi="Arial" w:cs="Arial"/>
          <w:sz w:val="16"/>
          <w:szCs w:val="16"/>
        </w:rPr>
      </w:pPr>
    </w:p>
  </w:footnote>
  <w:footnote w:id="8">
    <w:p w14:paraId="25E3A1C2" w14:textId="77777777" w:rsidR="000408B2" w:rsidRPr="00A61A25" w:rsidRDefault="000408B2" w:rsidP="00A61A25">
      <w:pPr>
        <w:ind w:left="570" w:hanging="570"/>
        <w:contextualSpacing/>
        <w:jc w:val="both"/>
        <w:rPr>
          <w:rFonts w:ascii="Arial" w:hAnsi="Arial" w:cs="Arial"/>
          <w:sz w:val="16"/>
          <w:szCs w:val="16"/>
        </w:rPr>
      </w:pPr>
      <w:r w:rsidRPr="00A61A25">
        <w:rPr>
          <w:rStyle w:val="Refdenotaalpie"/>
          <w:rFonts w:ascii="Arial" w:eastAsiaTheme="minorHAnsi" w:hAnsi="Arial" w:cs="Arial"/>
          <w:sz w:val="16"/>
          <w:szCs w:val="16"/>
          <w:lang w:eastAsia="en-US"/>
        </w:rPr>
        <w:t>6</w:t>
      </w:r>
      <w:r w:rsidRPr="00A61A25">
        <w:rPr>
          <w:rFonts w:ascii="Arial" w:hAnsi="Arial" w:cs="Arial"/>
          <w:sz w:val="16"/>
          <w:szCs w:val="16"/>
        </w:rPr>
        <w:t xml:space="preserve"> </w:t>
      </w:r>
      <w:r w:rsidRPr="00A61A25">
        <w:rPr>
          <w:rFonts w:ascii="Arial" w:hAnsi="Arial" w:cs="Arial"/>
          <w:sz w:val="16"/>
          <w:szCs w:val="16"/>
        </w:rPr>
        <w:tab/>
        <w:t xml:space="preserve">En este punto, la Sala ha establecido que dentro del </w:t>
      </w:r>
      <w:r w:rsidRPr="00A61A25">
        <w:rPr>
          <w:rFonts w:ascii="Arial" w:hAnsi="Arial" w:cs="Arial"/>
          <w:i/>
          <w:sz w:val="16"/>
          <w:szCs w:val="16"/>
        </w:rPr>
        <w:t>peligro en la demora</w:t>
      </w:r>
      <w:r w:rsidRPr="00A61A25">
        <w:rPr>
          <w:rFonts w:ascii="Arial" w:hAnsi="Arial" w:cs="Arial"/>
          <w:sz w:val="16"/>
          <w:szCs w:val="16"/>
        </w:rPr>
        <w:t xml:space="preserve"> debe analizarse la posibilidad que el retraso en la decisión genere un </w:t>
      </w:r>
      <w:r w:rsidRPr="00A61A25">
        <w:rPr>
          <w:rFonts w:ascii="Arial" w:hAnsi="Arial" w:cs="Arial"/>
          <w:i/>
          <w:sz w:val="16"/>
          <w:szCs w:val="16"/>
        </w:rPr>
        <w:t>daño irreparable</w:t>
      </w:r>
      <w:r w:rsidRPr="00A61A25">
        <w:rPr>
          <w:rFonts w:ascii="Arial" w:hAnsi="Arial" w:cs="Arial"/>
          <w:sz w:val="16"/>
          <w:szCs w:val="16"/>
        </w:rPr>
        <w:t>, entendiendo por éste, el perjuicio que se puede ocasionar a los administrados de no disponerse la medida cautelar solicitada. Ver Resolución 0820-2021/SPC-INDECOPI de fecha 14 de abril de 2021.</w:t>
      </w:r>
    </w:p>
    <w:p w14:paraId="28C14919" w14:textId="77777777" w:rsidR="000408B2" w:rsidRPr="00A61A25" w:rsidRDefault="000408B2" w:rsidP="00A61A25">
      <w:pPr>
        <w:ind w:left="570" w:hanging="570"/>
        <w:contextualSpacing/>
        <w:jc w:val="both"/>
        <w:rPr>
          <w:rFonts w:ascii="Arial" w:hAnsi="Arial" w:cs="Arial"/>
          <w:sz w:val="16"/>
          <w:szCs w:val="16"/>
        </w:rPr>
      </w:pPr>
      <w:r w:rsidRPr="00A61A25">
        <w:rPr>
          <w:rFonts w:ascii="Arial" w:hAnsi="Arial" w:cs="Arial"/>
          <w:sz w:val="16"/>
          <w:szCs w:val="16"/>
        </w:rPr>
        <w:t xml:space="preserve"> </w:t>
      </w:r>
    </w:p>
  </w:footnote>
  <w:footnote w:id="9">
    <w:p w14:paraId="1A1E11B6" w14:textId="77777777" w:rsidR="000408B2" w:rsidRPr="00A61A25" w:rsidRDefault="000408B2" w:rsidP="00A61A25">
      <w:pPr>
        <w:ind w:left="570" w:hanging="570"/>
        <w:contextualSpacing/>
        <w:jc w:val="both"/>
        <w:rPr>
          <w:rFonts w:ascii="Arial" w:hAnsi="Arial" w:cs="Arial"/>
          <w:sz w:val="16"/>
          <w:szCs w:val="16"/>
        </w:rPr>
      </w:pPr>
      <w:r w:rsidRPr="00A61A25">
        <w:rPr>
          <w:rStyle w:val="Refdenotaalpie"/>
          <w:rFonts w:ascii="Arial" w:eastAsiaTheme="minorHAnsi" w:hAnsi="Arial" w:cs="Arial"/>
          <w:sz w:val="16"/>
          <w:szCs w:val="16"/>
          <w:lang w:eastAsia="en-US"/>
        </w:rPr>
        <w:t>7</w:t>
      </w:r>
      <w:r w:rsidRPr="00A61A25">
        <w:rPr>
          <w:rFonts w:ascii="Arial" w:hAnsi="Arial" w:cs="Arial"/>
          <w:sz w:val="16"/>
          <w:szCs w:val="16"/>
        </w:rPr>
        <w:t xml:space="preserve"> </w:t>
      </w:r>
      <w:r w:rsidRPr="00A61A25">
        <w:rPr>
          <w:rFonts w:ascii="Arial" w:hAnsi="Arial" w:cs="Arial"/>
          <w:sz w:val="16"/>
          <w:szCs w:val="16"/>
        </w:rPr>
        <w:tab/>
        <w:t xml:space="preserve">La necesidad de la adecuación como un tercer presupuesto de la medida cautelar se justifica plenamente en la existencia de dos premisas fundamentales que inspiran la tutela cautelar y que son señaladas en este pasaje por la doctrina nacional: </w:t>
      </w:r>
      <w:r w:rsidRPr="00A61A25">
        <w:rPr>
          <w:rFonts w:ascii="Arial" w:hAnsi="Arial" w:cs="Arial"/>
          <w:i/>
          <w:sz w:val="16"/>
          <w:szCs w:val="16"/>
        </w:rPr>
        <w:t>“Con estas dos premisas: a)mantener la igualdad en el proceso, y b) evitar perjuicios innecesarios, por medio de la represión de actos ilegítimos o que impliquen un abuso del derecho procesal, es que consideramos que pueden ser perfilados los lineamientos de un nuevo presupuesto cautelar que debe estar presente junto con los otros dos ya ampliamente conocidos y estudiados por la doctrina. Se trata de la adecuación, es decir, de la necesidad de que se otorguen medidas cautelares que sean congruentes y proporcionales con, precisamente, el objeto que es materia de esta tutela de aseguración.”</w:t>
      </w:r>
      <w:r w:rsidRPr="00A61A25">
        <w:rPr>
          <w:rFonts w:ascii="Arial" w:hAnsi="Arial" w:cs="Arial"/>
          <w:sz w:val="16"/>
          <w:szCs w:val="16"/>
        </w:rPr>
        <w:t xml:space="preserve"> (MONROY PALACIOS, Juan. </w:t>
      </w:r>
      <w:r w:rsidRPr="00A61A25">
        <w:rPr>
          <w:rFonts w:ascii="Arial" w:hAnsi="Arial" w:cs="Arial"/>
          <w:i/>
          <w:sz w:val="16"/>
          <w:szCs w:val="16"/>
        </w:rPr>
        <w:t xml:space="preserve">Bases para la formación de una teoría cautelar. </w:t>
      </w:r>
      <w:r w:rsidRPr="00A61A25">
        <w:rPr>
          <w:rFonts w:ascii="Arial" w:hAnsi="Arial" w:cs="Arial"/>
          <w:sz w:val="16"/>
          <w:szCs w:val="16"/>
        </w:rPr>
        <w:t>Lima: Comunidad, 2002, p. 189).</w:t>
      </w:r>
    </w:p>
    <w:p w14:paraId="0E9A2D7D" w14:textId="77777777" w:rsidR="000408B2" w:rsidRPr="00A61A25" w:rsidRDefault="000408B2" w:rsidP="00A61A25">
      <w:pPr>
        <w:ind w:left="570" w:hanging="570"/>
        <w:contextualSpacing/>
        <w:jc w:val="both"/>
        <w:rPr>
          <w:rFonts w:ascii="Arial" w:hAnsi="Arial" w:cs="Arial"/>
          <w:sz w:val="16"/>
          <w:szCs w:val="16"/>
        </w:rPr>
      </w:pPr>
    </w:p>
  </w:footnote>
  <w:footnote w:id="10">
    <w:p w14:paraId="4BCFDAFE" w14:textId="77777777" w:rsidR="000408B2" w:rsidRPr="00A61A25" w:rsidRDefault="000408B2" w:rsidP="00A61A25">
      <w:pPr>
        <w:ind w:left="570" w:hanging="570"/>
        <w:contextualSpacing/>
        <w:jc w:val="both"/>
        <w:rPr>
          <w:rFonts w:ascii="Arial" w:hAnsi="Arial" w:cs="Arial"/>
          <w:sz w:val="16"/>
          <w:szCs w:val="16"/>
        </w:rPr>
      </w:pPr>
      <w:r w:rsidRPr="00A61A25">
        <w:rPr>
          <w:rStyle w:val="Refdenotaalpie"/>
          <w:rFonts w:ascii="Arial" w:eastAsiaTheme="minorHAnsi" w:hAnsi="Arial" w:cs="Arial"/>
          <w:sz w:val="16"/>
          <w:szCs w:val="16"/>
          <w:lang w:eastAsia="en-US"/>
        </w:rPr>
        <w:t>8</w:t>
      </w:r>
      <w:r w:rsidRPr="00A61A25">
        <w:rPr>
          <w:rFonts w:ascii="Arial" w:hAnsi="Arial" w:cs="Arial"/>
          <w:sz w:val="16"/>
          <w:szCs w:val="16"/>
        </w:rPr>
        <w:t xml:space="preserve"> </w:t>
      </w:r>
      <w:r w:rsidRPr="00A61A25">
        <w:rPr>
          <w:rFonts w:ascii="Arial" w:hAnsi="Arial" w:cs="Arial"/>
          <w:sz w:val="16"/>
          <w:szCs w:val="16"/>
        </w:rPr>
        <w:tab/>
      </w:r>
      <w:r w:rsidRPr="00A61A25">
        <w:rPr>
          <w:rFonts w:ascii="Arial" w:hAnsi="Arial" w:cs="Arial"/>
          <w:i/>
          <w:sz w:val="16"/>
          <w:szCs w:val="16"/>
        </w:rPr>
        <w:t>“Esta relación de idoneidad que supone la adecuación, determina “la necesidad de que se otorguen medidas cautelares que sean congruentes y proporcionales con, precisamente, el objeto que es materia de esta tutela de aseguración”. El hecho de que la medida cautelar sea congruente con la pretensión planteada, supone que exista una “correlación lógica que necesariamente deberá establecerse entre la cautelar concedida y el objeto de la tutela”. Proporcional quiere decir que el sacrificio que supone la concesión de una medida cautelar sea el necesario para lograr la garantía de efectividad que se requiere con la medida cautelar obtenida.”</w:t>
      </w:r>
      <w:r w:rsidRPr="00A61A25">
        <w:rPr>
          <w:rFonts w:ascii="Arial" w:hAnsi="Arial" w:cs="Arial"/>
          <w:sz w:val="16"/>
          <w:szCs w:val="16"/>
        </w:rPr>
        <w:t xml:space="preserve"> (PRIORI POSADA, Giovanni. </w:t>
      </w:r>
      <w:proofErr w:type="spellStart"/>
      <w:r w:rsidRPr="00A61A25">
        <w:rPr>
          <w:rFonts w:ascii="Arial" w:hAnsi="Arial" w:cs="Arial"/>
          <w:i/>
          <w:sz w:val="16"/>
          <w:szCs w:val="16"/>
        </w:rPr>
        <w:t>Op</w:t>
      </w:r>
      <w:proofErr w:type="spellEnd"/>
      <w:r w:rsidRPr="00A61A25">
        <w:rPr>
          <w:rFonts w:ascii="Arial" w:hAnsi="Arial" w:cs="Arial"/>
          <w:i/>
          <w:sz w:val="16"/>
          <w:szCs w:val="16"/>
        </w:rPr>
        <w:t xml:space="preserve">. cit., </w:t>
      </w:r>
      <w:r w:rsidRPr="00A61A25">
        <w:rPr>
          <w:rFonts w:ascii="Arial" w:hAnsi="Arial" w:cs="Arial"/>
          <w:sz w:val="16"/>
          <w:szCs w:val="16"/>
        </w:rPr>
        <w:t>p. 87).</w:t>
      </w:r>
    </w:p>
    <w:p w14:paraId="0011202A" w14:textId="77777777" w:rsidR="000408B2" w:rsidRPr="00A61A25" w:rsidRDefault="000408B2" w:rsidP="00A61A25">
      <w:pPr>
        <w:ind w:left="570" w:hanging="570"/>
        <w:contextualSpacing/>
        <w:jc w:val="both"/>
        <w:rPr>
          <w:rFonts w:ascii="Arial" w:hAnsi="Arial" w:cs="Arial"/>
          <w:sz w:val="16"/>
          <w:szCs w:val="16"/>
        </w:rPr>
      </w:pPr>
    </w:p>
  </w:footnote>
  <w:footnote w:id="11">
    <w:p w14:paraId="2C0B8F3A" w14:textId="77777777" w:rsidR="000408B2" w:rsidRPr="00A61A25" w:rsidRDefault="000408B2" w:rsidP="00A61A25">
      <w:pPr>
        <w:ind w:left="577" w:hanging="571"/>
        <w:contextualSpacing/>
        <w:jc w:val="both"/>
        <w:rPr>
          <w:rFonts w:ascii="Arial" w:hAnsi="Arial" w:cs="Arial"/>
          <w:sz w:val="16"/>
          <w:szCs w:val="16"/>
        </w:rPr>
      </w:pPr>
      <w:r w:rsidRPr="00A61A25">
        <w:rPr>
          <w:rStyle w:val="Refdenotaalpie"/>
          <w:rFonts w:ascii="Arial" w:eastAsiaTheme="minorHAnsi" w:hAnsi="Arial" w:cs="Arial"/>
          <w:sz w:val="16"/>
          <w:szCs w:val="16"/>
          <w:lang w:eastAsia="en-US"/>
        </w:rPr>
        <w:t>9</w:t>
      </w:r>
      <w:r w:rsidRPr="00A61A25">
        <w:rPr>
          <w:rFonts w:ascii="Arial" w:hAnsi="Arial" w:cs="Arial"/>
          <w:sz w:val="16"/>
          <w:szCs w:val="16"/>
        </w:rPr>
        <w:t xml:space="preserve"> </w:t>
      </w:r>
      <w:r w:rsidRPr="00A61A25">
        <w:rPr>
          <w:rFonts w:ascii="Arial" w:hAnsi="Arial" w:cs="Arial"/>
          <w:sz w:val="16"/>
          <w:szCs w:val="16"/>
        </w:rPr>
        <w:tab/>
        <w:t xml:space="preserve">Sentencia del Tribunal Constitucional recaída en el Expediente N° 1209-2006-PA/TC (Caso Compañía Cervecera </w:t>
      </w:r>
      <w:proofErr w:type="spellStart"/>
      <w:r w:rsidRPr="00A61A25">
        <w:rPr>
          <w:rFonts w:ascii="Arial" w:hAnsi="Arial" w:cs="Arial"/>
          <w:sz w:val="16"/>
          <w:szCs w:val="16"/>
        </w:rPr>
        <w:t>Ambev</w:t>
      </w:r>
      <w:proofErr w:type="spellEnd"/>
      <w:r w:rsidRPr="00A61A25">
        <w:rPr>
          <w:rFonts w:ascii="Arial" w:hAnsi="Arial" w:cs="Arial"/>
          <w:sz w:val="16"/>
          <w:szCs w:val="16"/>
        </w:rPr>
        <w:t xml:space="preserve"> Perú S.A.C.).</w:t>
      </w:r>
    </w:p>
  </w:footnote>
  <w:footnote w:id="12">
    <w:p w14:paraId="0501428C" w14:textId="77777777" w:rsidR="00D752FA" w:rsidRPr="00A61A25" w:rsidRDefault="00D752FA" w:rsidP="00A61A25">
      <w:pPr>
        <w:ind w:left="577" w:hanging="570"/>
        <w:jc w:val="both"/>
        <w:rPr>
          <w:rFonts w:ascii="Arial" w:hAnsi="Arial" w:cs="Arial"/>
          <w:sz w:val="16"/>
          <w:szCs w:val="16"/>
        </w:rPr>
      </w:pPr>
      <w:r w:rsidRPr="00A61A25">
        <w:rPr>
          <w:rFonts w:ascii="Arial" w:hAnsi="Arial" w:cs="Arial"/>
          <w:sz w:val="16"/>
          <w:szCs w:val="16"/>
          <w:vertAlign w:val="superscript"/>
        </w:rPr>
        <w:footnoteRef/>
      </w:r>
      <w:r w:rsidRPr="00A61A25">
        <w:rPr>
          <w:rFonts w:ascii="Arial" w:hAnsi="Arial" w:cs="Arial"/>
          <w:sz w:val="16"/>
          <w:szCs w:val="16"/>
        </w:rPr>
        <w:t xml:space="preserve"> </w:t>
      </w:r>
      <w:r w:rsidRPr="00A61A25">
        <w:rPr>
          <w:rFonts w:ascii="Arial" w:hAnsi="Arial" w:cs="Arial"/>
          <w:sz w:val="16"/>
          <w:szCs w:val="16"/>
        </w:rPr>
        <w:tab/>
        <w:t>Ver Resolución 1860­-2014/SPC-­INDECOPI del 5 de junio de 2014 recaída en el procedimiento iniciado por el señor Mario Francisco Saldaña Castro contra Banco Ripley Perú S.A.</w:t>
      </w:r>
    </w:p>
    <w:p w14:paraId="1C629ED2" w14:textId="77777777" w:rsidR="00D752FA" w:rsidRPr="00A61A25" w:rsidRDefault="00D752FA" w:rsidP="00A61A25">
      <w:pPr>
        <w:ind w:left="577" w:hanging="570"/>
        <w:jc w:val="both"/>
        <w:rPr>
          <w:rFonts w:ascii="Arial" w:hAnsi="Arial" w:cs="Arial"/>
          <w:sz w:val="16"/>
          <w:szCs w:val="16"/>
        </w:rPr>
      </w:pPr>
    </w:p>
  </w:footnote>
  <w:footnote w:id="13">
    <w:p w14:paraId="0E73AD57" w14:textId="77777777" w:rsidR="00D752FA" w:rsidRPr="00A61A25" w:rsidRDefault="00D752FA" w:rsidP="00A61A25">
      <w:pPr>
        <w:ind w:left="570" w:hanging="570"/>
        <w:jc w:val="both"/>
        <w:rPr>
          <w:rFonts w:ascii="Arial" w:hAnsi="Arial" w:cs="Arial"/>
          <w:sz w:val="16"/>
          <w:szCs w:val="16"/>
        </w:rPr>
      </w:pPr>
      <w:r w:rsidRPr="00A61A25">
        <w:rPr>
          <w:rFonts w:ascii="Arial" w:hAnsi="Arial" w:cs="Arial"/>
          <w:sz w:val="16"/>
          <w:szCs w:val="16"/>
          <w:vertAlign w:val="superscript"/>
        </w:rPr>
        <w:footnoteRef/>
      </w:r>
      <w:r w:rsidRPr="00A61A25">
        <w:rPr>
          <w:rFonts w:ascii="Arial" w:hAnsi="Arial" w:cs="Arial"/>
          <w:sz w:val="16"/>
          <w:szCs w:val="16"/>
        </w:rPr>
        <w:t xml:space="preserve"> </w:t>
      </w:r>
      <w:r w:rsidRPr="00A61A25">
        <w:rPr>
          <w:rFonts w:ascii="Arial" w:hAnsi="Arial" w:cs="Arial"/>
          <w:sz w:val="16"/>
          <w:szCs w:val="16"/>
        </w:rPr>
        <w:tab/>
      </w:r>
      <w:r w:rsidRPr="00A61A25">
        <w:rPr>
          <w:rFonts w:ascii="Arial" w:hAnsi="Arial" w:cs="Arial"/>
          <w:b/>
          <w:sz w:val="16"/>
          <w:szCs w:val="16"/>
        </w:rPr>
        <w:t>CÓDIGO PROCESAL CIVIL, publicado el 22 de abril de 1993</w:t>
      </w:r>
    </w:p>
    <w:p w14:paraId="06CDAE49" w14:textId="77777777" w:rsidR="00D752FA" w:rsidRPr="00A61A25" w:rsidRDefault="00D752FA" w:rsidP="00A61A25">
      <w:pPr>
        <w:ind w:firstLine="570"/>
        <w:jc w:val="both"/>
        <w:rPr>
          <w:rFonts w:ascii="Arial" w:hAnsi="Arial" w:cs="Arial"/>
          <w:sz w:val="16"/>
          <w:szCs w:val="16"/>
        </w:rPr>
      </w:pPr>
      <w:r w:rsidRPr="00A61A25">
        <w:rPr>
          <w:rFonts w:ascii="Arial" w:hAnsi="Arial" w:cs="Arial"/>
          <w:b/>
          <w:sz w:val="16"/>
          <w:szCs w:val="16"/>
        </w:rPr>
        <w:t>Artículo 612.- Características de la medida cautelar</w:t>
      </w:r>
    </w:p>
    <w:p w14:paraId="1BA3EB88" w14:textId="77777777" w:rsidR="00D752FA" w:rsidRPr="00A61A25" w:rsidRDefault="00D752FA" w:rsidP="00A61A25">
      <w:pPr>
        <w:ind w:firstLine="570"/>
        <w:jc w:val="both"/>
        <w:rPr>
          <w:rFonts w:ascii="Arial" w:hAnsi="Arial" w:cs="Arial"/>
          <w:sz w:val="16"/>
          <w:szCs w:val="16"/>
        </w:rPr>
      </w:pPr>
      <w:r w:rsidRPr="00A61A25">
        <w:rPr>
          <w:rFonts w:ascii="Arial" w:hAnsi="Arial" w:cs="Arial"/>
          <w:sz w:val="16"/>
          <w:szCs w:val="16"/>
        </w:rPr>
        <w:t>Toda medida cautelar importa un prejuzgamiento y es provisoria, instrumental y variable.</w:t>
      </w:r>
    </w:p>
  </w:footnote>
  <w:footnote w:id="14">
    <w:p w14:paraId="0E074C03" w14:textId="77777777" w:rsidR="00CA2916" w:rsidRPr="00C936FE" w:rsidRDefault="00CA2916" w:rsidP="00CA2916">
      <w:pPr>
        <w:widowControl w:val="0"/>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48FBB886" w14:textId="77777777" w:rsidR="00CA2916" w:rsidRPr="00C936FE" w:rsidRDefault="00CA2916" w:rsidP="00CA2916">
      <w:pPr>
        <w:widowControl w:val="0"/>
        <w:ind w:left="567"/>
        <w:jc w:val="both"/>
        <w:rPr>
          <w:rFonts w:ascii="Arial" w:hAnsi="Arial" w:cs="Arial"/>
          <w:sz w:val="16"/>
          <w:szCs w:val="16"/>
        </w:rPr>
      </w:pPr>
      <w:r w:rsidRPr="00C936FE">
        <w:rPr>
          <w:rFonts w:ascii="Arial" w:hAnsi="Arial" w:cs="Arial"/>
          <w:b/>
          <w:sz w:val="16"/>
          <w:szCs w:val="16"/>
        </w:rPr>
        <w:t>DISPOSICIONES COMPLEMENTARIAS MODIFICATORIAS.</w:t>
      </w:r>
    </w:p>
    <w:p w14:paraId="7BE2D7AD" w14:textId="77777777" w:rsidR="00CA2916" w:rsidRPr="00C936FE" w:rsidRDefault="00CA2916" w:rsidP="00CA2916">
      <w:pPr>
        <w:widowControl w:val="0"/>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4878F05F" w14:textId="77777777" w:rsidR="00CA2916" w:rsidRPr="00C936FE" w:rsidRDefault="00CA2916" w:rsidP="00CA2916">
      <w:pPr>
        <w:widowControl w:val="0"/>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62AA5556" w14:textId="77777777" w:rsidR="00CA2916" w:rsidRPr="00C936FE" w:rsidRDefault="00CA2916" w:rsidP="00CA2916">
      <w:pPr>
        <w:widowControl w:val="0"/>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3B98A281" w14:textId="77777777" w:rsidR="00CA2916" w:rsidRPr="00C936FE" w:rsidRDefault="00CA2916" w:rsidP="00CA2916">
      <w:pPr>
        <w:widowControl w:val="0"/>
        <w:jc w:val="both"/>
        <w:rPr>
          <w:rFonts w:ascii="Arial" w:hAnsi="Arial" w:cs="Arial"/>
          <w:sz w:val="16"/>
          <w:szCs w:val="16"/>
        </w:rPr>
      </w:pPr>
    </w:p>
  </w:footnote>
  <w:footnote w:id="15">
    <w:p w14:paraId="699EF5AB" w14:textId="77777777" w:rsidR="00CA2916" w:rsidRPr="00C936FE" w:rsidRDefault="00CA2916" w:rsidP="00CA2916">
      <w:pPr>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124393EA" w14:textId="77777777" w:rsidR="00CA2916" w:rsidRPr="00C936FE" w:rsidRDefault="00CA2916" w:rsidP="00CA2916">
      <w:pPr>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458E35F9" w14:textId="77777777" w:rsidR="00CA2916" w:rsidRPr="00C936FE" w:rsidRDefault="00CA2916" w:rsidP="00CA2916">
      <w:pPr>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7BB9739C" w14:textId="77777777" w:rsidR="00CA2916" w:rsidRPr="00C936FE" w:rsidRDefault="00CA2916" w:rsidP="00CA2916">
      <w:pPr>
        <w:ind w:left="1418" w:hanging="284"/>
        <w:jc w:val="both"/>
        <w:rPr>
          <w:rFonts w:ascii="Arial" w:hAnsi="Arial" w:cs="Arial"/>
          <w:sz w:val="16"/>
          <w:szCs w:val="16"/>
        </w:rPr>
      </w:pPr>
      <w:r w:rsidRPr="00C936FE">
        <w:rPr>
          <w:rFonts w:ascii="Arial" w:hAnsi="Arial" w:cs="Arial"/>
          <w:sz w:val="16"/>
          <w:szCs w:val="16"/>
        </w:rPr>
        <w:t>(…)</w:t>
      </w:r>
    </w:p>
    <w:p w14:paraId="149525EE" w14:textId="77777777" w:rsidR="00CA2916" w:rsidRPr="00C936FE" w:rsidRDefault="00CA2916" w:rsidP="00CA2916">
      <w:pPr>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38DCD17C" w14:textId="77777777" w:rsidR="00CA2916" w:rsidRPr="00C936FE" w:rsidRDefault="00CA2916" w:rsidP="00CA2916">
      <w:pPr>
        <w:ind w:left="1134" w:hanging="141"/>
        <w:jc w:val="both"/>
        <w:rPr>
          <w:rFonts w:ascii="Arial" w:hAnsi="Arial" w:cs="Arial"/>
          <w:sz w:val="16"/>
          <w:szCs w:val="16"/>
        </w:rPr>
      </w:pPr>
      <w:r w:rsidRPr="00C936FE">
        <w:rPr>
          <w:rFonts w:ascii="Arial" w:hAnsi="Arial" w:cs="Arial"/>
          <w:sz w:val="16"/>
          <w:szCs w:val="16"/>
        </w:rPr>
        <w:tab/>
        <w:t>(…)</w:t>
      </w:r>
    </w:p>
    <w:p w14:paraId="0A5D5A77" w14:textId="77777777" w:rsidR="00CA2916" w:rsidRPr="00C936FE" w:rsidRDefault="00CA2916" w:rsidP="00CA2916">
      <w:pPr>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3A644798" w14:textId="77777777" w:rsidR="00CA2916" w:rsidRPr="00C936FE" w:rsidRDefault="00CA2916" w:rsidP="00CA2916">
      <w:pPr>
        <w:ind w:left="1134" w:hanging="567"/>
        <w:jc w:val="both"/>
        <w:rPr>
          <w:rFonts w:ascii="Arial" w:hAnsi="Arial" w:cs="Arial"/>
          <w:sz w:val="16"/>
          <w:szCs w:val="16"/>
        </w:rPr>
      </w:pPr>
    </w:p>
  </w:footnote>
  <w:footnote w:id="16">
    <w:p w14:paraId="341B6D2F" w14:textId="77777777" w:rsidR="00CA2916" w:rsidRPr="00C936FE" w:rsidRDefault="00CA2916" w:rsidP="00CA2916">
      <w:pPr>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1B386B2F" w14:textId="77777777" w:rsidR="00CA2916" w:rsidRPr="00C936FE" w:rsidRDefault="00CA2916" w:rsidP="00CA2916">
      <w:pPr>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5E74AC02" w14:textId="77777777" w:rsidR="00CA2916" w:rsidRDefault="00CA2916" w:rsidP="00CA2916">
      <w:pPr>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0F9D" w14:textId="77777777" w:rsidR="00722B37" w:rsidRPr="008F6853" w:rsidRDefault="00722B37" w:rsidP="006D3D40">
    <w:pPr>
      <w:tabs>
        <w:tab w:val="left" w:pos="840"/>
        <w:tab w:val="right" w:pos="9355"/>
      </w:tabs>
      <w:rPr>
        <w:rFonts w:ascii="Arial Narrow" w:hAnsi="Arial Narrow" w:cs="Arial Narrow"/>
        <w:b/>
        <w:i/>
        <w:color w:val="000000"/>
        <w:sz w:val="15"/>
        <w:szCs w:val="15"/>
      </w:rPr>
    </w:pPr>
    <w:r>
      <w:rPr>
        <w:rFonts w:ascii="Arial Narrow" w:hAnsi="Arial Narrow" w:cs="Arial Narrow"/>
        <w:b/>
        <w:i/>
        <w:color w:val="000000"/>
        <w:sz w:val="15"/>
        <w:szCs w:val="15"/>
      </w:rPr>
      <w:tab/>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3739"/>
    </w:tblGrid>
    <w:tr w:rsidR="00722B37" w:rsidRPr="00D231D5" w14:paraId="5712D106" w14:textId="77777777" w:rsidTr="006C5507">
      <w:tc>
        <w:tcPr>
          <w:tcW w:w="4530" w:type="dxa"/>
        </w:tcPr>
        <w:p w14:paraId="04AFED5B" w14:textId="77777777" w:rsidR="00722B37" w:rsidRPr="006D3D40" w:rsidRDefault="00722B37" w:rsidP="006D3D40">
          <w:pPr>
            <w:tabs>
              <w:tab w:val="center" w:pos="4419"/>
              <w:tab w:val="right" w:pos="8838"/>
            </w:tabs>
            <w:jc w:val="both"/>
            <w:rPr>
              <w:rFonts w:ascii="Arial Narrow" w:eastAsia="Arial Narrow" w:hAnsi="Arial Narrow" w:cs="Arial Narrow"/>
              <w:b/>
              <w:i/>
              <w:sz w:val="15"/>
              <w:szCs w:val="15"/>
            </w:rPr>
          </w:pPr>
          <w:r w:rsidRPr="006D3D40">
            <w:rPr>
              <w:rFonts w:ascii="Arial" w:eastAsia="Arial" w:hAnsi="Arial" w:cs="Arial"/>
              <w:noProof/>
              <w:sz w:val="22"/>
              <w:szCs w:val="22"/>
            </w:rPr>
            <w:drawing>
              <wp:inline distT="0" distB="0" distL="0" distR="0" wp14:anchorId="07E9A767" wp14:editId="29C7D430">
                <wp:extent cx="3429000" cy="520700"/>
                <wp:effectExtent l="0" t="0" r="0" b="0"/>
                <wp:docPr id="38" name="Imagen 38"/>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20700"/>
                        </a:xfrm>
                        <a:prstGeom prst="rect">
                          <a:avLst/>
                        </a:prstGeom>
                        <a:noFill/>
                        <a:ln>
                          <a:noFill/>
                        </a:ln>
                      </pic:spPr>
                    </pic:pic>
                  </a:graphicData>
                </a:graphic>
              </wp:inline>
            </w:drawing>
          </w:r>
        </w:p>
      </w:tc>
      <w:tc>
        <w:tcPr>
          <w:tcW w:w="4530" w:type="dxa"/>
        </w:tcPr>
        <w:p w14:paraId="6C315E26" w14:textId="77777777" w:rsidR="00722B37" w:rsidRPr="006D3D40" w:rsidRDefault="00722B37" w:rsidP="006D3D40">
          <w:pPr>
            <w:tabs>
              <w:tab w:val="center" w:pos="4419"/>
              <w:tab w:val="right" w:pos="8838"/>
            </w:tabs>
            <w:jc w:val="right"/>
            <w:rPr>
              <w:rFonts w:ascii="Arial" w:eastAsia="Arial" w:hAnsi="Arial" w:cs="Arial"/>
              <w:sz w:val="15"/>
              <w:szCs w:val="15"/>
            </w:rPr>
          </w:pPr>
          <w:r w:rsidRPr="006D3D40">
            <w:rPr>
              <w:rFonts w:ascii="Arial Narrow" w:eastAsia="Arial Narrow" w:hAnsi="Arial Narrow" w:cs="Arial Narrow"/>
              <w:b/>
              <w:i/>
              <w:sz w:val="15"/>
              <w:szCs w:val="15"/>
            </w:rPr>
            <w:t xml:space="preserve">COMISIÓN DE PROTECCIÓN AL CONSUMIDOR </w:t>
          </w:r>
          <w:proofErr w:type="spellStart"/>
          <w:r w:rsidRPr="006D3D40">
            <w:rPr>
              <w:rFonts w:ascii="Arial Narrow" w:eastAsia="Arial Narrow" w:hAnsi="Arial Narrow" w:cs="Arial Narrow"/>
              <w:b/>
              <w:i/>
              <w:sz w:val="15"/>
              <w:szCs w:val="15"/>
            </w:rPr>
            <w:t>Nº</w:t>
          </w:r>
          <w:proofErr w:type="spellEnd"/>
          <w:r w:rsidRPr="006D3D40">
            <w:rPr>
              <w:rFonts w:ascii="Arial Narrow" w:eastAsia="Arial Narrow" w:hAnsi="Arial Narrow" w:cs="Arial Narrow"/>
              <w:b/>
              <w:i/>
              <w:sz w:val="15"/>
              <w:szCs w:val="15"/>
            </w:rPr>
            <w:t xml:space="preserve"> 1</w:t>
          </w:r>
        </w:p>
        <w:p w14:paraId="3CF5CA72" w14:textId="77777777" w:rsidR="00722B37" w:rsidRPr="00D231D5" w:rsidRDefault="00722B37" w:rsidP="006D3D40">
          <w:pPr>
            <w:jc w:val="right"/>
            <w:rPr>
              <w:rFonts w:ascii="Arial" w:eastAsia="Arial" w:hAnsi="Arial" w:cs="Arial"/>
              <w:sz w:val="15"/>
              <w:szCs w:val="15"/>
              <w:lang w:val="pt-PT"/>
            </w:rPr>
          </w:pPr>
          <w:r w:rsidRPr="00D231D5">
            <w:rPr>
              <w:rFonts w:ascii="Arial Narrow" w:eastAsia="Arial Narrow" w:hAnsi="Arial Narrow" w:cs="Arial Narrow"/>
              <w:b/>
              <w:i/>
              <w:sz w:val="15"/>
              <w:szCs w:val="15"/>
              <w:lang w:val="pt-PT"/>
            </w:rPr>
            <w:t>SEDE CENTRAL</w:t>
          </w:r>
        </w:p>
        <w:p w14:paraId="3C644DF5" w14:textId="77777777" w:rsidR="00722B37" w:rsidRPr="00D231D5" w:rsidRDefault="00722B37" w:rsidP="006D3D40">
          <w:pPr>
            <w:rPr>
              <w:rFonts w:ascii="Arial" w:eastAsia="Arial" w:hAnsi="Arial" w:cs="Arial"/>
              <w:sz w:val="15"/>
              <w:szCs w:val="15"/>
              <w:lang w:val="pt-PT"/>
            </w:rPr>
          </w:pPr>
        </w:p>
        <w:p w14:paraId="6F0F81F9" w14:textId="1B507820" w:rsidR="00722B37" w:rsidRPr="00D231D5" w:rsidRDefault="00722B37" w:rsidP="006D3D40">
          <w:pPr>
            <w:jc w:val="right"/>
            <w:rPr>
              <w:rFonts w:ascii="Arial" w:eastAsia="Arial" w:hAnsi="Arial" w:cs="Arial"/>
              <w:sz w:val="15"/>
              <w:szCs w:val="15"/>
              <w:lang w:val="pt-PT"/>
            </w:rPr>
          </w:pPr>
          <w:r w:rsidRPr="00D231D5">
            <w:rPr>
              <w:rFonts w:ascii="Arial Narrow" w:eastAsia="Arial Narrow" w:hAnsi="Arial Narrow" w:cs="Arial Narrow"/>
              <w:b/>
              <w:i/>
              <w:sz w:val="15"/>
              <w:szCs w:val="15"/>
              <w:lang w:val="pt-PT"/>
            </w:rPr>
            <w:t xml:space="preserve">EXPEDIENTE N° </w:t>
          </w:r>
          <w:r w:rsidR="00D231D5" w:rsidRPr="00D231D5">
            <w:rPr>
              <w:rFonts w:ascii="Arial Narrow" w:eastAsia="Arial Narrow" w:hAnsi="Arial Narrow" w:cs="Arial Narrow"/>
              <w:b/>
              <w:i/>
              <w:sz w:val="15"/>
              <w:szCs w:val="15"/>
              <w:lang w:val="pt-PT"/>
            </w:rPr>
            <w:t>226</w:t>
          </w:r>
          <w:r w:rsidR="00D231D5">
            <w:rPr>
              <w:rFonts w:ascii="Arial Narrow" w:eastAsia="Arial Narrow" w:hAnsi="Arial Narrow" w:cs="Arial Narrow"/>
              <w:b/>
              <w:i/>
              <w:sz w:val="15"/>
              <w:szCs w:val="15"/>
              <w:lang w:val="pt-PT"/>
            </w:rPr>
            <w:t>6</w:t>
          </w:r>
          <w:r w:rsidR="00D231D5" w:rsidRPr="00D231D5">
            <w:rPr>
              <w:rFonts w:ascii="Arial Narrow" w:eastAsia="Arial Narrow" w:hAnsi="Arial Narrow" w:cs="Arial Narrow"/>
              <w:b/>
              <w:i/>
              <w:sz w:val="15"/>
              <w:szCs w:val="15"/>
              <w:lang w:val="pt-PT"/>
            </w:rPr>
            <w:t>-2026/CC1</w:t>
          </w:r>
        </w:p>
        <w:p w14:paraId="40FA22B8" w14:textId="77777777" w:rsidR="00722B37" w:rsidRPr="00D231D5" w:rsidRDefault="00722B37" w:rsidP="006D3D40">
          <w:pPr>
            <w:tabs>
              <w:tab w:val="center" w:pos="4419"/>
              <w:tab w:val="right" w:pos="8838"/>
            </w:tabs>
            <w:jc w:val="right"/>
            <w:rPr>
              <w:rFonts w:ascii="Arial Narrow" w:eastAsia="Arial Narrow" w:hAnsi="Arial Narrow" w:cs="Arial Narrow"/>
              <w:b/>
              <w:i/>
              <w:sz w:val="15"/>
              <w:szCs w:val="15"/>
              <w:lang w:val="pt-PT"/>
            </w:rPr>
          </w:pPr>
        </w:p>
      </w:tc>
    </w:tr>
  </w:tbl>
  <w:p w14:paraId="09E8F21E" w14:textId="46940C9B" w:rsidR="00722B37" w:rsidRPr="00D231D5" w:rsidRDefault="00722B37" w:rsidP="006D3D40">
    <w:pPr>
      <w:tabs>
        <w:tab w:val="left" w:pos="840"/>
        <w:tab w:val="right" w:pos="9355"/>
      </w:tabs>
      <w:rPr>
        <w:rFonts w:ascii="Arial Narrow" w:hAnsi="Arial Narrow" w:cs="Arial Narrow"/>
        <w:b/>
        <w:i/>
        <w:color w:val="000000"/>
        <w:sz w:val="15"/>
        <w:szCs w:val="15"/>
        <w:lang w:val="pt-PT"/>
      </w:rPr>
    </w:pPr>
  </w:p>
  <w:p w14:paraId="38B461D6" w14:textId="77777777" w:rsidR="00722B37" w:rsidRPr="00D231D5" w:rsidRDefault="00722B37" w:rsidP="006D3D40">
    <w:pPr>
      <w:tabs>
        <w:tab w:val="left" w:pos="840"/>
        <w:tab w:val="right" w:pos="9355"/>
      </w:tabs>
      <w:rPr>
        <w:rFonts w:ascii="Arial Narrow" w:hAnsi="Arial Narrow" w:cs="Arial Narrow"/>
        <w:b/>
        <w:i/>
        <w:color w:val="000000"/>
        <w:sz w:val="15"/>
        <w:szCs w:val="15"/>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4255"/>
    <w:multiLevelType w:val="hybridMultilevel"/>
    <w:tmpl w:val="FBFA40AC"/>
    <w:lvl w:ilvl="0" w:tplc="243A1774">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09AE0078"/>
    <w:multiLevelType w:val="hybridMultilevel"/>
    <w:tmpl w:val="27B6E568"/>
    <w:lvl w:ilvl="0" w:tplc="C21405EA">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EB61452"/>
    <w:multiLevelType w:val="multilevel"/>
    <w:tmpl w:val="CA220BAA"/>
    <w:lvl w:ilvl="0">
      <w:start w:val="1"/>
      <w:numFmt w:val="lowerRoman"/>
      <w:lvlText w:val="(%1)"/>
      <w:lvlJc w:val="left"/>
      <w:pPr>
        <w:ind w:left="1080" w:firstLine="2520"/>
      </w:pPr>
      <w:rPr>
        <w:rFonts w:hint="default"/>
        <w:vertAlign w:val="baseline"/>
      </w:rPr>
    </w:lvl>
    <w:lvl w:ilvl="1">
      <w:start w:val="2"/>
      <w:numFmt w:val="lowerLetter"/>
      <w:lvlText w:val="%2)"/>
      <w:lvlJc w:val="left"/>
      <w:pPr>
        <w:ind w:left="-982" w:firstLine="3960"/>
      </w:pPr>
      <w:rPr>
        <w:rFonts w:ascii="Arial" w:eastAsia="Arial" w:hAnsi="Arial" w:cs="Arial" w:hint="default"/>
        <w:i/>
        <w:sz w:val="20"/>
        <w:szCs w:val="20"/>
        <w:vertAlign w:val="baseline"/>
      </w:rPr>
    </w:lvl>
    <w:lvl w:ilvl="2">
      <w:start w:val="1"/>
      <w:numFmt w:val="lowerRoman"/>
      <w:lvlText w:val="%3."/>
      <w:lvlJc w:val="right"/>
      <w:pPr>
        <w:ind w:left="2160" w:firstLine="6300"/>
      </w:pPr>
      <w:rPr>
        <w:rFonts w:hint="default"/>
        <w:vertAlign w:val="baseline"/>
      </w:rPr>
    </w:lvl>
    <w:lvl w:ilvl="3">
      <w:start w:val="1"/>
      <w:numFmt w:val="decimal"/>
      <w:lvlText w:val="%4."/>
      <w:lvlJc w:val="left"/>
      <w:pPr>
        <w:ind w:left="2880" w:firstLine="8280"/>
      </w:pPr>
      <w:rPr>
        <w:rFonts w:hint="default"/>
        <w:vertAlign w:val="baseline"/>
      </w:rPr>
    </w:lvl>
    <w:lvl w:ilvl="4">
      <w:start w:val="1"/>
      <w:numFmt w:val="lowerLetter"/>
      <w:lvlText w:val="%5."/>
      <w:lvlJc w:val="left"/>
      <w:pPr>
        <w:ind w:left="3600" w:firstLine="10440"/>
      </w:pPr>
      <w:rPr>
        <w:rFonts w:hint="default"/>
        <w:vertAlign w:val="baseline"/>
      </w:rPr>
    </w:lvl>
    <w:lvl w:ilvl="5">
      <w:start w:val="1"/>
      <w:numFmt w:val="lowerRoman"/>
      <w:lvlText w:val="%6."/>
      <w:lvlJc w:val="right"/>
      <w:pPr>
        <w:ind w:left="4320" w:firstLine="12780"/>
      </w:pPr>
      <w:rPr>
        <w:rFonts w:hint="default"/>
        <w:vertAlign w:val="baseline"/>
      </w:rPr>
    </w:lvl>
    <w:lvl w:ilvl="6">
      <w:start w:val="1"/>
      <w:numFmt w:val="decimal"/>
      <w:lvlText w:val="%7."/>
      <w:lvlJc w:val="left"/>
      <w:pPr>
        <w:ind w:left="5040" w:firstLine="14760"/>
      </w:pPr>
      <w:rPr>
        <w:rFonts w:hint="default"/>
        <w:vertAlign w:val="baseline"/>
      </w:rPr>
    </w:lvl>
    <w:lvl w:ilvl="7">
      <w:start w:val="1"/>
      <w:numFmt w:val="lowerLetter"/>
      <w:lvlText w:val="%8."/>
      <w:lvlJc w:val="left"/>
      <w:pPr>
        <w:ind w:left="5760" w:firstLine="16920"/>
      </w:pPr>
      <w:rPr>
        <w:rFonts w:hint="default"/>
        <w:vertAlign w:val="baseline"/>
      </w:rPr>
    </w:lvl>
    <w:lvl w:ilvl="8">
      <w:start w:val="1"/>
      <w:numFmt w:val="lowerRoman"/>
      <w:lvlText w:val="%9."/>
      <w:lvlJc w:val="right"/>
      <w:pPr>
        <w:ind w:left="6480" w:firstLine="19260"/>
      </w:pPr>
      <w:rPr>
        <w:rFonts w:hint="default"/>
        <w:vertAlign w:val="baseline"/>
      </w:rPr>
    </w:lvl>
  </w:abstractNum>
  <w:abstractNum w:abstractNumId="3" w15:restartNumberingAfterBreak="0">
    <w:nsid w:val="0F4631C3"/>
    <w:multiLevelType w:val="hybridMultilevel"/>
    <w:tmpl w:val="EBFE1716"/>
    <w:lvl w:ilvl="0" w:tplc="264CA79A">
      <w:start w:val="1"/>
      <w:numFmt w:val="lowerLetter"/>
      <w:lvlText w:val="%1."/>
      <w:lvlJc w:val="left"/>
      <w:pPr>
        <w:tabs>
          <w:tab w:val="num" w:pos="644"/>
        </w:tabs>
        <w:ind w:left="644" w:hanging="360"/>
      </w:pPr>
      <w:rPr>
        <w:rFonts w:hint="default"/>
      </w:rPr>
    </w:lvl>
    <w:lvl w:ilvl="1" w:tplc="147069A0">
      <w:start w:val="1"/>
      <w:numFmt w:val="lowerRoman"/>
      <w:lvlText w:val="(%2)"/>
      <w:lvlJc w:val="left"/>
      <w:pPr>
        <w:tabs>
          <w:tab w:val="num" w:pos="1724"/>
        </w:tabs>
        <w:ind w:left="1724" w:hanging="720"/>
      </w:pPr>
      <w:rPr>
        <w:rFonts w:hint="default"/>
      </w:rPr>
    </w:lvl>
    <w:lvl w:ilvl="2" w:tplc="0C0A001B">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4" w15:restartNumberingAfterBreak="0">
    <w:nsid w:val="126C7C79"/>
    <w:multiLevelType w:val="hybridMultilevel"/>
    <w:tmpl w:val="31EA55EC"/>
    <w:lvl w:ilvl="0" w:tplc="280A0017">
      <w:start w:val="1"/>
      <w:numFmt w:val="lowerLetter"/>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 w15:restartNumberingAfterBreak="0">
    <w:nsid w:val="1A1F4D98"/>
    <w:multiLevelType w:val="multilevel"/>
    <w:tmpl w:val="61F6AAD8"/>
    <w:lvl w:ilvl="0">
      <w:start w:val="1"/>
      <w:numFmt w:val="decimal"/>
      <w:lvlText w:val="%1."/>
      <w:lvlJc w:val="left"/>
      <w:pPr>
        <w:ind w:left="786" w:firstLine="425"/>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737" w:firstLine="540"/>
      </w:pPr>
      <w:rPr>
        <w:i w:val="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7" w15:restartNumberingAfterBreak="0">
    <w:nsid w:val="20E07531"/>
    <w:multiLevelType w:val="hybridMultilevel"/>
    <w:tmpl w:val="F02C498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6D06DC"/>
    <w:multiLevelType w:val="hybridMultilevel"/>
    <w:tmpl w:val="1C8A4B66"/>
    <w:lvl w:ilvl="0" w:tplc="C21405EA">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1FCC5462">
      <w:start w:val="1"/>
      <w:numFmt w:val="lowerLetter"/>
      <w:lvlText w:val="(%3)"/>
      <w:lvlJc w:val="left"/>
      <w:pPr>
        <w:ind w:left="2340" w:hanging="360"/>
      </w:pPr>
      <w:rPr>
        <w:rFonts w:hint="default"/>
        <w:u w:val="none"/>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95F67A6"/>
    <w:multiLevelType w:val="hybridMultilevel"/>
    <w:tmpl w:val="31EA55EC"/>
    <w:lvl w:ilvl="0" w:tplc="280A0017">
      <w:start w:val="1"/>
      <w:numFmt w:val="lowerLetter"/>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0" w15:restartNumberingAfterBreak="0">
    <w:nsid w:val="2CE767C8"/>
    <w:multiLevelType w:val="hybridMultilevel"/>
    <w:tmpl w:val="789C9F7E"/>
    <w:lvl w:ilvl="0" w:tplc="0BE4888A">
      <w:start w:val="1"/>
      <w:numFmt w:val="upperRoman"/>
      <w:lvlText w:val="%1."/>
      <w:lvlJc w:val="left"/>
      <w:pPr>
        <w:ind w:left="1080" w:firstLine="360"/>
      </w:pPr>
    </w:lvl>
    <w:lvl w:ilvl="1" w:tplc="A282D414">
      <w:start w:val="1"/>
      <w:numFmt w:val="decimal"/>
      <w:lvlText w:val="%2."/>
      <w:lvlJc w:val="left"/>
      <w:pPr>
        <w:ind w:left="1440" w:firstLine="1080"/>
      </w:pPr>
    </w:lvl>
    <w:lvl w:ilvl="2" w:tplc="A772634E">
      <w:start w:val="1"/>
      <w:numFmt w:val="lowerRoman"/>
      <w:lvlText w:val="(%3)"/>
      <w:lvlJc w:val="left"/>
      <w:pPr>
        <w:ind w:left="2700" w:firstLine="1980"/>
      </w:pPr>
    </w:lvl>
    <w:lvl w:ilvl="3" w:tplc="3E9AF1F8">
      <w:start w:val="1"/>
      <w:numFmt w:val="lowerRoman"/>
      <w:lvlText w:val="(%4)"/>
      <w:lvlJc w:val="left"/>
      <w:pPr>
        <w:ind w:left="2880" w:firstLine="2520"/>
      </w:pPr>
    </w:lvl>
    <w:lvl w:ilvl="4" w:tplc="750EF938">
      <w:start w:val="1"/>
      <w:numFmt w:val="lowerLetter"/>
      <w:lvlText w:val="%5."/>
      <w:lvlJc w:val="left"/>
      <w:pPr>
        <w:ind w:left="3600" w:firstLine="3240"/>
      </w:pPr>
    </w:lvl>
    <w:lvl w:ilvl="5" w:tplc="82FED3B2">
      <w:start w:val="1"/>
      <w:numFmt w:val="lowerRoman"/>
      <w:lvlText w:val="%6."/>
      <w:lvlJc w:val="right"/>
      <w:pPr>
        <w:ind w:left="4320" w:firstLine="4140"/>
      </w:pPr>
    </w:lvl>
    <w:lvl w:ilvl="6" w:tplc="CE4CAF78">
      <w:start w:val="1"/>
      <w:numFmt w:val="decimal"/>
      <w:lvlText w:val="%7."/>
      <w:lvlJc w:val="left"/>
      <w:pPr>
        <w:ind w:left="5040" w:firstLine="4680"/>
      </w:pPr>
    </w:lvl>
    <w:lvl w:ilvl="7" w:tplc="07A47BBC">
      <w:start w:val="1"/>
      <w:numFmt w:val="lowerLetter"/>
      <w:lvlText w:val="%8."/>
      <w:lvlJc w:val="left"/>
      <w:pPr>
        <w:ind w:left="5760" w:firstLine="5400"/>
      </w:pPr>
    </w:lvl>
    <w:lvl w:ilvl="8" w:tplc="3C026DCC">
      <w:start w:val="1"/>
      <w:numFmt w:val="lowerRoman"/>
      <w:lvlText w:val="%9."/>
      <w:lvlJc w:val="right"/>
      <w:pPr>
        <w:ind w:left="6480" w:firstLine="6300"/>
      </w:pPr>
    </w:lvl>
  </w:abstractNum>
  <w:abstractNum w:abstractNumId="11"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13" w15:restartNumberingAfterBreak="0">
    <w:nsid w:val="32BF05D0"/>
    <w:multiLevelType w:val="hybridMultilevel"/>
    <w:tmpl w:val="1EE80664"/>
    <w:lvl w:ilvl="0" w:tplc="4D3084F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3F61D2A"/>
    <w:multiLevelType w:val="hybridMultilevel"/>
    <w:tmpl w:val="04743700"/>
    <w:lvl w:ilvl="0" w:tplc="B30EA08C">
      <w:start w:val="1"/>
      <w:numFmt w:val="lowerRoman"/>
      <w:lvlText w:val="(%1)"/>
      <w:lvlJc w:val="left"/>
      <w:pPr>
        <w:ind w:left="1080" w:firstLine="360"/>
      </w:pPr>
    </w:lvl>
    <w:lvl w:ilvl="1" w:tplc="840E94E2">
      <w:start w:val="1"/>
      <w:numFmt w:val="lowerLetter"/>
      <w:lvlText w:val="%2."/>
      <w:lvlJc w:val="left"/>
      <w:pPr>
        <w:ind w:left="1440" w:firstLine="1080"/>
      </w:pPr>
    </w:lvl>
    <w:lvl w:ilvl="2" w:tplc="4C7A4B74">
      <w:start w:val="1"/>
      <w:numFmt w:val="lowerRoman"/>
      <w:lvlText w:val="%3."/>
      <w:lvlJc w:val="right"/>
      <w:pPr>
        <w:ind w:left="2160" w:firstLine="1980"/>
      </w:pPr>
    </w:lvl>
    <w:lvl w:ilvl="3" w:tplc="259C37FA">
      <w:start w:val="1"/>
      <w:numFmt w:val="decimal"/>
      <w:lvlText w:val="%4."/>
      <w:lvlJc w:val="left"/>
      <w:pPr>
        <w:ind w:left="2880" w:firstLine="2520"/>
      </w:pPr>
    </w:lvl>
    <w:lvl w:ilvl="4" w:tplc="C06C9BE6">
      <w:start w:val="1"/>
      <w:numFmt w:val="lowerLetter"/>
      <w:lvlText w:val="%5."/>
      <w:lvlJc w:val="left"/>
      <w:pPr>
        <w:ind w:left="3600" w:firstLine="3240"/>
      </w:pPr>
    </w:lvl>
    <w:lvl w:ilvl="5" w:tplc="5A9682CE">
      <w:start w:val="1"/>
      <w:numFmt w:val="lowerRoman"/>
      <w:lvlText w:val="%6."/>
      <w:lvlJc w:val="right"/>
      <w:pPr>
        <w:ind w:left="4320" w:firstLine="4140"/>
      </w:pPr>
    </w:lvl>
    <w:lvl w:ilvl="6" w:tplc="9B62809C">
      <w:start w:val="1"/>
      <w:numFmt w:val="decimal"/>
      <w:lvlText w:val="%7."/>
      <w:lvlJc w:val="left"/>
      <w:pPr>
        <w:ind w:left="5040" w:firstLine="4680"/>
      </w:pPr>
    </w:lvl>
    <w:lvl w:ilvl="7" w:tplc="40488F8C">
      <w:start w:val="1"/>
      <w:numFmt w:val="lowerLetter"/>
      <w:lvlText w:val="%8."/>
      <w:lvlJc w:val="left"/>
      <w:pPr>
        <w:ind w:left="5760" w:firstLine="5400"/>
      </w:pPr>
    </w:lvl>
    <w:lvl w:ilvl="8" w:tplc="6666CFA6">
      <w:start w:val="1"/>
      <w:numFmt w:val="lowerRoman"/>
      <w:lvlText w:val="%9."/>
      <w:lvlJc w:val="right"/>
      <w:pPr>
        <w:ind w:left="6480" w:firstLine="6300"/>
      </w:pPr>
    </w:lvl>
  </w:abstractNum>
  <w:abstractNum w:abstractNumId="15" w15:restartNumberingAfterBreak="0">
    <w:nsid w:val="37B83CAF"/>
    <w:multiLevelType w:val="hybridMultilevel"/>
    <w:tmpl w:val="CF741E86"/>
    <w:lvl w:ilvl="0" w:tplc="702846B4">
      <w:start w:val="1"/>
      <w:numFmt w:val="upperRoman"/>
      <w:lvlText w:val="%1."/>
      <w:lvlJc w:val="left"/>
      <w:pPr>
        <w:tabs>
          <w:tab w:val="num" w:pos="1080"/>
        </w:tabs>
        <w:ind w:left="1080" w:hanging="720"/>
      </w:pPr>
    </w:lvl>
    <w:lvl w:ilvl="1" w:tplc="B656AC62">
      <w:start w:val="1"/>
      <w:numFmt w:val="decimal"/>
      <w:lvlText w:val="%2."/>
      <w:lvlJc w:val="left"/>
      <w:pPr>
        <w:tabs>
          <w:tab w:val="num" w:pos="1440"/>
        </w:tabs>
        <w:ind w:left="1440" w:hanging="360"/>
      </w:p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6" w15:restartNumberingAfterBreak="0">
    <w:nsid w:val="3DDD074B"/>
    <w:multiLevelType w:val="hybridMultilevel"/>
    <w:tmpl w:val="4AD2B2B2"/>
    <w:lvl w:ilvl="0" w:tplc="258CCE92">
      <w:start w:val="1"/>
      <w:numFmt w:val="lowerRoman"/>
      <w:lvlText w:val="(%1)"/>
      <w:lvlJc w:val="left"/>
      <w:pPr>
        <w:ind w:left="1287" w:hanging="720"/>
      </w:pPr>
      <w:rPr>
        <w:rFonts w:hint="default"/>
      </w:rPr>
    </w:lvl>
    <w:lvl w:ilvl="1" w:tplc="280A0019">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7" w15:restartNumberingAfterBreak="0">
    <w:nsid w:val="3F12653F"/>
    <w:multiLevelType w:val="hybridMultilevel"/>
    <w:tmpl w:val="31EA55EC"/>
    <w:lvl w:ilvl="0" w:tplc="280A0017">
      <w:start w:val="1"/>
      <w:numFmt w:val="lowerLetter"/>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8" w15:restartNumberingAfterBreak="0">
    <w:nsid w:val="41A930C1"/>
    <w:multiLevelType w:val="hybridMultilevel"/>
    <w:tmpl w:val="3CBC7A8E"/>
    <w:lvl w:ilvl="0" w:tplc="A772634E">
      <w:start w:val="1"/>
      <w:numFmt w:val="lowerRoman"/>
      <w:lvlText w:val="(%1)"/>
      <w:lvlJc w:val="left"/>
      <w:pPr>
        <w:ind w:left="2700" w:firstLine="198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84B203F"/>
    <w:multiLevelType w:val="hybridMultilevel"/>
    <w:tmpl w:val="3FD2CD24"/>
    <w:lvl w:ilvl="0" w:tplc="007A8BF0">
      <w:start w:val="1"/>
      <w:numFmt w:val="lowerRoman"/>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0" w15:restartNumberingAfterBreak="0">
    <w:nsid w:val="4D987B8B"/>
    <w:multiLevelType w:val="hybridMultilevel"/>
    <w:tmpl w:val="3CC25440"/>
    <w:lvl w:ilvl="0" w:tplc="9962C4C4">
      <w:start w:val="1"/>
      <w:numFmt w:val="lowerLetter"/>
      <w:lvlText w:val="(%1)"/>
      <w:lvlJc w:val="left"/>
      <w:pPr>
        <w:ind w:left="1440" w:hanging="360"/>
      </w:pPr>
      <w:rPr>
        <w:rFonts w:hint="default"/>
      </w:r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1" w15:restartNumberingAfterBreak="0">
    <w:nsid w:val="4F29173D"/>
    <w:multiLevelType w:val="hybridMultilevel"/>
    <w:tmpl w:val="433808C0"/>
    <w:lvl w:ilvl="0" w:tplc="CA9EC162">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FE43537"/>
    <w:multiLevelType w:val="hybridMultilevel"/>
    <w:tmpl w:val="10EC8C0C"/>
    <w:lvl w:ilvl="0" w:tplc="3794700C">
      <w:start w:val="1"/>
      <w:numFmt w:val="lowerRoman"/>
      <w:lvlText w:val="(%1)"/>
      <w:lvlJc w:val="left"/>
      <w:pPr>
        <w:ind w:left="1182" w:hanging="720"/>
      </w:pPr>
      <w:rPr>
        <w:rFonts w:hint="default"/>
      </w:rPr>
    </w:lvl>
    <w:lvl w:ilvl="1" w:tplc="280A0019">
      <w:start w:val="1"/>
      <w:numFmt w:val="lowerLetter"/>
      <w:lvlText w:val="%2."/>
      <w:lvlJc w:val="left"/>
      <w:pPr>
        <w:ind w:left="1542" w:hanging="360"/>
      </w:pPr>
    </w:lvl>
    <w:lvl w:ilvl="2" w:tplc="280A001B" w:tentative="1">
      <w:start w:val="1"/>
      <w:numFmt w:val="lowerRoman"/>
      <w:lvlText w:val="%3."/>
      <w:lvlJc w:val="right"/>
      <w:pPr>
        <w:ind w:left="2262" w:hanging="180"/>
      </w:pPr>
    </w:lvl>
    <w:lvl w:ilvl="3" w:tplc="280A000F" w:tentative="1">
      <w:start w:val="1"/>
      <w:numFmt w:val="decimal"/>
      <w:lvlText w:val="%4."/>
      <w:lvlJc w:val="left"/>
      <w:pPr>
        <w:ind w:left="2982" w:hanging="360"/>
      </w:pPr>
    </w:lvl>
    <w:lvl w:ilvl="4" w:tplc="280A0019" w:tentative="1">
      <w:start w:val="1"/>
      <w:numFmt w:val="lowerLetter"/>
      <w:lvlText w:val="%5."/>
      <w:lvlJc w:val="left"/>
      <w:pPr>
        <w:ind w:left="3702" w:hanging="360"/>
      </w:pPr>
    </w:lvl>
    <w:lvl w:ilvl="5" w:tplc="280A001B" w:tentative="1">
      <w:start w:val="1"/>
      <w:numFmt w:val="lowerRoman"/>
      <w:lvlText w:val="%6."/>
      <w:lvlJc w:val="right"/>
      <w:pPr>
        <w:ind w:left="4422" w:hanging="180"/>
      </w:pPr>
    </w:lvl>
    <w:lvl w:ilvl="6" w:tplc="280A000F" w:tentative="1">
      <w:start w:val="1"/>
      <w:numFmt w:val="decimal"/>
      <w:lvlText w:val="%7."/>
      <w:lvlJc w:val="left"/>
      <w:pPr>
        <w:ind w:left="5142" w:hanging="360"/>
      </w:pPr>
    </w:lvl>
    <w:lvl w:ilvl="7" w:tplc="280A0019" w:tentative="1">
      <w:start w:val="1"/>
      <w:numFmt w:val="lowerLetter"/>
      <w:lvlText w:val="%8."/>
      <w:lvlJc w:val="left"/>
      <w:pPr>
        <w:ind w:left="5862" w:hanging="360"/>
      </w:pPr>
    </w:lvl>
    <w:lvl w:ilvl="8" w:tplc="280A001B" w:tentative="1">
      <w:start w:val="1"/>
      <w:numFmt w:val="lowerRoman"/>
      <w:lvlText w:val="%9."/>
      <w:lvlJc w:val="right"/>
      <w:pPr>
        <w:ind w:left="6582" w:hanging="180"/>
      </w:pPr>
    </w:lvl>
  </w:abstractNum>
  <w:abstractNum w:abstractNumId="23" w15:restartNumberingAfterBreak="0">
    <w:nsid w:val="50A875D7"/>
    <w:multiLevelType w:val="hybridMultilevel"/>
    <w:tmpl w:val="FA18323C"/>
    <w:lvl w:ilvl="0" w:tplc="243A1774">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54DC43DC"/>
    <w:multiLevelType w:val="hybridMultilevel"/>
    <w:tmpl w:val="684A5A18"/>
    <w:lvl w:ilvl="0" w:tplc="98EAF17E">
      <w:start w:val="1"/>
      <w:numFmt w:val="lowerRoman"/>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5" w15:restartNumberingAfterBreak="0">
    <w:nsid w:val="59CB7E8A"/>
    <w:multiLevelType w:val="hybridMultilevel"/>
    <w:tmpl w:val="6BD2BCCE"/>
    <w:lvl w:ilvl="0" w:tplc="258CCE92">
      <w:start w:val="1"/>
      <w:numFmt w:val="lowerRoman"/>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7" w15:restartNumberingAfterBreak="0">
    <w:nsid w:val="66CE3FD7"/>
    <w:multiLevelType w:val="hybridMultilevel"/>
    <w:tmpl w:val="F02C4988"/>
    <w:lvl w:ilvl="0" w:tplc="959C162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6A797DD0"/>
    <w:multiLevelType w:val="hybridMultilevel"/>
    <w:tmpl w:val="350698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6DC86E67"/>
    <w:multiLevelType w:val="hybridMultilevel"/>
    <w:tmpl w:val="F02C4988"/>
    <w:lvl w:ilvl="0" w:tplc="959C162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70460935"/>
    <w:multiLevelType w:val="multilevel"/>
    <w:tmpl w:val="A4A6FD68"/>
    <w:lvl w:ilvl="0">
      <w:start w:val="1"/>
      <w:numFmt w:val="upperRoman"/>
      <w:lvlText w:val="%1."/>
      <w:lvlJc w:val="left"/>
      <w:pPr>
        <w:ind w:left="1080" w:firstLine="1440"/>
      </w:pPr>
      <w:rPr>
        <w:b/>
      </w:rPr>
    </w:lvl>
    <w:lvl w:ilvl="1">
      <w:start w:val="1"/>
      <w:numFmt w:val="decimal"/>
      <w:lvlText w:val="%2."/>
      <w:lvlJc w:val="left"/>
      <w:pPr>
        <w:ind w:left="1440" w:firstLine="2520"/>
      </w:pPr>
      <w:rPr>
        <w:b w:val="0"/>
        <w:sz w:val="22"/>
        <w:szCs w:val="22"/>
      </w:rPr>
    </w:lvl>
    <w:lvl w:ilvl="2">
      <w:start w:val="1"/>
      <w:numFmt w:val="lowerRoman"/>
      <w:lvlText w:val="(%3)"/>
      <w:lvlJc w:val="left"/>
      <w:pPr>
        <w:ind w:left="720" w:firstLine="720"/>
      </w:pPr>
      <w:rPr>
        <w:rFonts w:ascii="Arial" w:eastAsia="Arial" w:hAnsi="Arial" w:cs="Arial"/>
        <w:color w:val="000000"/>
      </w:rPr>
    </w:lvl>
    <w:lvl w:ilvl="3">
      <w:start w:val="1"/>
      <w:numFmt w:val="decimal"/>
      <w:lvlText w:val="%4."/>
      <w:lvlJc w:val="left"/>
      <w:pPr>
        <w:ind w:left="1495" w:firstLine="2630"/>
      </w:pPr>
    </w:lvl>
    <w:lvl w:ilvl="4">
      <w:start w:val="1"/>
      <w:numFmt w:val="lowerLetter"/>
      <w:lvlText w:val="%5)"/>
      <w:lvlJc w:val="left"/>
      <w:pPr>
        <w:ind w:left="1920" w:firstLine="3480"/>
      </w:pPr>
      <w:rPr>
        <w:rFonts w:ascii="Arial" w:eastAsia="Arial" w:hAnsi="Arial" w:cs="Arial"/>
        <w:color w:val="000000"/>
      </w:r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31" w15:restartNumberingAfterBreak="0">
    <w:nsid w:val="73571106"/>
    <w:multiLevelType w:val="hybridMultilevel"/>
    <w:tmpl w:val="F02C4988"/>
    <w:lvl w:ilvl="0" w:tplc="959C162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785B1731"/>
    <w:multiLevelType w:val="hybridMultilevel"/>
    <w:tmpl w:val="F02C4988"/>
    <w:lvl w:ilvl="0" w:tplc="959C162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78F2379E"/>
    <w:multiLevelType w:val="hybridMultilevel"/>
    <w:tmpl w:val="B106D9D0"/>
    <w:lvl w:ilvl="0" w:tplc="B30EA08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7AE03B8F"/>
    <w:multiLevelType w:val="hybridMultilevel"/>
    <w:tmpl w:val="F02C4988"/>
    <w:lvl w:ilvl="0" w:tplc="959C162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B677BE3"/>
    <w:multiLevelType w:val="hybridMultilevel"/>
    <w:tmpl w:val="C81EC3AC"/>
    <w:lvl w:ilvl="0" w:tplc="FCDAD9FA">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7C0768C6"/>
    <w:multiLevelType w:val="multilevel"/>
    <w:tmpl w:val="635C2E40"/>
    <w:lvl w:ilvl="0">
      <w:start w:val="1"/>
      <w:numFmt w:val="low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7" w15:restartNumberingAfterBreak="0">
    <w:nsid w:val="7D4A6008"/>
    <w:multiLevelType w:val="hybridMultilevel"/>
    <w:tmpl w:val="910ABABC"/>
    <w:lvl w:ilvl="0" w:tplc="4C3C137A">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8" w15:restartNumberingAfterBreak="0">
    <w:nsid w:val="7DC94C11"/>
    <w:multiLevelType w:val="hybridMultilevel"/>
    <w:tmpl w:val="D8F268B2"/>
    <w:lvl w:ilvl="0" w:tplc="018E0A20">
      <w:start w:val="1"/>
      <w:numFmt w:val="lowerRoman"/>
      <w:lvlText w:val="(%1)"/>
      <w:lvlJc w:val="left"/>
      <w:pPr>
        <w:ind w:left="720" w:hanging="72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16cid:durableId="2081174288">
    <w:abstractNumId w:val="26"/>
  </w:num>
  <w:num w:numId="2" w16cid:durableId="1665401941">
    <w:abstractNumId w:val="6"/>
  </w:num>
  <w:num w:numId="3" w16cid:durableId="395589560">
    <w:abstractNumId w:val="14"/>
  </w:num>
  <w:num w:numId="4" w16cid:durableId="667908179">
    <w:abstractNumId w:val="10"/>
  </w:num>
  <w:num w:numId="5" w16cid:durableId="28227336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28144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7372905">
    <w:abstractNumId w:val="15"/>
  </w:num>
  <w:num w:numId="8" w16cid:durableId="201022739">
    <w:abstractNumId w:val="2"/>
  </w:num>
  <w:num w:numId="9" w16cid:durableId="66996735">
    <w:abstractNumId w:val="16"/>
  </w:num>
  <w:num w:numId="10" w16cid:durableId="1868526034">
    <w:abstractNumId w:val="31"/>
  </w:num>
  <w:num w:numId="11" w16cid:durableId="1976446700">
    <w:abstractNumId w:val="29"/>
  </w:num>
  <w:num w:numId="12" w16cid:durableId="1634098542">
    <w:abstractNumId w:val="8"/>
  </w:num>
  <w:num w:numId="13" w16cid:durableId="2030257302">
    <w:abstractNumId w:val="20"/>
  </w:num>
  <w:num w:numId="14" w16cid:durableId="501362423">
    <w:abstractNumId w:val="38"/>
  </w:num>
  <w:num w:numId="15" w16cid:durableId="217589276">
    <w:abstractNumId w:val="1"/>
  </w:num>
  <w:num w:numId="16" w16cid:durableId="1081099725">
    <w:abstractNumId w:val="12"/>
  </w:num>
  <w:num w:numId="17" w16cid:durableId="2101296444">
    <w:abstractNumId w:val="37"/>
  </w:num>
  <w:num w:numId="18" w16cid:durableId="615478647">
    <w:abstractNumId w:val="34"/>
  </w:num>
  <w:num w:numId="19" w16cid:durableId="949625941">
    <w:abstractNumId w:val="5"/>
  </w:num>
  <w:num w:numId="20" w16cid:durableId="1779835875">
    <w:abstractNumId w:val="36"/>
  </w:num>
  <w:num w:numId="21" w16cid:durableId="1626500631">
    <w:abstractNumId w:val="19"/>
  </w:num>
  <w:num w:numId="22" w16cid:durableId="291643800">
    <w:abstractNumId w:val="21"/>
  </w:num>
  <w:num w:numId="23" w16cid:durableId="379061535">
    <w:abstractNumId w:val="27"/>
  </w:num>
  <w:num w:numId="24" w16cid:durableId="257256351">
    <w:abstractNumId w:val="24"/>
  </w:num>
  <w:num w:numId="25" w16cid:durableId="1784303302">
    <w:abstractNumId w:val="9"/>
  </w:num>
  <w:num w:numId="26" w16cid:durableId="1404374112">
    <w:abstractNumId w:val="18"/>
  </w:num>
  <w:num w:numId="27" w16cid:durableId="1421756301">
    <w:abstractNumId w:val="13"/>
  </w:num>
  <w:num w:numId="28" w16cid:durableId="1173376098">
    <w:abstractNumId w:val="4"/>
  </w:num>
  <w:num w:numId="29" w16cid:durableId="1341397300">
    <w:abstractNumId w:val="25"/>
  </w:num>
  <w:num w:numId="30" w16cid:durableId="1680498450">
    <w:abstractNumId w:val="32"/>
  </w:num>
  <w:num w:numId="31" w16cid:durableId="735082835">
    <w:abstractNumId w:val="28"/>
  </w:num>
  <w:num w:numId="32" w16cid:durableId="837230749">
    <w:abstractNumId w:val="33"/>
  </w:num>
  <w:num w:numId="33" w16cid:durableId="1892879741">
    <w:abstractNumId w:val="0"/>
  </w:num>
  <w:num w:numId="34" w16cid:durableId="169420064">
    <w:abstractNumId w:val="23"/>
  </w:num>
  <w:num w:numId="35" w16cid:durableId="703364763">
    <w:abstractNumId w:val="35"/>
  </w:num>
  <w:num w:numId="36" w16cid:durableId="1100952668">
    <w:abstractNumId w:val="17"/>
  </w:num>
  <w:num w:numId="37" w16cid:durableId="18856734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55030164">
    <w:abstractNumId w:val="7"/>
  </w:num>
  <w:num w:numId="39" w16cid:durableId="791900350">
    <w:abstractNumId w:val="22"/>
  </w:num>
  <w:num w:numId="40" w16cid:durableId="1123578747">
    <w:abstractNumId w:val="30"/>
  </w:num>
  <w:num w:numId="41" w16cid:durableId="522668121">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FDB"/>
    <w:rsid w:val="00003C9E"/>
    <w:rsid w:val="0001048B"/>
    <w:rsid w:val="00010F83"/>
    <w:rsid w:val="000128FA"/>
    <w:rsid w:val="00020E8E"/>
    <w:rsid w:val="000212AB"/>
    <w:rsid w:val="000301FA"/>
    <w:rsid w:val="00037A7D"/>
    <w:rsid w:val="000408B2"/>
    <w:rsid w:val="00041FC4"/>
    <w:rsid w:val="00042457"/>
    <w:rsid w:val="00047C47"/>
    <w:rsid w:val="000571C3"/>
    <w:rsid w:val="0006700B"/>
    <w:rsid w:val="00071941"/>
    <w:rsid w:val="00071C11"/>
    <w:rsid w:val="0007584E"/>
    <w:rsid w:val="0008590A"/>
    <w:rsid w:val="00085FFF"/>
    <w:rsid w:val="000900BE"/>
    <w:rsid w:val="000930C3"/>
    <w:rsid w:val="000A36EF"/>
    <w:rsid w:val="000A7AA7"/>
    <w:rsid w:val="000B3363"/>
    <w:rsid w:val="000C1979"/>
    <w:rsid w:val="000C2865"/>
    <w:rsid w:val="000C5977"/>
    <w:rsid w:val="000C747A"/>
    <w:rsid w:val="000D4156"/>
    <w:rsid w:val="000E5F7A"/>
    <w:rsid w:val="000F6E24"/>
    <w:rsid w:val="001026B0"/>
    <w:rsid w:val="00106B51"/>
    <w:rsid w:val="00122006"/>
    <w:rsid w:val="001224E2"/>
    <w:rsid w:val="001238FD"/>
    <w:rsid w:val="001334B9"/>
    <w:rsid w:val="0013368E"/>
    <w:rsid w:val="00134AFA"/>
    <w:rsid w:val="00145B61"/>
    <w:rsid w:val="0015287D"/>
    <w:rsid w:val="001579C0"/>
    <w:rsid w:val="001609EB"/>
    <w:rsid w:val="0016104F"/>
    <w:rsid w:val="001619F3"/>
    <w:rsid w:val="0016783F"/>
    <w:rsid w:val="0016792E"/>
    <w:rsid w:val="001703E1"/>
    <w:rsid w:val="00175188"/>
    <w:rsid w:val="001752A8"/>
    <w:rsid w:val="00181873"/>
    <w:rsid w:val="001839A3"/>
    <w:rsid w:val="00186813"/>
    <w:rsid w:val="001959C0"/>
    <w:rsid w:val="00195EB0"/>
    <w:rsid w:val="001A188B"/>
    <w:rsid w:val="001A424E"/>
    <w:rsid w:val="001A590B"/>
    <w:rsid w:val="001B1DE8"/>
    <w:rsid w:val="001B3982"/>
    <w:rsid w:val="001B64B8"/>
    <w:rsid w:val="001B6853"/>
    <w:rsid w:val="001C0453"/>
    <w:rsid w:val="001C59E2"/>
    <w:rsid w:val="001C6BAC"/>
    <w:rsid w:val="001D4339"/>
    <w:rsid w:val="001D6530"/>
    <w:rsid w:val="001D6FDB"/>
    <w:rsid w:val="001D78D8"/>
    <w:rsid w:val="001E18CA"/>
    <w:rsid w:val="001E39F5"/>
    <w:rsid w:val="001F5BD5"/>
    <w:rsid w:val="001F5FEB"/>
    <w:rsid w:val="00205571"/>
    <w:rsid w:val="002111B4"/>
    <w:rsid w:val="00217A99"/>
    <w:rsid w:val="0022076C"/>
    <w:rsid w:val="002210E6"/>
    <w:rsid w:val="002319B8"/>
    <w:rsid w:val="002333C5"/>
    <w:rsid w:val="00235510"/>
    <w:rsid w:val="00241A45"/>
    <w:rsid w:val="0024697E"/>
    <w:rsid w:val="00281A07"/>
    <w:rsid w:val="00282E7A"/>
    <w:rsid w:val="00284986"/>
    <w:rsid w:val="002870C4"/>
    <w:rsid w:val="0029568B"/>
    <w:rsid w:val="00295A9D"/>
    <w:rsid w:val="002969E3"/>
    <w:rsid w:val="002A1E2D"/>
    <w:rsid w:val="002A4413"/>
    <w:rsid w:val="002A46CF"/>
    <w:rsid w:val="002B0AAC"/>
    <w:rsid w:val="002C1682"/>
    <w:rsid w:val="002C2160"/>
    <w:rsid w:val="002C596C"/>
    <w:rsid w:val="002C65EB"/>
    <w:rsid w:val="002D789A"/>
    <w:rsid w:val="002F158F"/>
    <w:rsid w:val="002F4135"/>
    <w:rsid w:val="002F56D1"/>
    <w:rsid w:val="003006E4"/>
    <w:rsid w:val="00300757"/>
    <w:rsid w:val="003049CA"/>
    <w:rsid w:val="003065B7"/>
    <w:rsid w:val="00311599"/>
    <w:rsid w:val="00311797"/>
    <w:rsid w:val="0031338F"/>
    <w:rsid w:val="00315447"/>
    <w:rsid w:val="00321F93"/>
    <w:rsid w:val="00325D54"/>
    <w:rsid w:val="00333349"/>
    <w:rsid w:val="00336A93"/>
    <w:rsid w:val="00341959"/>
    <w:rsid w:val="00347D66"/>
    <w:rsid w:val="003530F1"/>
    <w:rsid w:val="003607CF"/>
    <w:rsid w:val="00361B7D"/>
    <w:rsid w:val="003652AE"/>
    <w:rsid w:val="00373D9F"/>
    <w:rsid w:val="003834A9"/>
    <w:rsid w:val="00383C5A"/>
    <w:rsid w:val="00383F63"/>
    <w:rsid w:val="003840CF"/>
    <w:rsid w:val="00385594"/>
    <w:rsid w:val="00386FAD"/>
    <w:rsid w:val="003909F5"/>
    <w:rsid w:val="00392874"/>
    <w:rsid w:val="00394494"/>
    <w:rsid w:val="003965E4"/>
    <w:rsid w:val="003A580B"/>
    <w:rsid w:val="003A59A9"/>
    <w:rsid w:val="003A741B"/>
    <w:rsid w:val="003B7169"/>
    <w:rsid w:val="003B7C6F"/>
    <w:rsid w:val="003C5CD8"/>
    <w:rsid w:val="003C7E38"/>
    <w:rsid w:val="003E262B"/>
    <w:rsid w:val="003E2BF7"/>
    <w:rsid w:val="003E2C3E"/>
    <w:rsid w:val="003E4148"/>
    <w:rsid w:val="003E4F36"/>
    <w:rsid w:val="003E51CF"/>
    <w:rsid w:val="003E588C"/>
    <w:rsid w:val="003F2D4F"/>
    <w:rsid w:val="003F709C"/>
    <w:rsid w:val="0040554D"/>
    <w:rsid w:val="004064EF"/>
    <w:rsid w:val="004079CD"/>
    <w:rsid w:val="004126FC"/>
    <w:rsid w:val="0041340D"/>
    <w:rsid w:val="00413EEB"/>
    <w:rsid w:val="004206A3"/>
    <w:rsid w:val="004208B9"/>
    <w:rsid w:val="00423739"/>
    <w:rsid w:val="00424CEB"/>
    <w:rsid w:val="00426EB3"/>
    <w:rsid w:val="0043134B"/>
    <w:rsid w:val="0043246F"/>
    <w:rsid w:val="00432AC8"/>
    <w:rsid w:val="00440D3B"/>
    <w:rsid w:val="004450BB"/>
    <w:rsid w:val="00445E2B"/>
    <w:rsid w:val="00456297"/>
    <w:rsid w:val="00457E16"/>
    <w:rsid w:val="00460B14"/>
    <w:rsid w:val="00460B72"/>
    <w:rsid w:val="00461801"/>
    <w:rsid w:val="00466655"/>
    <w:rsid w:val="00467326"/>
    <w:rsid w:val="00471F7C"/>
    <w:rsid w:val="00474265"/>
    <w:rsid w:val="004853BF"/>
    <w:rsid w:val="00486313"/>
    <w:rsid w:val="004A70E7"/>
    <w:rsid w:val="004B0F42"/>
    <w:rsid w:val="004B14DA"/>
    <w:rsid w:val="004B2BAA"/>
    <w:rsid w:val="004B7DE0"/>
    <w:rsid w:val="004D0BB1"/>
    <w:rsid w:val="004D0E8A"/>
    <w:rsid w:val="004D3B0B"/>
    <w:rsid w:val="004D5905"/>
    <w:rsid w:val="004E651F"/>
    <w:rsid w:val="004F5660"/>
    <w:rsid w:val="004F686C"/>
    <w:rsid w:val="005138EA"/>
    <w:rsid w:val="005208D2"/>
    <w:rsid w:val="00521172"/>
    <w:rsid w:val="00522331"/>
    <w:rsid w:val="00525DB7"/>
    <w:rsid w:val="00527ADA"/>
    <w:rsid w:val="005333D1"/>
    <w:rsid w:val="005359BB"/>
    <w:rsid w:val="00536264"/>
    <w:rsid w:val="00536453"/>
    <w:rsid w:val="00540F3C"/>
    <w:rsid w:val="005412CD"/>
    <w:rsid w:val="005450C8"/>
    <w:rsid w:val="00545C93"/>
    <w:rsid w:val="00551F6D"/>
    <w:rsid w:val="005529CD"/>
    <w:rsid w:val="00552A6D"/>
    <w:rsid w:val="00556BA4"/>
    <w:rsid w:val="00563DC0"/>
    <w:rsid w:val="0056692A"/>
    <w:rsid w:val="00571F60"/>
    <w:rsid w:val="00580CF3"/>
    <w:rsid w:val="00582817"/>
    <w:rsid w:val="00587FCE"/>
    <w:rsid w:val="005905A1"/>
    <w:rsid w:val="00590AF9"/>
    <w:rsid w:val="00590E76"/>
    <w:rsid w:val="0059681F"/>
    <w:rsid w:val="005A18DE"/>
    <w:rsid w:val="005A34C0"/>
    <w:rsid w:val="005A42CC"/>
    <w:rsid w:val="005A5C84"/>
    <w:rsid w:val="005B2D7C"/>
    <w:rsid w:val="005B3197"/>
    <w:rsid w:val="005B3AE6"/>
    <w:rsid w:val="005C1276"/>
    <w:rsid w:val="005C18B6"/>
    <w:rsid w:val="005C265C"/>
    <w:rsid w:val="005C3550"/>
    <w:rsid w:val="005C3992"/>
    <w:rsid w:val="005C3B93"/>
    <w:rsid w:val="005D24DD"/>
    <w:rsid w:val="005D2577"/>
    <w:rsid w:val="005E52F1"/>
    <w:rsid w:val="005E7336"/>
    <w:rsid w:val="005F2CAE"/>
    <w:rsid w:val="005F75F0"/>
    <w:rsid w:val="00602A84"/>
    <w:rsid w:val="00604174"/>
    <w:rsid w:val="006058E3"/>
    <w:rsid w:val="00606AD6"/>
    <w:rsid w:val="0061167B"/>
    <w:rsid w:val="006146F3"/>
    <w:rsid w:val="00615896"/>
    <w:rsid w:val="00622F75"/>
    <w:rsid w:val="00626EBD"/>
    <w:rsid w:val="006275DC"/>
    <w:rsid w:val="006346FF"/>
    <w:rsid w:val="006352BB"/>
    <w:rsid w:val="0064131E"/>
    <w:rsid w:val="0064299F"/>
    <w:rsid w:val="00644075"/>
    <w:rsid w:val="006549CA"/>
    <w:rsid w:val="006578AD"/>
    <w:rsid w:val="00663F74"/>
    <w:rsid w:val="00664422"/>
    <w:rsid w:val="00664565"/>
    <w:rsid w:val="006651F0"/>
    <w:rsid w:val="006666E2"/>
    <w:rsid w:val="00666EBE"/>
    <w:rsid w:val="00667F6E"/>
    <w:rsid w:val="00674788"/>
    <w:rsid w:val="00685248"/>
    <w:rsid w:val="00687BB6"/>
    <w:rsid w:val="006930AC"/>
    <w:rsid w:val="00694E3A"/>
    <w:rsid w:val="006A633C"/>
    <w:rsid w:val="006B0424"/>
    <w:rsid w:val="006C20DF"/>
    <w:rsid w:val="006C42A7"/>
    <w:rsid w:val="006C5507"/>
    <w:rsid w:val="006D2048"/>
    <w:rsid w:val="006D3D40"/>
    <w:rsid w:val="006F066B"/>
    <w:rsid w:val="006F294D"/>
    <w:rsid w:val="006F567F"/>
    <w:rsid w:val="006F56B2"/>
    <w:rsid w:val="006F7B21"/>
    <w:rsid w:val="00702DCC"/>
    <w:rsid w:val="0070390D"/>
    <w:rsid w:val="00705068"/>
    <w:rsid w:val="0071399B"/>
    <w:rsid w:val="007142C7"/>
    <w:rsid w:val="007169F5"/>
    <w:rsid w:val="00722B37"/>
    <w:rsid w:val="0072405F"/>
    <w:rsid w:val="00735E1B"/>
    <w:rsid w:val="007409F7"/>
    <w:rsid w:val="00747191"/>
    <w:rsid w:val="007609D1"/>
    <w:rsid w:val="00765AC3"/>
    <w:rsid w:val="00770F0F"/>
    <w:rsid w:val="007710E3"/>
    <w:rsid w:val="00776E4C"/>
    <w:rsid w:val="00782A09"/>
    <w:rsid w:val="00784FDB"/>
    <w:rsid w:val="007857A2"/>
    <w:rsid w:val="0079462C"/>
    <w:rsid w:val="00795EF3"/>
    <w:rsid w:val="00796CC2"/>
    <w:rsid w:val="0079748B"/>
    <w:rsid w:val="007B30A5"/>
    <w:rsid w:val="007B4546"/>
    <w:rsid w:val="007B46DB"/>
    <w:rsid w:val="007B5D1E"/>
    <w:rsid w:val="007C07D4"/>
    <w:rsid w:val="007C251F"/>
    <w:rsid w:val="007C2895"/>
    <w:rsid w:val="007C6F6C"/>
    <w:rsid w:val="007C7B4A"/>
    <w:rsid w:val="007D0E49"/>
    <w:rsid w:val="007D113B"/>
    <w:rsid w:val="007D125F"/>
    <w:rsid w:val="007D248F"/>
    <w:rsid w:val="007D5903"/>
    <w:rsid w:val="007E06E8"/>
    <w:rsid w:val="007E1DF2"/>
    <w:rsid w:val="007E4864"/>
    <w:rsid w:val="007F2152"/>
    <w:rsid w:val="007F413E"/>
    <w:rsid w:val="007F7364"/>
    <w:rsid w:val="007F7ECC"/>
    <w:rsid w:val="007F7EED"/>
    <w:rsid w:val="00805A0F"/>
    <w:rsid w:val="0081054C"/>
    <w:rsid w:val="0081120C"/>
    <w:rsid w:val="00824962"/>
    <w:rsid w:val="0082555A"/>
    <w:rsid w:val="00826799"/>
    <w:rsid w:val="00835EA5"/>
    <w:rsid w:val="008367D1"/>
    <w:rsid w:val="00846B17"/>
    <w:rsid w:val="00846C4D"/>
    <w:rsid w:val="00852D76"/>
    <w:rsid w:val="00853402"/>
    <w:rsid w:val="0086104E"/>
    <w:rsid w:val="0086410C"/>
    <w:rsid w:val="00877FC8"/>
    <w:rsid w:val="0088157F"/>
    <w:rsid w:val="00881C04"/>
    <w:rsid w:val="00886496"/>
    <w:rsid w:val="008873DA"/>
    <w:rsid w:val="00891C52"/>
    <w:rsid w:val="00892F0F"/>
    <w:rsid w:val="0089438C"/>
    <w:rsid w:val="0089514A"/>
    <w:rsid w:val="008969F4"/>
    <w:rsid w:val="008A6659"/>
    <w:rsid w:val="008A6971"/>
    <w:rsid w:val="008B331B"/>
    <w:rsid w:val="008B5A83"/>
    <w:rsid w:val="008B5FDB"/>
    <w:rsid w:val="008C05CD"/>
    <w:rsid w:val="008C53D7"/>
    <w:rsid w:val="008C6468"/>
    <w:rsid w:val="008D3EC4"/>
    <w:rsid w:val="008D45D3"/>
    <w:rsid w:val="008E738D"/>
    <w:rsid w:val="00901673"/>
    <w:rsid w:val="00903315"/>
    <w:rsid w:val="0090424A"/>
    <w:rsid w:val="00904406"/>
    <w:rsid w:val="009053FD"/>
    <w:rsid w:val="00906DB8"/>
    <w:rsid w:val="00907B85"/>
    <w:rsid w:val="00907F2B"/>
    <w:rsid w:val="0091029F"/>
    <w:rsid w:val="0091641C"/>
    <w:rsid w:val="00924646"/>
    <w:rsid w:val="00927F70"/>
    <w:rsid w:val="00934CE6"/>
    <w:rsid w:val="00937584"/>
    <w:rsid w:val="00940CB7"/>
    <w:rsid w:val="00941E30"/>
    <w:rsid w:val="0094421A"/>
    <w:rsid w:val="0094499C"/>
    <w:rsid w:val="00944CBD"/>
    <w:rsid w:val="00946C9B"/>
    <w:rsid w:val="0095517D"/>
    <w:rsid w:val="00957C5B"/>
    <w:rsid w:val="00957E30"/>
    <w:rsid w:val="00961014"/>
    <w:rsid w:val="00964164"/>
    <w:rsid w:val="00965FE3"/>
    <w:rsid w:val="00982B19"/>
    <w:rsid w:val="00990B66"/>
    <w:rsid w:val="009A0E75"/>
    <w:rsid w:val="009A28D8"/>
    <w:rsid w:val="009A2FF4"/>
    <w:rsid w:val="009A3F62"/>
    <w:rsid w:val="009A6B3C"/>
    <w:rsid w:val="009B083F"/>
    <w:rsid w:val="009B3A54"/>
    <w:rsid w:val="009B4D37"/>
    <w:rsid w:val="009B51E9"/>
    <w:rsid w:val="009C1274"/>
    <w:rsid w:val="009C2BE4"/>
    <w:rsid w:val="009C3E3F"/>
    <w:rsid w:val="009D3D2A"/>
    <w:rsid w:val="009D3E94"/>
    <w:rsid w:val="009D47E3"/>
    <w:rsid w:val="009D5D49"/>
    <w:rsid w:val="009E13FF"/>
    <w:rsid w:val="009E38A2"/>
    <w:rsid w:val="009E3F69"/>
    <w:rsid w:val="009F3D6E"/>
    <w:rsid w:val="009F4453"/>
    <w:rsid w:val="00A01963"/>
    <w:rsid w:val="00A01E5C"/>
    <w:rsid w:val="00A05964"/>
    <w:rsid w:val="00A15258"/>
    <w:rsid w:val="00A1718F"/>
    <w:rsid w:val="00A367E1"/>
    <w:rsid w:val="00A40120"/>
    <w:rsid w:val="00A44C72"/>
    <w:rsid w:val="00A4789D"/>
    <w:rsid w:val="00A52D57"/>
    <w:rsid w:val="00A5578B"/>
    <w:rsid w:val="00A61A25"/>
    <w:rsid w:val="00A61F99"/>
    <w:rsid w:val="00A6415B"/>
    <w:rsid w:val="00A71ACC"/>
    <w:rsid w:val="00A739AF"/>
    <w:rsid w:val="00A74B1D"/>
    <w:rsid w:val="00A755DA"/>
    <w:rsid w:val="00A763D9"/>
    <w:rsid w:val="00A8144D"/>
    <w:rsid w:val="00A82E22"/>
    <w:rsid w:val="00A83312"/>
    <w:rsid w:val="00A84A51"/>
    <w:rsid w:val="00A85F92"/>
    <w:rsid w:val="00A87BCF"/>
    <w:rsid w:val="00A90EA9"/>
    <w:rsid w:val="00A92459"/>
    <w:rsid w:val="00A9343A"/>
    <w:rsid w:val="00AA5E24"/>
    <w:rsid w:val="00AA7E44"/>
    <w:rsid w:val="00AB53E6"/>
    <w:rsid w:val="00AB708B"/>
    <w:rsid w:val="00AC4C14"/>
    <w:rsid w:val="00AC509C"/>
    <w:rsid w:val="00AC5A78"/>
    <w:rsid w:val="00AD19F2"/>
    <w:rsid w:val="00AE3712"/>
    <w:rsid w:val="00AE4525"/>
    <w:rsid w:val="00AF1C01"/>
    <w:rsid w:val="00B02A00"/>
    <w:rsid w:val="00B07866"/>
    <w:rsid w:val="00B10D25"/>
    <w:rsid w:val="00B116C3"/>
    <w:rsid w:val="00B1294A"/>
    <w:rsid w:val="00B16299"/>
    <w:rsid w:val="00B16906"/>
    <w:rsid w:val="00B1743F"/>
    <w:rsid w:val="00B200A3"/>
    <w:rsid w:val="00B204CA"/>
    <w:rsid w:val="00B20DAA"/>
    <w:rsid w:val="00B22A73"/>
    <w:rsid w:val="00B249B1"/>
    <w:rsid w:val="00B336FC"/>
    <w:rsid w:val="00B34230"/>
    <w:rsid w:val="00B418D5"/>
    <w:rsid w:val="00B43BA8"/>
    <w:rsid w:val="00B47213"/>
    <w:rsid w:val="00B503C2"/>
    <w:rsid w:val="00B52EC6"/>
    <w:rsid w:val="00B53577"/>
    <w:rsid w:val="00B56948"/>
    <w:rsid w:val="00B612B7"/>
    <w:rsid w:val="00B64546"/>
    <w:rsid w:val="00B66766"/>
    <w:rsid w:val="00B7662B"/>
    <w:rsid w:val="00B80C60"/>
    <w:rsid w:val="00B81D20"/>
    <w:rsid w:val="00B8355D"/>
    <w:rsid w:val="00B87A96"/>
    <w:rsid w:val="00B90191"/>
    <w:rsid w:val="00B92D51"/>
    <w:rsid w:val="00BA2E19"/>
    <w:rsid w:val="00BA2EFF"/>
    <w:rsid w:val="00BA5F46"/>
    <w:rsid w:val="00BB0983"/>
    <w:rsid w:val="00BB5BB3"/>
    <w:rsid w:val="00BB5DEB"/>
    <w:rsid w:val="00BB7CB7"/>
    <w:rsid w:val="00BC50D8"/>
    <w:rsid w:val="00BC5C0F"/>
    <w:rsid w:val="00BE03C3"/>
    <w:rsid w:val="00BE0CBB"/>
    <w:rsid w:val="00BF0E4F"/>
    <w:rsid w:val="00BF1139"/>
    <w:rsid w:val="00BF21D7"/>
    <w:rsid w:val="00BF540E"/>
    <w:rsid w:val="00BF5593"/>
    <w:rsid w:val="00C075C4"/>
    <w:rsid w:val="00C07A74"/>
    <w:rsid w:val="00C103B0"/>
    <w:rsid w:val="00C13A6A"/>
    <w:rsid w:val="00C15E77"/>
    <w:rsid w:val="00C1794C"/>
    <w:rsid w:val="00C214FD"/>
    <w:rsid w:val="00C256C6"/>
    <w:rsid w:val="00C27219"/>
    <w:rsid w:val="00C30DA9"/>
    <w:rsid w:val="00C31986"/>
    <w:rsid w:val="00C43FEE"/>
    <w:rsid w:val="00C61FB1"/>
    <w:rsid w:val="00C64C11"/>
    <w:rsid w:val="00C65429"/>
    <w:rsid w:val="00C65D74"/>
    <w:rsid w:val="00C77155"/>
    <w:rsid w:val="00C7760C"/>
    <w:rsid w:val="00C80A0F"/>
    <w:rsid w:val="00C80D72"/>
    <w:rsid w:val="00C84BD1"/>
    <w:rsid w:val="00C9306D"/>
    <w:rsid w:val="00CA1743"/>
    <w:rsid w:val="00CA2916"/>
    <w:rsid w:val="00CA5C05"/>
    <w:rsid w:val="00CC055D"/>
    <w:rsid w:val="00CC0E09"/>
    <w:rsid w:val="00CC46E7"/>
    <w:rsid w:val="00CC55A0"/>
    <w:rsid w:val="00CD031F"/>
    <w:rsid w:val="00CD0A52"/>
    <w:rsid w:val="00CD1753"/>
    <w:rsid w:val="00CD1EE2"/>
    <w:rsid w:val="00CD305E"/>
    <w:rsid w:val="00CD7051"/>
    <w:rsid w:val="00CE1B4A"/>
    <w:rsid w:val="00CE23BC"/>
    <w:rsid w:val="00CE47E1"/>
    <w:rsid w:val="00CE4C05"/>
    <w:rsid w:val="00CF0829"/>
    <w:rsid w:val="00CF5080"/>
    <w:rsid w:val="00D01A78"/>
    <w:rsid w:val="00D13703"/>
    <w:rsid w:val="00D1649E"/>
    <w:rsid w:val="00D231D5"/>
    <w:rsid w:val="00D2568A"/>
    <w:rsid w:val="00D3342D"/>
    <w:rsid w:val="00D3491F"/>
    <w:rsid w:val="00D350D2"/>
    <w:rsid w:val="00D45D27"/>
    <w:rsid w:val="00D51743"/>
    <w:rsid w:val="00D56AD1"/>
    <w:rsid w:val="00D626AF"/>
    <w:rsid w:val="00D66BBF"/>
    <w:rsid w:val="00D704DB"/>
    <w:rsid w:val="00D752FA"/>
    <w:rsid w:val="00D7578A"/>
    <w:rsid w:val="00D80324"/>
    <w:rsid w:val="00D867A2"/>
    <w:rsid w:val="00D912A8"/>
    <w:rsid w:val="00D97C36"/>
    <w:rsid w:val="00DA71EA"/>
    <w:rsid w:val="00DB2F3A"/>
    <w:rsid w:val="00DC0959"/>
    <w:rsid w:val="00DC5E2E"/>
    <w:rsid w:val="00DC66E7"/>
    <w:rsid w:val="00DC6F88"/>
    <w:rsid w:val="00DD6F5D"/>
    <w:rsid w:val="00DE58F1"/>
    <w:rsid w:val="00DE7538"/>
    <w:rsid w:val="00DE78F4"/>
    <w:rsid w:val="00DF5F7C"/>
    <w:rsid w:val="00E01F86"/>
    <w:rsid w:val="00E03180"/>
    <w:rsid w:val="00E03D1D"/>
    <w:rsid w:val="00E043A1"/>
    <w:rsid w:val="00E04720"/>
    <w:rsid w:val="00E17F9C"/>
    <w:rsid w:val="00E20167"/>
    <w:rsid w:val="00E235B3"/>
    <w:rsid w:val="00E23EF5"/>
    <w:rsid w:val="00E23FCD"/>
    <w:rsid w:val="00E27865"/>
    <w:rsid w:val="00E31601"/>
    <w:rsid w:val="00E327E6"/>
    <w:rsid w:val="00E40851"/>
    <w:rsid w:val="00E40F23"/>
    <w:rsid w:val="00E45FD3"/>
    <w:rsid w:val="00E46F6B"/>
    <w:rsid w:val="00E57726"/>
    <w:rsid w:val="00E61A90"/>
    <w:rsid w:val="00E62003"/>
    <w:rsid w:val="00E6216D"/>
    <w:rsid w:val="00E622A8"/>
    <w:rsid w:val="00E65D9D"/>
    <w:rsid w:val="00E74895"/>
    <w:rsid w:val="00E858A6"/>
    <w:rsid w:val="00E86E4B"/>
    <w:rsid w:val="00E9126E"/>
    <w:rsid w:val="00EA2A46"/>
    <w:rsid w:val="00EA365E"/>
    <w:rsid w:val="00EA7710"/>
    <w:rsid w:val="00EB1E2E"/>
    <w:rsid w:val="00EB470A"/>
    <w:rsid w:val="00ED12C6"/>
    <w:rsid w:val="00ED2300"/>
    <w:rsid w:val="00ED775C"/>
    <w:rsid w:val="00EF00FA"/>
    <w:rsid w:val="00F0604A"/>
    <w:rsid w:val="00F1146F"/>
    <w:rsid w:val="00F15CB8"/>
    <w:rsid w:val="00F16ED5"/>
    <w:rsid w:val="00F21BD0"/>
    <w:rsid w:val="00F25952"/>
    <w:rsid w:val="00F27872"/>
    <w:rsid w:val="00F34A95"/>
    <w:rsid w:val="00F573F5"/>
    <w:rsid w:val="00F5772F"/>
    <w:rsid w:val="00F600FD"/>
    <w:rsid w:val="00F60EFA"/>
    <w:rsid w:val="00F61B04"/>
    <w:rsid w:val="00F62D8E"/>
    <w:rsid w:val="00F7229E"/>
    <w:rsid w:val="00F7625B"/>
    <w:rsid w:val="00F76E93"/>
    <w:rsid w:val="00F80D86"/>
    <w:rsid w:val="00F83BCB"/>
    <w:rsid w:val="00F8483B"/>
    <w:rsid w:val="00F9241D"/>
    <w:rsid w:val="00F943FC"/>
    <w:rsid w:val="00F9451E"/>
    <w:rsid w:val="00F94DA1"/>
    <w:rsid w:val="00FA74A2"/>
    <w:rsid w:val="00FB1897"/>
    <w:rsid w:val="00FC2A57"/>
    <w:rsid w:val="00FC5730"/>
    <w:rsid w:val="00FD3512"/>
    <w:rsid w:val="00FD4319"/>
    <w:rsid w:val="00FD7C49"/>
    <w:rsid w:val="00FE16E4"/>
    <w:rsid w:val="00FE37C9"/>
    <w:rsid w:val="00FE61BB"/>
    <w:rsid w:val="00FE6679"/>
    <w:rsid w:val="00FE72B6"/>
    <w:rsid w:val="00FF2D8E"/>
    <w:rsid w:val="052C9983"/>
    <w:rsid w:val="05A3FBC7"/>
    <w:rsid w:val="18CBF14C"/>
    <w:rsid w:val="1AF6F2DB"/>
    <w:rsid w:val="2F246F14"/>
    <w:rsid w:val="4316A450"/>
    <w:rsid w:val="6AA8E620"/>
    <w:rsid w:val="7BDF0B0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B1A77"/>
  <w15:chartTrackingRefBased/>
  <w15:docId w15:val="{FE3BE883-5F73-4415-B0A3-8F3CC083E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51E"/>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B5FDB"/>
    <w:pPr>
      <w:tabs>
        <w:tab w:val="center" w:pos="4419"/>
        <w:tab w:val="right" w:pos="8838"/>
      </w:tabs>
    </w:pPr>
  </w:style>
  <w:style w:type="character" w:customStyle="1" w:styleId="EncabezadoCar">
    <w:name w:val="Encabezado Car"/>
    <w:basedOn w:val="Fuentedeprrafopredeter"/>
    <w:link w:val="Encabezado"/>
    <w:uiPriority w:val="99"/>
    <w:rsid w:val="008B5FDB"/>
  </w:style>
  <w:style w:type="paragraph" w:styleId="Piedepgina">
    <w:name w:val="footer"/>
    <w:basedOn w:val="Normal"/>
    <w:link w:val="PiedepginaCar"/>
    <w:uiPriority w:val="99"/>
    <w:unhideWhenUsed/>
    <w:rsid w:val="008B5FDB"/>
    <w:pPr>
      <w:tabs>
        <w:tab w:val="center" w:pos="4419"/>
        <w:tab w:val="right" w:pos="8838"/>
      </w:tabs>
    </w:pPr>
  </w:style>
  <w:style w:type="character" w:customStyle="1" w:styleId="PiedepginaCar">
    <w:name w:val="Pie de página Car"/>
    <w:basedOn w:val="Fuentedeprrafopredeter"/>
    <w:link w:val="Piedepgina"/>
    <w:uiPriority w:val="99"/>
    <w:rsid w:val="008B5FDB"/>
  </w:style>
  <w:style w:type="paragraph" w:styleId="NormalWeb">
    <w:name w:val="Normal (Web)"/>
    <w:basedOn w:val="Normal"/>
    <w:uiPriority w:val="99"/>
    <w:unhideWhenUsed/>
    <w:rsid w:val="008B5FDB"/>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locked/>
    <w:rsid w:val="008B5FDB"/>
    <w:rPr>
      <w:rFonts w:ascii="Times New Roman" w:eastAsia="Times New Roman" w:hAnsi="Times New Roman" w:cs="Times New Roman"/>
      <w:sz w:val="20"/>
      <w:szCs w:val="20"/>
      <w:lang w:val="es-ES" w:eastAsia="es-ES"/>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B5FDB"/>
    <w:rPr>
      <w:sz w:val="20"/>
      <w:szCs w:val="20"/>
      <w:lang w:val="es-ES" w:eastAsia="es-ES"/>
    </w:rPr>
  </w:style>
  <w:style w:type="character" w:customStyle="1" w:styleId="TextonotapieCar1">
    <w:name w:val="Texto nota pie Car1"/>
    <w:basedOn w:val="Fuentedeprrafopredeter"/>
    <w:uiPriority w:val="99"/>
    <w:semiHidden/>
    <w:rsid w:val="008B5FDB"/>
    <w:rPr>
      <w:sz w:val="20"/>
      <w:szCs w:val="20"/>
    </w:rPr>
  </w:style>
  <w:style w:type="paragraph" w:customStyle="1" w:styleId="Notaapie">
    <w:name w:val="Nota a pie"/>
    <w:basedOn w:val="Textonotapie"/>
    <w:uiPriority w:val="99"/>
    <w:rsid w:val="008B5FDB"/>
    <w:pPr>
      <w:ind w:left="180"/>
      <w:jc w:val="both"/>
    </w:pPr>
    <w:rPr>
      <w:rFonts w:ascii="Arial Narrow" w:hAnsi="Arial Narrow"/>
      <w:b/>
      <w:sz w:val="16"/>
      <w:szCs w:val="16"/>
    </w:rPr>
  </w:style>
  <w:style w:type="character" w:customStyle="1" w:styleId="Refdenotaalpie1">
    <w:name w:val="Ref. de nota al pie1"/>
    <w:aliases w:val="Ref,de nota al pie,註腳內容,FC,16 Point,Superscript 6 Point,Ref.,de,nota,al,pie,Texto,Char,ftref,Referencia nota al pie,Car Car Car Car Car Car Car Car Car Car Car Car Car Car Car1,Car Car1 C,Car2 Car1,C1,Ca Ca,Car1,Car21"/>
    <w:qFormat/>
    <w:rsid w:val="008B5FDB"/>
    <w:rPr>
      <w:vertAlign w:val="superscript"/>
    </w:rPr>
  </w:style>
  <w:style w:type="character" w:customStyle="1" w:styleId="apple-tab-span">
    <w:name w:val="apple-tab-span"/>
    <w:rsid w:val="008B5FDB"/>
  </w:style>
  <w:style w:type="character" w:styleId="Refdenotaalpie">
    <w:name w:val="footnote reference"/>
    <w:aliases w:val="Texto nota pie1"/>
    <w:link w:val="Texto1"/>
    <w:uiPriority w:val="99"/>
    <w:unhideWhenUsed/>
    <w:qFormat/>
    <w:rsid w:val="008B5FDB"/>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2F158F"/>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2F158F"/>
    <w:pPr>
      <w:spacing w:after="200" w:line="276" w:lineRule="auto"/>
      <w:ind w:left="720"/>
      <w:contextualSpacing/>
    </w:pPr>
  </w:style>
  <w:style w:type="paragraph" w:styleId="Textonotaalfinal">
    <w:name w:val="endnote text"/>
    <w:basedOn w:val="Normal"/>
    <w:link w:val="TextonotaalfinalCar"/>
    <w:uiPriority w:val="99"/>
    <w:unhideWhenUsed/>
    <w:rsid w:val="00965FE3"/>
    <w:rPr>
      <w:color w:val="000000"/>
      <w:sz w:val="20"/>
      <w:szCs w:val="20"/>
    </w:rPr>
  </w:style>
  <w:style w:type="character" w:customStyle="1" w:styleId="TextonotaalfinalCar">
    <w:name w:val="Texto nota al final Car"/>
    <w:basedOn w:val="Fuentedeprrafopredeter"/>
    <w:link w:val="Textonotaalfinal"/>
    <w:uiPriority w:val="99"/>
    <w:rsid w:val="00965FE3"/>
    <w:rPr>
      <w:rFonts w:ascii="Times New Roman" w:eastAsia="Times New Roman" w:hAnsi="Times New Roman" w:cs="Times New Roman"/>
      <w:color w:val="000000"/>
      <w:sz w:val="20"/>
      <w:szCs w:val="20"/>
      <w:lang w:eastAsia="es-PE"/>
    </w:rPr>
  </w:style>
  <w:style w:type="paragraph" w:customStyle="1" w:styleId="cuerpo">
    <w:name w:val="cuerpo"/>
    <w:basedOn w:val="Normal"/>
    <w:rsid w:val="00965FE3"/>
    <w:pPr>
      <w:spacing w:before="100" w:beforeAutospacing="1" w:after="100" w:afterAutospacing="1"/>
    </w:pPr>
  </w:style>
  <w:style w:type="paragraph" w:styleId="Sinespaciado">
    <w:name w:val="No Spacing"/>
    <w:uiPriority w:val="1"/>
    <w:qFormat/>
    <w:rsid w:val="00965FE3"/>
    <w:pPr>
      <w:spacing w:after="0" w:line="240" w:lineRule="auto"/>
    </w:pPr>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965FE3"/>
    <w:rPr>
      <w:vertAlign w:val="superscript"/>
    </w:rPr>
  </w:style>
  <w:style w:type="character" w:customStyle="1" w:styleId="Ninguno">
    <w:name w:val="Ninguno"/>
    <w:autoRedefine/>
    <w:rsid w:val="003652AE"/>
  </w:style>
  <w:style w:type="paragraph" w:styleId="Revisin">
    <w:name w:val="Revision"/>
    <w:hidden/>
    <w:uiPriority w:val="99"/>
    <w:semiHidden/>
    <w:rsid w:val="00AB708B"/>
    <w:pPr>
      <w:spacing w:after="0" w:line="240" w:lineRule="auto"/>
    </w:pPr>
  </w:style>
  <w:style w:type="paragraph" w:styleId="Textodeglobo">
    <w:name w:val="Balloon Text"/>
    <w:basedOn w:val="Normal"/>
    <w:link w:val="TextodegloboCar"/>
    <w:uiPriority w:val="99"/>
    <w:semiHidden/>
    <w:unhideWhenUsed/>
    <w:rsid w:val="00AB708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B708B"/>
    <w:rPr>
      <w:rFonts w:ascii="Segoe UI" w:hAnsi="Segoe UI" w:cs="Segoe UI"/>
      <w:sz w:val="18"/>
      <w:szCs w:val="18"/>
    </w:rPr>
  </w:style>
  <w:style w:type="character" w:styleId="Refdecomentario">
    <w:name w:val="annotation reference"/>
    <w:basedOn w:val="Fuentedeprrafopredeter"/>
    <w:uiPriority w:val="99"/>
    <w:semiHidden/>
    <w:unhideWhenUsed/>
    <w:rsid w:val="00E622A8"/>
    <w:rPr>
      <w:sz w:val="16"/>
      <w:szCs w:val="16"/>
    </w:rPr>
  </w:style>
  <w:style w:type="paragraph" w:styleId="Textocomentario">
    <w:name w:val="annotation text"/>
    <w:basedOn w:val="Normal"/>
    <w:link w:val="TextocomentarioCar"/>
    <w:uiPriority w:val="99"/>
    <w:unhideWhenUsed/>
    <w:rsid w:val="00E622A8"/>
    <w:rPr>
      <w:sz w:val="20"/>
      <w:szCs w:val="20"/>
    </w:rPr>
  </w:style>
  <w:style w:type="character" w:customStyle="1" w:styleId="TextocomentarioCar">
    <w:name w:val="Texto comentario Car"/>
    <w:basedOn w:val="Fuentedeprrafopredeter"/>
    <w:link w:val="Textocomentario"/>
    <w:uiPriority w:val="99"/>
    <w:rsid w:val="00E622A8"/>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E622A8"/>
    <w:rPr>
      <w:b/>
      <w:bCs/>
    </w:rPr>
  </w:style>
  <w:style w:type="character" w:customStyle="1" w:styleId="AsuntodelcomentarioCar">
    <w:name w:val="Asunto del comentario Car"/>
    <w:basedOn w:val="TextocomentarioCar"/>
    <w:link w:val="Asuntodelcomentario"/>
    <w:uiPriority w:val="99"/>
    <w:semiHidden/>
    <w:rsid w:val="00E622A8"/>
    <w:rPr>
      <w:rFonts w:ascii="Times New Roman" w:eastAsia="Times New Roman" w:hAnsi="Times New Roman" w:cs="Times New Roman"/>
      <w:b/>
      <w:bCs/>
      <w:sz w:val="20"/>
      <w:szCs w:val="20"/>
      <w:lang w:eastAsia="es-PE"/>
    </w:rPr>
  </w:style>
  <w:style w:type="character" w:styleId="Hipervnculo">
    <w:name w:val="Hyperlink"/>
    <w:basedOn w:val="Fuentedeprrafopredeter"/>
    <w:uiPriority w:val="99"/>
    <w:unhideWhenUsed/>
    <w:rsid w:val="00085FFF"/>
    <w:rPr>
      <w:color w:val="0563C1" w:themeColor="hyperlink"/>
      <w:u w:val="single"/>
    </w:rPr>
  </w:style>
  <w:style w:type="character" w:customStyle="1" w:styleId="Mencinsinresolver1">
    <w:name w:val="Mención sin resolver1"/>
    <w:basedOn w:val="Fuentedeprrafopredeter"/>
    <w:uiPriority w:val="99"/>
    <w:semiHidden/>
    <w:unhideWhenUsed/>
    <w:rsid w:val="00085FFF"/>
    <w:rPr>
      <w:color w:val="605E5C"/>
      <w:shd w:val="clear" w:color="auto" w:fill="E1DFDD"/>
    </w:rPr>
  </w:style>
  <w:style w:type="table" w:styleId="Tablaconcuadrcula">
    <w:name w:val="Table Grid"/>
    <w:basedOn w:val="Tablanormal"/>
    <w:uiPriority w:val="39"/>
    <w:rsid w:val="006D3D40"/>
    <w:pPr>
      <w:spacing w:after="0" w:line="240" w:lineRule="auto"/>
    </w:pPr>
    <w:rPr>
      <w:rFonts w:ascii="Arial" w:eastAsia="Arial" w:hAnsi="Arial" w:cs="Arial"/>
      <w:color w:val="00000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D789A"/>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850727">
      <w:bodyDiv w:val="1"/>
      <w:marLeft w:val="0"/>
      <w:marRight w:val="0"/>
      <w:marTop w:val="0"/>
      <w:marBottom w:val="0"/>
      <w:divBdr>
        <w:top w:val="none" w:sz="0" w:space="0" w:color="auto"/>
        <w:left w:val="none" w:sz="0" w:space="0" w:color="auto"/>
        <w:bottom w:val="none" w:sz="0" w:space="0" w:color="auto"/>
        <w:right w:val="none" w:sz="0" w:space="0" w:color="auto"/>
      </w:divBdr>
      <w:divsChild>
        <w:div w:id="454375916">
          <w:marLeft w:val="0"/>
          <w:marRight w:val="0"/>
          <w:marTop w:val="0"/>
          <w:marBottom w:val="0"/>
          <w:divBdr>
            <w:top w:val="none" w:sz="0" w:space="0" w:color="auto"/>
            <w:left w:val="none" w:sz="0" w:space="0" w:color="auto"/>
            <w:bottom w:val="none" w:sz="0" w:space="0" w:color="auto"/>
            <w:right w:val="none" w:sz="0" w:space="0" w:color="auto"/>
          </w:divBdr>
        </w:div>
      </w:divsChild>
    </w:div>
    <w:div w:id="713425943">
      <w:bodyDiv w:val="1"/>
      <w:marLeft w:val="0"/>
      <w:marRight w:val="0"/>
      <w:marTop w:val="0"/>
      <w:marBottom w:val="0"/>
      <w:divBdr>
        <w:top w:val="none" w:sz="0" w:space="0" w:color="auto"/>
        <w:left w:val="none" w:sz="0" w:space="0" w:color="auto"/>
        <w:bottom w:val="none" w:sz="0" w:space="0" w:color="auto"/>
        <w:right w:val="none" w:sz="0" w:space="0" w:color="auto"/>
      </w:divBdr>
      <w:divsChild>
        <w:div w:id="595752272">
          <w:marLeft w:val="0"/>
          <w:marRight w:val="0"/>
          <w:marTop w:val="0"/>
          <w:marBottom w:val="0"/>
          <w:divBdr>
            <w:top w:val="none" w:sz="0" w:space="0" w:color="auto"/>
            <w:left w:val="none" w:sz="0" w:space="0" w:color="auto"/>
            <w:bottom w:val="none" w:sz="0" w:space="0" w:color="auto"/>
            <w:right w:val="none" w:sz="0" w:space="0" w:color="auto"/>
          </w:divBdr>
        </w:div>
      </w:divsChild>
    </w:div>
    <w:div w:id="819079751">
      <w:bodyDiv w:val="1"/>
      <w:marLeft w:val="0"/>
      <w:marRight w:val="0"/>
      <w:marTop w:val="0"/>
      <w:marBottom w:val="0"/>
      <w:divBdr>
        <w:top w:val="none" w:sz="0" w:space="0" w:color="auto"/>
        <w:left w:val="none" w:sz="0" w:space="0" w:color="auto"/>
        <w:bottom w:val="none" w:sz="0" w:space="0" w:color="auto"/>
        <w:right w:val="none" w:sz="0" w:space="0" w:color="auto"/>
      </w:divBdr>
    </w:div>
    <w:div w:id="821234986">
      <w:bodyDiv w:val="1"/>
      <w:marLeft w:val="0"/>
      <w:marRight w:val="0"/>
      <w:marTop w:val="0"/>
      <w:marBottom w:val="0"/>
      <w:divBdr>
        <w:top w:val="none" w:sz="0" w:space="0" w:color="auto"/>
        <w:left w:val="none" w:sz="0" w:space="0" w:color="auto"/>
        <w:bottom w:val="none" w:sz="0" w:space="0" w:color="auto"/>
        <w:right w:val="none" w:sz="0" w:space="0" w:color="auto"/>
      </w:divBdr>
    </w:div>
    <w:div w:id="1411080923">
      <w:bodyDiv w:val="1"/>
      <w:marLeft w:val="0"/>
      <w:marRight w:val="0"/>
      <w:marTop w:val="0"/>
      <w:marBottom w:val="0"/>
      <w:divBdr>
        <w:top w:val="none" w:sz="0" w:space="0" w:color="auto"/>
        <w:left w:val="none" w:sz="0" w:space="0" w:color="auto"/>
        <w:bottom w:val="none" w:sz="0" w:space="0" w:color="auto"/>
        <w:right w:val="none" w:sz="0" w:space="0" w:color="auto"/>
      </w:divBdr>
    </w:div>
    <w:div w:id="1816487814">
      <w:bodyDiv w:val="1"/>
      <w:marLeft w:val="0"/>
      <w:marRight w:val="0"/>
      <w:marTop w:val="0"/>
      <w:marBottom w:val="0"/>
      <w:divBdr>
        <w:top w:val="none" w:sz="0" w:space="0" w:color="auto"/>
        <w:left w:val="none" w:sz="0" w:space="0" w:color="auto"/>
        <w:bottom w:val="none" w:sz="0" w:space="0" w:color="auto"/>
        <w:right w:val="none" w:sz="0" w:space="0" w:color="auto"/>
      </w:divBdr>
    </w:div>
    <w:div w:id="1878734640">
      <w:bodyDiv w:val="1"/>
      <w:marLeft w:val="0"/>
      <w:marRight w:val="0"/>
      <w:marTop w:val="0"/>
      <w:marBottom w:val="0"/>
      <w:divBdr>
        <w:top w:val="none" w:sz="0" w:space="0" w:color="auto"/>
        <w:left w:val="none" w:sz="0" w:space="0" w:color="auto"/>
        <w:bottom w:val="none" w:sz="0" w:space="0" w:color="auto"/>
        <w:right w:val="none" w:sz="0" w:space="0" w:color="auto"/>
      </w:divBdr>
    </w:div>
    <w:div w:id="1978299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DF8EC0721C1024B8E5C0ED88AB336B5" ma:contentTypeVersion="10" ma:contentTypeDescription="Crear nuevo documento." ma:contentTypeScope="" ma:versionID="647e9588e8fa6244f387ca9296f37328">
  <xsd:schema xmlns:xsd="http://www.w3.org/2001/XMLSchema" xmlns:xs="http://www.w3.org/2001/XMLSchema" xmlns:p="http://schemas.microsoft.com/office/2006/metadata/properties" xmlns:ns2="d6ca5d36-5c9f-4653-bec8-1cb66b9015e0" xmlns:ns3="058a09ca-2265-475f-9d49-654a64812a9e" targetNamespace="http://schemas.microsoft.com/office/2006/metadata/properties" ma:root="true" ma:fieldsID="bf1a3483d6b875bd348ab1a7a5a58f02" ns2:_="" ns3:_="">
    <xsd:import namespace="d6ca5d36-5c9f-4653-bec8-1cb66b9015e0"/>
    <xsd:import namespace="058a09ca-2265-475f-9d49-654a64812a9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8a09ca-2265-475f-9d49-654a64812a9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D53DSPH32EA6-477224038-5679</_dlc_DocId>
    <_dlc_DocIdUrl xmlns="d6ca5d36-5c9f-4653-bec8-1cb66b9015e0">
      <Url>https://indecopi.sharepoint.com/sites/cc1_docs/_layouts/15/DocIdRedir.aspx?ID=D53DSPH32EA6-477224038-5679</Url>
      <Description>D53DSPH32EA6-477224038-5679</Description>
    </_dlc_DocIdUrl>
    <_dlc_DocIdPersistId xmlns="d6ca5d36-5c9f-4653-bec8-1cb66b9015e0">false</_dlc_DocIdPersistI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8C482-FE51-4F01-8883-0A8168E388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58a09ca-2265-475f-9d49-654a64812a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C8FC09-A3D7-4553-8C08-8E603300CA55}">
  <ds:schemaRefs>
    <ds:schemaRef ds:uri="http://schemas.microsoft.com/office/2006/metadata/properties"/>
    <ds:schemaRef ds:uri="http://schemas.microsoft.com/office/infopath/2007/PartnerControls"/>
    <ds:schemaRef ds:uri="d6ca5d36-5c9f-4653-bec8-1cb66b9015e0"/>
  </ds:schemaRefs>
</ds:datastoreItem>
</file>

<file path=customXml/itemProps3.xml><?xml version="1.0" encoding="utf-8"?>
<ds:datastoreItem xmlns:ds="http://schemas.openxmlformats.org/officeDocument/2006/customXml" ds:itemID="{24BE2DE8-C5A1-4E9A-A44C-C3D4340C4C22}">
  <ds:schemaRefs>
    <ds:schemaRef ds:uri="http://schemas.microsoft.com/sharepoint/v3/contenttype/forms"/>
  </ds:schemaRefs>
</ds:datastoreItem>
</file>

<file path=customXml/itemProps4.xml><?xml version="1.0" encoding="utf-8"?>
<ds:datastoreItem xmlns:ds="http://schemas.openxmlformats.org/officeDocument/2006/customXml" ds:itemID="{36B794C6-66F2-4F7F-87BC-4E7ADEAE77E4}">
  <ds:schemaRefs>
    <ds:schemaRef ds:uri="http://schemas.microsoft.com/sharepoint/events"/>
  </ds:schemaRefs>
</ds:datastoreItem>
</file>

<file path=customXml/itemProps5.xml><?xml version="1.0" encoding="utf-8"?>
<ds:datastoreItem xmlns:ds="http://schemas.openxmlformats.org/officeDocument/2006/customXml" ds:itemID="{A5B2D9DD-EEB3-4E48-AAD7-EE34DEFDE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7</Pages>
  <Words>1848</Words>
  <Characters>10164</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Alberto Murillo Castillo</dc:creator>
  <cp:keywords/>
  <dc:description/>
  <cp:lastModifiedBy>Apoyo CC1 E</cp:lastModifiedBy>
  <cp:revision>20</cp:revision>
  <dcterms:created xsi:type="dcterms:W3CDTF">2022-07-19T16:54:00Z</dcterms:created>
  <dcterms:modified xsi:type="dcterms:W3CDTF">2026-08-05T15:50:00Z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0x010100FDF8EC0721C1024B8E5C0ED88AB336B5</vt:lpwstr>
  </property>
  <property fmtid="{D5CDD505-2E9C-101B-9397-08002B2CF9AE}" pid="3" name="_dlc_DocIdItemGuid">
    <vt:lpwstr>894c0033-f4f0-4e9b-a6af-37703564680c</vt:lpwstr>
  </property>
  <property fmtid="{D5CDD505-2E9C-101B-9397-08002B2CF9AE}" pid="4" name="AuthorIds_UIVersion_1536">
    <vt:lpwstr>133</vt:lpwstr>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AuthorIds_UIVersion_2048">
    <vt:lpwstr>44</vt:lpwstr>
  </property>
  <property fmtid="{D5CDD505-2E9C-101B-9397-08002B2CF9AE}" pid="10" name="AuthorIds_UIVersion_3584">
    <vt:lpwstr>133</vt:lpwstr>
  </property>
  <property fmtid="{D5CDD505-2E9C-101B-9397-08002B2CF9AE}" pid="11" name="AuthorIds_UIVersion_512">
    <vt:lpwstr>81</vt:lpwstr>
  </property>
  <property fmtid="{D5CDD505-2E9C-101B-9397-08002B2CF9AE}" pid="12" name="AuthorIds_UIVersion_3072">
    <vt:lpwstr>23</vt:lpwstr>
  </property>
  <property fmtid="{D5CDD505-2E9C-101B-9397-08002B2CF9AE}" pid="13" name="AuthorIds_UIVersion_4096">
    <vt:lpwstr>81</vt:lpwstr>
  </property>
</Properties>
</file>