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4065" w14:textId="600F2069" w:rsidR="002A612D" w:rsidRPr="00975ED0" w:rsidRDefault="002A612D" w:rsidP="002A612D">
      <w:pPr>
        <w:spacing w:after="0" w:line="240" w:lineRule="auto"/>
        <w:rPr>
          <w:rFonts w:ascii="Arial" w:eastAsia="Arial,Times New Roman" w:hAnsi="Arial" w:cs="Arial"/>
          <w:i/>
          <w:iCs/>
          <w:kern w:val="0"/>
          <w:sz w:val="16"/>
          <w:lang w:val="pt-BR" w:eastAsia="es-ES"/>
          <w14:ligatures w14:val="none"/>
        </w:rPr>
      </w:pPr>
      <w:r w:rsidRPr="002A612D">
        <w:rPr>
          <w:rFonts w:ascii="Arial" w:eastAsia="Arial,Times New Roman" w:hAnsi="Arial" w:cs="Arial"/>
          <w:i/>
          <w:iCs/>
          <w:kern w:val="0"/>
          <w:sz w:val="16"/>
          <w:lang w:val="pt-BR" w:eastAsia="es-ES"/>
          <w14:ligatures w14:val="none"/>
        </w:rPr>
        <w:t>Elaborado por</w:t>
      </w:r>
      <w:r w:rsidRPr="00975ED0">
        <w:rPr>
          <w:rFonts w:ascii="Arial" w:eastAsia="Arial,Times New Roman" w:hAnsi="Arial" w:cs="Arial"/>
          <w:i/>
          <w:iCs/>
          <w:kern w:val="0"/>
          <w:sz w:val="16"/>
          <w:lang w:val="pt-BR" w:eastAsia="es-ES"/>
          <w14:ligatures w14:val="none"/>
        </w:rPr>
        <w:t xml:space="preserve">: </w:t>
      </w:r>
      <w:r w:rsidR="002436B6" w:rsidRPr="00975ED0">
        <w:rPr>
          <w:rFonts w:ascii="Arial" w:eastAsia="Arial,Times New Roman" w:hAnsi="Arial" w:cs="Arial"/>
          <w:i/>
          <w:iCs/>
          <w:kern w:val="0"/>
          <w:sz w:val="16"/>
          <w:lang w:val="pt-BR" w:eastAsia="es-ES"/>
          <w14:ligatures w14:val="none"/>
        </w:rPr>
        <w:t>David Chávez</w:t>
      </w:r>
      <w:r w:rsidRPr="00975ED0">
        <w:rPr>
          <w:rFonts w:ascii="Arial" w:eastAsia="Arial,Times New Roman" w:hAnsi="Arial" w:cs="Arial"/>
          <w:i/>
          <w:iCs/>
          <w:kern w:val="0"/>
          <w:sz w:val="16"/>
          <w:lang w:val="pt-BR" w:eastAsia="es-ES"/>
          <w14:ligatures w14:val="none"/>
        </w:rPr>
        <w:t xml:space="preserve"> </w:t>
      </w:r>
    </w:p>
    <w:p w14:paraId="307C3005" w14:textId="3CB02653" w:rsidR="002A612D" w:rsidRPr="002A612D" w:rsidRDefault="002A612D" w:rsidP="002A612D">
      <w:pPr>
        <w:spacing w:after="0" w:line="240" w:lineRule="auto"/>
        <w:rPr>
          <w:rFonts w:ascii="Arial" w:eastAsia="Arial,Times New Roman" w:hAnsi="Arial" w:cs="Arial"/>
          <w:i/>
          <w:iCs/>
          <w:kern w:val="0"/>
          <w:sz w:val="16"/>
          <w:lang w:val="pt-BR" w:eastAsia="es-ES"/>
          <w14:ligatures w14:val="none"/>
        </w:rPr>
      </w:pPr>
      <w:r w:rsidRPr="00975ED0">
        <w:rPr>
          <w:rFonts w:ascii="Arial" w:eastAsia="Arial,Times New Roman" w:hAnsi="Arial" w:cs="Arial"/>
          <w:i/>
          <w:iCs/>
          <w:kern w:val="0"/>
          <w:sz w:val="16"/>
          <w:lang w:val="pt-BR" w:eastAsia="es-ES"/>
          <w14:ligatures w14:val="none"/>
        </w:rPr>
        <w:t xml:space="preserve">Supervisado por: </w:t>
      </w:r>
      <w:r w:rsidR="00B45293" w:rsidRPr="00975ED0">
        <w:rPr>
          <w:rFonts w:ascii="Arial" w:eastAsia="Arial,Times New Roman" w:hAnsi="Arial" w:cs="Arial"/>
          <w:i/>
          <w:iCs/>
          <w:kern w:val="0"/>
          <w:sz w:val="16"/>
          <w:lang w:val="pt-BR" w:eastAsia="es-ES"/>
          <w14:ligatures w14:val="none"/>
        </w:rPr>
        <w:t>Rolando Soto</w:t>
      </w:r>
    </w:p>
    <w:p w14:paraId="7C0CD843" w14:textId="77777777" w:rsidR="002436B6" w:rsidRPr="000510B1" w:rsidRDefault="002A612D" w:rsidP="002436B6">
      <w:pPr>
        <w:spacing w:after="0" w:line="240" w:lineRule="auto"/>
        <w:rPr>
          <w:rFonts w:ascii="Arial" w:eastAsia="Arial,Times New Roman" w:hAnsi="Arial" w:cs="Arial"/>
          <w:i/>
          <w:iCs/>
          <w:kern w:val="0"/>
          <w:sz w:val="16"/>
          <w:lang w:eastAsia="es-ES"/>
          <w14:ligatures w14:val="none"/>
        </w:rPr>
      </w:pPr>
      <w:r w:rsidRPr="002A612D">
        <w:rPr>
          <w:rFonts w:ascii="Arial" w:eastAsia="Arial,Times New Roman" w:hAnsi="Arial" w:cs="Arial"/>
          <w:i/>
          <w:iCs/>
          <w:kern w:val="0"/>
          <w:sz w:val="16"/>
          <w:lang w:eastAsia="es-ES"/>
          <w14:ligatures w14:val="none"/>
        </w:rPr>
        <w:t>Equipo: Seguros</w:t>
      </w:r>
      <w:r w:rsidR="002436B6" w:rsidRPr="002436B6">
        <w:rPr>
          <w:rFonts w:ascii="Arial" w:eastAsia="Arial,Times New Roman" w:hAnsi="Arial" w:cs="Arial"/>
          <w:i/>
          <w:iCs/>
          <w:kern w:val="0"/>
          <w:sz w:val="16"/>
          <w:lang w:eastAsia="es-ES"/>
          <w14:ligatures w14:val="none"/>
        </w:rPr>
        <w:t xml:space="preserve"> </w:t>
      </w:r>
    </w:p>
    <w:p w14:paraId="20DADB14" w14:textId="5A83880C" w:rsidR="002436B6" w:rsidRPr="000510B1" w:rsidRDefault="002436B6" w:rsidP="002A612D">
      <w:pPr>
        <w:spacing w:after="0" w:line="240" w:lineRule="auto"/>
        <w:rPr>
          <w:rFonts w:ascii="Arial" w:eastAsia="Arial,Times New Roman" w:hAnsi="Arial" w:cs="Arial"/>
          <w:i/>
          <w:iCs/>
          <w:kern w:val="0"/>
          <w:sz w:val="16"/>
          <w:lang w:eastAsia="es-ES"/>
          <w14:ligatures w14:val="none"/>
        </w:rPr>
      </w:pPr>
      <w:r w:rsidRPr="000510B1">
        <w:rPr>
          <w:rFonts w:ascii="Arial" w:eastAsia="Arial,Times New Roman" w:hAnsi="Arial" w:cs="Arial"/>
          <w:i/>
          <w:iCs/>
          <w:kern w:val="0"/>
          <w:sz w:val="16"/>
          <w:lang w:eastAsia="es-ES"/>
          <w14:ligatures w14:val="none"/>
        </w:rPr>
        <w:t xml:space="preserve">Fecha Límite: </w:t>
      </w:r>
      <w:r w:rsidR="00975ED0">
        <w:rPr>
          <w:rFonts w:ascii="Arial" w:eastAsia="Arial,Times New Roman" w:hAnsi="Arial" w:cs="Arial"/>
          <w:i/>
          <w:iCs/>
          <w:kern w:val="0"/>
          <w:sz w:val="16"/>
          <w:lang w:eastAsia="es-ES"/>
          <w14:ligatures w14:val="none"/>
        </w:rPr>
        <w:t>31</w:t>
      </w:r>
      <w:r w:rsidR="009A5456">
        <w:rPr>
          <w:rFonts w:ascii="Arial" w:eastAsia="Arial,Times New Roman" w:hAnsi="Arial" w:cs="Arial"/>
          <w:i/>
          <w:iCs/>
          <w:kern w:val="0"/>
          <w:sz w:val="16"/>
          <w:lang w:eastAsia="es-ES"/>
          <w14:ligatures w14:val="none"/>
        </w:rPr>
        <w:t>/</w:t>
      </w:r>
      <w:r w:rsidR="00975ED0">
        <w:rPr>
          <w:rFonts w:ascii="Arial" w:eastAsia="Arial,Times New Roman" w:hAnsi="Arial" w:cs="Arial"/>
          <w:i/>
          <w:iCs/>
          <w:kern w:val="0"/>
          <w:sz w:val="16"/>
          <w:lang w:eastAsia="es-ES"/>
          <w14:ligatures w14:val="none"/>
        </w:rPr>
        <w:t>12</w:t>
      </w:r>
      <w:r w:rsidR="009A5456">
        <w:rPr>
          <w:rFonts w:ascii="Arial" w:eastAsia="Arial,Times New Roman" w:hAnsi="Arial" w:cs="Arial"/>
          <w:i/>
          <w:iCs/>
          <w:kern w:val="0"/>
          <w:sz w:val="16"/>
          <w:lang w:eastAsia="es-ES"/>
          <w14:ligatures w14:val="none"/>
        </w:rPr>
        <w:t>/</w:t>
      </w:r>
      <w:r w:rsidR="00975ED0">
        <w:rPr>
          <w:rFonts w:ascii="Arial" w:eastAsia="Arial,Times New Roman" w:hAnsi="Arial" w:cs="Arial"/>
          <w:i/>
          <w:iCs/>
          <w:kern w:val="0"/>
          <w:sz w:val="16"/>
          <w:lang w:eastAsia="es-ES"/>
          <w14:ligatures w14:val="none"/>
        </w:rPr>
        <w:t>2026</w:t>
      </w:r>
    </w:p>
    <w:p w14:paraId="019967EB" w14:textId="77777777" w:rsidR="002A612D" w:rsidRPr="002A612D" w:rsidRDefault="002A612D" w:rsidP="002A612D">
      <w:pPr>
        <w:spacing w:after="0" w:line="240" w:lineRule="auto"/>
        <w:jc w:val="center"/>
        <w:rPr>
          <w:rFonts w:ascii="Arial" w:eastAsia="Arial" w:hAnsi="Arial" w:cs="Arial"/>
          <w:b/>
          <w:color w:val="000000"/>
          <w:kern w:val="0"/>
          <w:sz w:val="32"/>
          <w:lang w:eastAsia="es-PE"/>
          <w14:ligatures w14:val="none"/>
        </w:rPr>
      </w:pPr>
    </w:p>
    <w:p w14:paraId="75345864" w14:textId="6229166D" w:rsidR="002A612D" w:rsidRPr="002A612D" w:rsidRDefault="002A612D" w:rsidP="002A612D">
      <w:pPr>
        <w:spacing w:after="0" w:line="240" w:lineRule="auto"/>
        <w:jc w:val="center"/>
        <w:rPr>
          <w:rFonts w:ascii="Arial" w:eastAsia="Calibri" w:hAnsi="Arial" w:cs="Arial"/>
          <w:color w:val="000000"/>
          <w:kern w:val="0"/>
          <w:sz w:val="32"/>
          <w:lang w:eastAsia="es-PE"/>
          <w14:ligatures w14:val="none"/>
        </w:rPr>
      </w:pPr>
      <w:r w:rsidRPr="002A612D">
        <w:rPr>
          <w:rFonts w:ascii="Arial" w:eastAsia="Arial" w:hAnsi="Arial" w:cs="Arial"/>
          <w:b/>
          <w:color w:val="000000"/>
          <w:kern w:val="0"/>
          <w:sz w:val="32"/>
          <w:lang w:eastAsia="es-PE"/>
          <w14:ligatures w14:val="none"/>
        </w:rPr>
        <w:t xml:space="preserve">RESOLUCIÓN FINAL N° </w:t>
      </w:r>
      <w:r>
        <w:rPr>
          <w:rFonts w:ascii="Arial" w:eastAsia="Arial" w:hAnsi="Arial" w:cs="Arial"/>
          <w:b/>
          <w:color w:val="000000"/>
          <w:kern w:val="0"/>
          <w:sz w:val="32"/>
          <w:lang w:eastAsia="es-PE"/>
          <w14:ligatures w14:val="none"/>
        </w:rPr>
        <w:t>****</w:t>
      </w:r>
      <w:r w:rsidRPr="002A612D">
        <w:rPr>
          <w:rFonts w:ascii="Arial" w:eastAsia="Arial" w:hAnsi="Arial" w:cs="Arial"/>
          <w:b/>
          <w:color w:val="000000"/>
          <w:kern w:val="0"/>
          <w:sz w:val="32"/>
          <w:lang w:eastAsia="es-PE"/>
          <w14:ligatures w14:val="none"/>
        </w:rPr>
        <w:t>-202</w:t>
      </w:r>
      <w:r w:rsidR="00E216A9">
        <w:rPr>
          <w:rFonts w:ascii="Arial" w:eastAsia="Arial" w:hAnsi="Arial" w:cs="Arial"/>
          <w:b/>
          <w:color w:val="000000"/>
          <w:kern w:val="0"/>
          <w:sz w:val="32"/>
          <w:lang w:eastAsia="es-PE"/>
          <w14:ligatures w14:val="none"/>
        </w:rPr>
        <w:t>6</w:t>
      </w:r>
      <w:r w:rsidRPr="002A612D">
        <w:rPr>
          <w:rFonts w:ascii="Arial" w:eastAsia="Arial" w:hAnsi="Arial" w:cs="Arial"/>
          <w:b/>
          <w:color w:val="000000"/>
          <w:kern w:val="0"/>
          <w:sz w:val="32"/>
          <w:lang w:eastAsia="es-PE"/>
          <w14:ligatures w14:val="none"/>
        </w:rPr>
        <w:t>/CC1</w:t>
      </w:r>
    </w:p>
    <w:p w14:paraId="742FF31B" w14:textId="77777777" w:rsidR="002A612D" w:rsidRPr="002A612D" w:rsidRDefault="002A612D" w:rsidP="002A612D">
      <w:pPr>
        <w:widowControl w:val="0"/>
        <w:spacing w:after="0" w:line="240" w:lineRule="auto"/>
        <w:rPr>
          <w:rFonts w:ascii="Arial" w:eastAsia="Calibri" w:hAnsi="Arial" w:cs="Arial"/>
          <w:color w:val="000000"/>
          <w:kern w:val="0"/>
          <w:lang w:eastAsia="es-PE"/>
          <w14:ligatures w14:val="none"/>
        </w:rPr>
      </w:pPr>
      <w:bookmarkStart w:id="0" w:name="h.gjdgxs" w:colFirst="0" w:colLast="0"/>
      <w:bookmarkEnd w:id="0"/>
    </w:p>
    <w:p w14:paraId="6E8E4512" w14:textId="65CDF3C6" w:rsidR="002A612D" w:rsidRPr="004442B4" w:rsidRDefault="002A612D" w:rsidP="002A612D">
      <w:pPr>
        <w:widowControl w:val="0"/>
        <w:tabs>
          <w:tab w:val="left" w:pos="2268"/>
          <w:tab w:val="left" w:pos="3120"/>
        </w:tabs>
        <w:spacing w:after="0" w:line="240" w:lineRule="auto"/>
        <w:ind w:left="3119" w:hanging="3134"/>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DENUNCIANTE</w:t>
      </w:r>
      <w:r w:rsidRPr="002A612D">
        <w:rPr>
          <w:rFonts w:ascii="Arial" w:eastAsia="Arial" w:hAnsi="Arial" w:cs="Arial"/>
          <w:b/>
          <w:color w:val="000000"/>
          <w:kern w:val="0"/>
          <w:lang w:eastAsia="es-PE"/>
          <w14:ligatures w14:val="none"/>
        </w:rPr>
        <w:tab/>
        <w:t>:</w:t>
      </w:r>
      <w:r w:rsidRPr="002A612D">
        <w:rPr>
          <w:rFonts w:ascii="Arial" w:eastAsia="Arial" w:hAnsi="Arial" w:cs="Arial"/>
          <w:b/>
          <w:color w:val="000000"/>
          <w:kern w:val="0"/>
          <w:lang w:eastAsia="es-PE"/>
          <w14:ligatures w14:val="none"/>
        </w:rPr>
        <w:tab/>
      </w:r>
      <w:r w:rsidR="00975ED0" w:rsidRPr="00975ED0">
        <w:rPr>
          <w:rFonts w:ascii="Arial" w:eastAsia="Calibri" w:hAnsi="Arial" w:cs="Arial"/>
          <w:b/>
          <w:color w:val="000000"/>
          <w:kern w:val="0"/>
          <w:lang w:eastAsia="es-PE"/>
          <w14:ligatures w14:val="none"/>
        </w:rPr>
        <w:t>COMERCIAL IMAR E.I.R.L. (COMERCIAL IMAR)</w:t>
      </w:r>
    </w:p>
    <w:p w14:paraId="62FCC3E4" w14:textId="70DB3D7C" w:rsidR="002A612D" w:rsidRPr="00975ED0" w:rsidRDefault="002A612D" w:rsidP="00975ED0">
      <w:pPr>
        <w:widowControl w:val="0"/>
        <w:tabs>
          <w:tab w:val="left" w:pos="2268"/>
          <w:tab w:val="left" w:pos="3120"/>
        </w:tabs>
        <w:spacing w:after="0" w:line="240" w:lineRule="auto"/>
        <w:ind w:left="3119" w:hanging="3134"/>
        <w:jc w:val="both"/>
        <w:rPr>
          <w:rFonts w:ascii="Arial" w:eastAsia="Calibri" w:hAnsi="Arial" w:cs="Arial"/>
          <w:b/>
          <w:color w:val="000000"/>
          <w:kern w:val="0"/>
          <w:lang w:eastAsia="es-PE"/>
          <w14:ligatures w14:val="none"/>
        </w:rPr>
      </w:pPr>
      <w:r w:rsidRPr="004442B4">
        <w:rPr>
          <w:rFonts w:ascii="Arial" w:eastAsia="Arial" w:hAnsi="Arial" w:cs="Arial"/>
          <w:b/>
          <w:color w:val="000000"/>
          <w:kern w:val="0"/>
          <w:lang w:eastAsia="es-PE"/>
          <w14:ligatures w14:val="none"/>
        </w:rPr>
        <w:t>DENUNCIADO</w:t>
      </w:r>
      <w:r w:rsidRPr="004442B4">
        <w:rPr>
          <w:rFonts w:ascii="Arial" w:eastAsia="Arial" w:hAnsi="Arial" w:cs="Arial"/>
          <w:b/>
          <w:color w:val="000000"/>
          <w:kern w:val="0"/>
          <w:lang w:eastAsia="es-PE"/>
          <w14:ligatures w14:val="none"/>
        </w:rPr>
        <w:tab/>
        <w:t>:</w:t>
      </w:r>
      <w:r w:rsidRPr="004442B4">
        <w:rPr>
          <w:rFonts w:ascii="Arial" w:eastAsia="Arial" w:hAnsi="Arial" w:cs="Arial"/>
          <w:b/>
          <w:color w:val="000000"/>
          <w:kern w:val="0"/>
          <w:lang w:eastAsia="es-PE"/>
          <w14:ligatures w14:val="none"/>
        </w:rPr>
        <w:tab/>
      </w:r>
      <w:r w:rsidRPr="004442B4">
        <w:rPr>
          <w:rFonts w:ascii="Arial" w:eastAsia="Arial" w:hAnsi="Arial" w:cs="Arial"/>
          <w:b/>
          <w:color w:val="000000"/>
          <w:kern w:val="0"/>
          <w:lang w:eastAsia="es-PE"/>
          <w14:ligatures w14:val="none"/>
        </w:rPr>
        <w:tab/>
      </w:r>
      <w:r w:rsidR="00975ED0" w:rsidRPr="00975ED0">
        <w:rPr>
          <w:rFonts w:ascii="Arial" w:eastAsia="Calibri" w:hAnsi="Arial" w:cs="Arial"/>
          <w:b/>
          <w:color w:val="000000"/>
          <w:kern w:val="0"/>
          <w:lang w:eastAsia="es-PE"/>
          <w14:ligatures w14:val="none"/>
        </w:rPr>
        <w:t>PACÍFICO COMPAÑÍA DE SEGUROS Y REASEGUROS S.A.</w:t>
      </w:r>
      <w:r w:rsidR="00975ED0">
        <w:rPr>
          <w:rFonts w:ascii="Arial" w:eastAsia="Calibri" w:hAnsi="Arial" w:cs="Arial"/>
          <w:b/>
          <w:color w:val="000000"/>
          <w:kern w:val="0"/>
          <w:lang w:eastAsia="es-PE"/>
          <w14:ligatures w14:val="none"/>
        </w:rPr>
        <w:t xml:space="preserve"> </w:t>
      </w:r>
      <w:r w:rsidR="00975ED0" w:rsidRPr="00975ED0">
        <w:rPr>
          <w:rFonts w:ascii="Arial" w:eastAsia="Calibri" w:hAnsi="Arial" w:cs="Arial"/>
          <w:b/>
          <w:color w:val="000000"/>
          <w:kern w:val="0"/>
          <w:lang w:eastAsia="es-PE"/>
          <w14:ligatures w14:val="none"/>
        </w:rPr>
        <w:t>(PACÍFICO)</w:t>
      </w:r>
    </w:p>
    <w:p w14:paraId="15F3E184" w14:textId="77777777" w:rsidR="002A612D" w:rsidRPr="002A612D" w:rsidRDefault="002A612D" w:rsidP="002A612D">
      <w:pPr>
        <w:widowControl w:val="0"/>
        <w:tabs>
          <w:tab w:val="left" w:pos="2268"/>
          <w:tab w:val="left" w:pos="3120"/>
        </w:tabs>
        <w:spacing w:after="0" w:line="240" w:lineRule="auto"/>
        <w:ind w:left="3119" w:hanging="3119"/>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MATERIAS</w:t>
      </w:r>
      <w:r w:rsidRPr="002A612D">
        <w:rPr>
          <w:rFonts w:ascii="Arial" w:eastAsia="Arial" w:hAnsi="Arial" w:cs="Arial"/>
          <w:b/>
          <w:color w:val="000000"/>
          <w:kern w:val="0"/>
          <w:lang w:eastAsia="es-PE"/>
          <w14:ligatures w14:val="none"/>
        </w:rPr>
        <w:tab/>
        <w:t>:</w:t>
      </w:r>
      <w:r w:rsidRPr="002A612D">
        <w:rPr>
          <w:rFonts w:ascii="Arial" w:eastAsia="Arial" w:hAnsi="Arial" w:cs="Arial"/>
          <w:b/>
          <w:color w:val="000000"/>
          <w:kern w:val="0"/>
          <w:lang w:eastAsia="es-PE"/>
          <w14:ligatures w14:val="none"/>
        </w:rPr>
        <w:tab/>
        <w:t>PROTECCIÓN AL CONSUMIDOR</w:t>
      </w:r>
    </w:p>
    <w:p w14:paraId="481F36B5" w14:textId="77777777" w:rsidR="002A612D" w:rsidRPr="002A612D" w:rsidRDefault="002A612D" w:rsidP="002A612D">
      <w:pPr>
        <w:widowControl w:val="0"/>
        <w:tabs>
          <w:tab w:val="left" w:pos="2265"/>
          <w:tab w:val="left" w:pos="3120"/>
        </w:tabs>
        <w:spacing w:after="0" w:line="240" w:lineRule="auto"/>
        <w:ind w:left="3120" w:hanging="15"/>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NOCIÓN DE CONSUMIDOR FINAL</w:t>
      </w:r>
      <w:r w:rsidRPr="002A612D">
        <w:rPr>
          <w:rFonts w:ascii="Arial" w:eastAsia="Arial" w:hAnsi="Arial" w:cs="Arial"/>
          <w:b/>
          <w:color w:val="000000"/>
          <w:kern w:val="0"/>
          <w:lang w:eastAsia="es-PE"/>
          <w14:ligatures w14:val="none"/>
        </w:rPr>
        <w:tab/>
      </w:r>
      <w:r w:rsidRPr="002A612D">
        <w:rPr>
          <w:rFonts w:ascii="Arial" w:eastAsia="Arial" w:hAnsi="Arial" w:cs="Arial"/>
          <w:b/>
          <w:color w:val="000000"/>
          <w:kern w:val="0"/>
          <w:lang w:eastAsia="es-PE"/>
          <w14:ligatures w14:val="none"/>
        </w:rPr>
        <w:tab/>
      </w:r>
      <w:r w:rsidRPr="002A612D">
        <w:rPr>
          <w:rFonts w:ascii="Arial" w:eastAsia="Arial" w:hAnsi="Arial" w:cs="Arial"/>
          <w:b/>
          <w:color w:val="000000"/>
          <w:kern w:val="0"/>
          <w:lang w:eastAsia="es-PE"/>
          <w14:ligatures w14:val="none"/>
        </w:rPr>
        <w:tab/>
      </w:r>
    </w:p>
    <w:p w14:paraId="7082889B" w14:textId="77777777" w:rsidR="002A612D" w:rsidRDefault="002A612D" w:rsidP="002A612D">
      <w:pPr>
        <w:widowControl w:val="0"/>
        <w:tabs>
          <w:tab w:val="left" w:pos="2265"/>
          <w:tab w:val="left" w:pos="3120"/>
        </w:tabs>
        <w:spacing w:after="0" w:line="240" w:lineRule="auto"/>
        <w:ind w:left="3118" w:hanging="15"/>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IMPROCEDENCIA</w:t>
      </w:r>
    </w:p>
    <w:p w14:paraId="5ABF8DC1" w14:textId="77777777" w:rsidR="00356519" w:rsidRPr="002A612D" w:rsidRDefault="00356519" w:rsidP="002A612D">
      <w:pPr>
        <w:widowControl w:val="0"/>
        <w:tabs>
          <w:tab w:val="left" w:pos="2265"/>
          <w:tab w:val="left" w:pos="3120"/>
        </w:tabs>
        <w:spacing w:after="0" w:line="240" w:lineRule="auto"/>
        <w:ind w:left="3118" w:hanging="15"/>
        <w:jc w:val="both"/>
        <w:rPr>
          <w:rFonts w:ascii="Arial" w:eastAsia="Calibri" w:hAnsi="Arial" w:cs="Arial"/>
          <w:color w:val="000000"/>
          <w:kern w:val="0"/>
          <w:lang w:eastAsia="es-PE"/>
          <w14:ligatures w14:val="none"/>
        </w:rPr>
      </w:pPr>
      <w:r>
        <w:rPr>
          <w:rFonts w:ascii="Arial" w:eastAsia="Arial" w:hAnsi="Arial" w:cs="Arial"/>
          <w:b/>
          <w:color w:val="000000"/>
          <w:kern w:val="0"/>
          <w:lang w:eastAsia="es-PE"/>
          <w14:ligatures w14:val="none"/>
        </w:rPr>
        <w:t>CONFIDENCIALIDAD</w:t>
      </w:r>
    </w:p>
    <w:p w14:paraId="01AE113D" w14:textId="77777777" w:rsidR="002A612D" w:rsidRPr="002A612D" w:rsidRDefault="002A612D" w:rsidP="002A612D">
      <w:pPr>
        <w:widowControl w:val="0"/>
        <w:tabs>
          <w:tab w:val="left" w:pos="2265"/>
          <w:tab w:val="left" w:pos="3105"/>
        </w:tabs>
        <w:spacing w:after="0" w:line="240" w:lineRule="auto"/>
        <w:ind w:hanging="15"/>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ACTIVIDAD</w:t>
      </w:r>
      <w:r w:rsidRPr="002A612D">
        <w:rPr>
          <w:rFonts w:ascii="Arial" w:eastAsia="Arial" w:hAnsi="Arial" w:cs="Arial"/>
          <w:b/>
          <w:color w:val="000000"/>
          <w:kern w:val="0"/>
          <w:lang w:eastAsia="es-PE"/>
          <w14:ligatures w14:val="none"/>
        </w:rPr>
        <w:tab/>
        <w:t>:</w:t>
      </w:r>
      <w:r w:rsidRPr="002A612D">
        <w:rPr>
          <w:rFonts w:ascii="Arial" w:eastAsia="Arial" w:hAnsi="Arial" w:cs="Arial"/>
          <w:b/>
          <w:color w:val="000000"/>
          <w:kern w:val="0"/>
          <w:lang w:eastAsia="es-PE"/>
          <w14:ligatures w14:val="none"/>
        </w:rPr>
        <w:tab/>
        <w:t>SEGUROS Y PENSIONES</w:t>
      </w:r>
    </w:p>
    <w:p w14:paraId="0DD808C3" w14:textId="77777777" w:rsidR="002A612D" w:rsidRPr="002A612D" w:rsidRDefault="002A612D" w:rsidP="002A612D">
      <w:pPr>
        <w:tabs>
          <w:tab w:val="left" w:pos="2265"/>
          <w:tab w:val="left" w:pos="3120"/>
          <w:tab w:val="left" w:pos="2977"/>
        </w:tabs>
        <w:spacing w:after="0" w:line="240" w:lineRule="auto"/>
        <w:ind w:hanging="15"/>
        <w:jc w:val="both"/>
        <w:rPr>
          <w:rFonts w:ascii="Arial" w:eastAsia="Calibri" w:hAnsi="Arial" w:cs="Arial"/>
          <w:color w:val="000000"/>
          <w:kern w:val="0"/>
          <w:lang w:eastAsia="es-PE"/>
          <w14:ligatures w14:val="none"/>
        </w:rPr>
      </w:pPr>
    </w:p>
    <w:p w14:paraId="33D4CBC7" w14:textId="38E6C9F0" w:rsidR="002A612D" w:rsidRPr="002A612D" w:rsidRDefault="002A612D" w:rsidP="002A612D">
      <w:pPr>
        <w:spacing w:after="0" w:line="240" w:lineRule="auto"/>
        <w:jc w:val="both"/>
        <w:rPr>
          <w:rFonts w:ascii="Arial" w:eastAsia="Calibri" w:hAnsi="Arial" w:cs="Arial"/>
          <w:color w:val="000000"/>
          <w:kern w:val="0"/>
          <w:lang w:eastAsia="es-PE"/>
          <w14:ligatures w14:val="none"/>
        </w:rPr>
      </w:pPr>
      <w:bookmarkStart w:id="1" w:name="h.30j0zll" w:colFirst="0" w:colLast="0"/>
      <w:bookmarkEnd w:id="1"/>
      <w:r w:rsidRPr="002A612D">
        <w:rPr>
          <w:rFonts w:ascii="Arial" w:eastAsia="Arial" w:hAnsi="Arial" w:cs="Arial"/>
          <w:color w:val="000000"/>
          <w:kern w:val="0"/>
          <w:lang w:eastAsia="es-PE"/>
          <w14:ligatures w14:val="none"/>
        </w:rPr>
        <w:t xml:space="preserve">Lima, ** </w:t>
      </w:r>
      <w:r w:rsidRPr="00975ED0">
        <w:rPr>
          <w:rFonts w:ascii="Arial" w:eastAsia="Arial" w:hAnsi="Arial" w:cs="Arial"/>
          <w:color w:val="000000"/>
          <w:kern w:val="0"/>
          <w:lang w:eastAsia="es-PE"/>
          <w14:ligatures w14:val="none"/>
        </w:rPr>
        <w:t xml:space="preserve">de </w:t>
      </w:r>
      <w:r w:rsidR="004B47FB" w:rsidRPr="00975ED0">
        <w:rPr>
          <w:rFonts w:ascii="Arial" w:eastAsia="Arial" w:hAnsi="Arial" w:cs="Arial"/>
          <w:color w:val="000000"/>
          <w:kern w:val="0"/>
          <w:lang w:eastAsia="es-PE"/>
          <w14:ligatures w14:val="none"/>
        </w:rPr>
        <w:t>agosto</w:t>
      </w:r>
      <w:r w:rsidRPr="00975ED0">
        <w:rPr>
          <w:rFonts w:ascii="Arial" w:eastAsia="Arial" w:hAnsi="Arial" w:cs="Arial"/>
          <w:color w:val="000000"/>
          <w:kern w:val="0"/>
          <w:lang w:eastAsia="es-PE"/>
          <w14:ligatures w14:val="none"/>
        </w:rPr>
        <w:t xml:space="preserve"> de </w:t>
      </w:r>
      <w:r w:rsidR="00B84C24" w:rsidRPr="00975ED0">
        <w:rPr>
          <w:rFonts w:ascii="Arial" w:eastAsia="Arial" w:hAnsi="Arial" w:cs="Arial"/>
          <w:color w:val="000000"/>
          <w:kern w:val="0"/>
          <w:lang w:eastAsia="es-PE"/>
          <w14:ligatures w14:val="none"/>
        </w:rPr>
        <w:t>2026</w:t>
      </w:r>
    </w:p>
    <w:p w14:paraId="059A5ED9" w14:textId="77777777" w:rsidR="002A612D" w:rsidRPr="002A612D" w:rsidRDefault="002A612D" w:rsidP="002A612D">
      <w:pPr>
        <w:tabs>
          <w:tab w:val="left" w:pos="851"/>
        </w:tabs>
        <w:spacing w:after="0" w:line="240" w:lineRule="auto"/>
        <w:jc w:val="both"/>
        <w:rPr>
          <w:rFonts w:ascii="Arial" w:eastAsia="Calibri" w:hAnsi="Arial" w:cs="Arial"/>
          <w:color w:val="000000"/>
          <w:kern w:val="0"/>
          <w:lang w:eastAsia="es-PE"/>
          <w14:ligatures w14:val="none"/>
        </w:rPr>
      </w:pPr>
    </w:p>
    <w:p w14:paraId="0E355E3C" w14:textId="77777777" w:rsidR="002A612D" w:rsidRPr="002A612D" w:rsidRDefault="002A612D" w:rsidP="002A612D">
      <w:pPr>
        <w:tabs>
          <w:tab w:val="left" w:pos="851"/>
        </w:tabs>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ANTECEDENTES</w:t>
      </w:r>
    </w:p>
    <w:p w14:paraId="306CEE80" w14:textId="77777777" w:rsidR="002A612D" w:rsidRPr="002A612D" w:rsidRDefault="002A612D" w:rsidP="002A612D">
      <w:pPr>
        <w:spacing w:after="0" w:line="240" w:lineRule="auto"/>
        <w:jc w:val="both"/>
        <w:rPr>
          <w:rFonts w:ascii="Arial" w:eastAsia="Calibri" w:hAnsi="Arial" w:cs="Arial"/>
          <w:color w:val="000000"/>
          <w:kern w:val="0"/>
          <w:lang w:eastAsia="es-PE"/>
          <w14:ligatures w14:val="none"/>
        </w:rPr>
      </w:pPr>
    </w:p>
    <w:p w14:paraId="5E068202" w14:textId="32F2B152" w:rsidR="002A612D" w:rsidRPr="002A612D" w:rsidRDefault="002A612D" w:rsidP="002A612D">
      <w:pPr>
        <w:numPr>
          <w:ilvl w:val="0"/>
          <w:numId w:val="1"/>
        </w:numPr>
        <w:spacing w:after="200" w:line="240" w:lineRule="auto"/>
        <w:ind w:left="567" w:right="7" w:hanging="567"/>
        <w:contextualSpacing/>
        <w:jc w:val="both"/>
        <w:rPr>
          <w:rFonts w:ascii="Arial" w:eastAsia="Arial" w:hAnsi="Arial" w:cs="Arial"/>
          <w:color w:val="000000"/>
          <w:kern w:val="0"/>
          <w:lang w:eastAsia="es-PE"/>
          <w14:ligatures w14:val="none"/>
        </w:rPr>
      </w:pPr>
      <w:bookmarkStart w:id="2" w:name="_Hlk92882898"/>
      <w:r w:rsidRPr="002A612D">
        <w:rPr>
          <w:rFonts w:ascii="Arial" w:eastAsia="Arial" w:hAnsi="Arial" w:cs="Arial"/>
          <w:color w:val="000000"/>
          <w:kern w:val="0"/>
          <w:lang w:eastAsia="es-PE"/>
          <w14:ligatures w14:val="none"/>
        </w:rPr>
        <w:t xml:space="preserve">Mediante escrito del </w:t>
      </w:r>
      <w:r w:rsidR="007B01C3" w:rsidRPr="007B01C3">
        <w:rPr>
          <w:rFonts w:ascii="Arial" w:eastAsia="Arial" w:hAnsi="Arial" w:cs="Arial"/>
          <w:color w:val="000000"/>
          <w:kern w:val="0"/>
          <w:lang w:eastAsia="es-PE"/>
          <w14:ligatures w14:val="none"/>
        </w:rPr>
        <w:t xml:space="preserve">escrito del </w:t>
      </w:r>
      <w:r w:rsidR="00975ED0" w:rsidRPr="00975ED0">
        <w:rPr>
          <w:rFonts w:ascii="Arial" w:eastAsia="Arial" w:hAnsi="Arial" w:cs="Arial"/>
          <w:color w:val="000000"/>
          <w:kern w:val="0"/>
          <w:lang w:eastAsia="es-PE"/>
          <w14:ligatures w14:val="none"/>
        </w:rPr>
        <w:t>3 de julio de 2026, subsanado mediante escrito del 17 de julio de 2026</w:t>
      </w:r>
      <w:r w:rsidR="007B01C3" w:rsidRPr="007B01C3">
        <w:rPr>
          <w:rFonts w:ascii="Arial" w:eastAsia="Arial" w:hAnsi="Arial" w:cs="Arial"/>
          <w:color w:val="000000"/>
          <w:kern w:val="0"/>
          <w:lang w:eastAsia="es-PE"/>
          <w14:ligatures w14:val="none"/>
        </w:rPr>
        <w:t xml:space="preserve">, </w:t>
      </w:r>
      <w:r w:rsidR="00975ED0" w:rsidRPr="00975ED0">
        <w:rPr>
          <w:rFonts w:ascii="Arial" w:eastAsia="Arial" w:hAnsi="Arial" w:cs="Arial"/>
          <w:color w:val="000000"/>
          <w:kern w:val="0"/>
          <w:lang w:eastAsia="es-PE"/>
          <w14:ligatures w14:val="none"/>
        </w:rPr>
        <w:t>Comercial Imar denunció a Pacífico</w:t>
      </w:r>
      <w:r w:rsidR="00975ED0">
        <w:rPr>
          <w:rFonts w:ascii="Arial" w:eastAsia="Arial" w:hAnsi="Arial" w:cs="Arial"/>
          <w:color w:val="000000"/>
          <w:kern w:val="0"/>
          <w:lang w:eastAsia="es-PE"/>
          <w14:ligatures w14:val="none"/>
        </w:rPr>
        <w:t xml:space="preserve"> </w:t>
      </w:r>
      <w:r w:rsidRPr="002A612D">
        <w:rPr>
          <w:rFonts w:ascii="Arial" w:eastAsia="Arial" w:hAnsi="Arial" w:cs="Arial"/>
          <w:color w:val="000000"/>
          <w:kern w:val="0"/>
          <w:lang w:eastAsia="es-PE"/>
          <w14:ligatures w14:val="none"/>
        </w:rPr>
        <w:t>por presuntas infracciones a la Ley N° 29571, Código de Protección y Defensa del Consumidor (en adelante, Código), señalando que:</w:t>
      </w:r>
      <w:bookmarkEnd w:id="2"/>
    </w:p>
    <w:p w14:paraId="10414CEB" w14:textId="77777777" w:rsidR="007B01C3" w:rsidRPr="00FC6D73" w:rsidRDefault="007B01C3" w:rsidP="00FC6D73">
      <w:pPr>
        <w:pBdr>
          <w:top w:val="nil"/>
          <w:left w:val="nil"/>
          <w:bottom w:val="nil"/>
          <w:right w:val="nil"/>
          <w:between w:val="nil"/>
        </w:pBdr>
        <w:spacing w:after="0" w:line="240" w:lineRule="auto"/>
        <w:jc w:val="both"/>
        <w:rPr>
          <w:rFonts w:ascii="Arial" w:eastAsia="Arial Narrow" w:hAnsi="Arial" w:cs="Arial"/>
          <w:color w:val="000000"/>
          <w:kern w:val="0"/>
          <w:highlight w:val="green"/>
          <w:lang w:eastAsia="es-PE"/>
          <w14:ligatures w14:val="none"/>
        </w:rPr>
      </w:pPr>
    </w:p>
    <w:p w14:paraId="215BE3BD" w14:textId="17FBF29A" w:rsidR="00FC6D73" w:rsidRPr="00FC6D73" w:rsidRDefault="00FC6D73" w:rsidP="00FC6D7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FC6D73">
        <w:rPr>
          <w:rFonts w:ascii="Arial" w:eastAsia="Arial Narrow" w:hAnsi="Arial" w:cs="Arial"/>
          <w:color w:val="000000"/>
          <w:kern w:val="0"/>
          <w:lang w:eastAsia="es-PE"/>
          <w14:ligatures w14:val="none"/>
        </w:rPr>
        <w:t xml:space="preserve">El 11 de setiembre de 2025, </w:t>
      </w:r>
      <w:r>
        <w:rPr>
          <w:rFonts w:ascii="Arial" w:eastAsia="Arial Narrow" w:hAnsi="Arial" w:cs="Arial"/>
          <w:color w:val="000000"/>
          <w:kern w:val="0"/>
          <w:lang w:eastAsia="es-PE"/>
          <w14:ligatures w14:val="none"/>
        </w:rPr>
        <w:t>adquirió</w:t>
      </w:r>
      <w:r w:rsidRPr="00FC6D73">
        <w:rPr>
          <w:rFonts w:ascii="Arial" w:eastAsia="Arial Narrow" w:hAnsi="Arial" w:cs="Arial"/>
          <w:color w:val="000000"/>
          <w:kern w:val="0"/>
          <w:lang w:eastAsia="es-PE"/>
          <w14:ligatures w14:val="none"/>
        </w:rPr>
        <w:t xml:space="preserve"> con Pacífico el </w:t>
      </w:r>
      <w:r w:rsidRPr="00DD79DE">
        <w:rPr>
          <w:rFonts w:ascii="Arial" w:eastAsia="Arial" w:hAnsi="Arial" w:cs="Arial"/>
          <w:color w:val="000000"/>
          <w:kern w:val="0"/>
          <w:shd w:val="clear" w:color="auto" w:fill="FFFFFF"/>
          <w:lang w:eastAsia="es-PE"/>
          <w14:ligatures w14:val="none"/>
        </w:rPr>
        <w:t xml:space="preserve">Seguro Vehicular </w:t>
      </w:r>
      <w:r w:rsidRPr="00FC6D73">
        <w:rPr>
          <w:rFonts w:ascii="Arial" w:eastAsia="Arial Narrow" w:hAnsi="Arial" w:cs="Arial"/>
          <w:color w:val="000000"/>
          <w:kern w:val="0"/>
          <w:lang w:eastAsia="es-PE"/>
          <w14:ligatures w14:val="none"/>
        </w:rPr>
        <w:t>– Póliza 15734923, vigente hasta el 11 de setiembre de 2026, que cubría robo por asalto y transporte terrestre de carga, con un límite máximo de S/ 500 000 por viaje.</w:t>
      </w:r>
    </w:p>
    <w:p w14:paraId="5D3C9470" w14:textId="77777777" w:rsidR="00FC6D73" w:rsidRPr="00FC6D73" w:rsidRDefault="00FC6D73" w:rsidP="00FC6D73">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lang w:eastAsia="es-PE"/>
          <w14:ligatures w14:val="none"/>
        </w:rPr>
      </w:pPr>
    </w:p>
    <w:p w14:paraId="7817712A" w14:textId="6F7E03F0" w:rsidR="00FC6D73" w:rsidRPr="00FC6D73" w:rsidRDefault="00FC6D73" w:rsidP="00FC6D7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Pr>
          <w:rFonts w:ascii="Arial" w:eastAsia="Arial Narrow" w:hAnsi="Arial" w:cs="Arial"/>
          <w:color w:val="000000"/>
          <w:kern w:val="0"/>
          <w:lang w:eastAsia="es-PE"/>
          <w14:ligatures w14:val="none"/>
        </w:rPr>
        <w:t>Posteriormente</w:t>
      </w:r>
      <w:r w:rsidRPr="00FC6D73">
        <w:rPr>
          <w:rFonts w:ascii="Arial" w:eastAsia="Arial Narrow" w:hAnsi="Arial" w:cs="Arial"/>
          <w:color w:val="000000"/>
          <w:kern w:val="0"/>
          <w:lang w:eastAsia="es-PE"/>
          <w14:ligatures w14:val="none"/>
        </w:rPr>
        <w:t>, adquirió mercadería consignada en las facturas F360-1208906 y F360-1208907, incluyendo cajas de panetones, que fueron transportadas en el vehículo con Placa de Rodaje ARX-745.</w:t>
      </w:r>
    </w:p>
    <w:p w14:paraId="365D485A" w14:textId="77777777" w:rsidR="00FC6D73" w:rsidRPr="00FC6D73" w:rsidRDefault="00FC6D73" w:rsidP="00FC6D73">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lang w:eastAsia="es-PE"/>
          <w14:ligatures w14:val="none"/>
        </w:rPr>
      </w:pPr>
    </w:p>
    <w:p w14:paraId="33AD7458" w14:textId="6EB2FBD7" w:rsidR="00FC6D73" w:rsidRPr="00FC6D73" w:rsidRDefault="00FC6D73" w:rsidP="00FC6D7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FC6D73">
        <w:rPr>
          <w:rFonts w:ascii="Arial" w:eastAsia="Arial Narrow" w:hAnsi="Arial" w:cs="Arial"/>
          <w:color w:val="000000"/>
          <w:kern w:val="0"/>
          <w:lang w:eastAsia="es-PE"/>
          <w14:ligatures w14:val="none"/>
        </w:rPr>
        <w:t xml:space="preserve">El 26 de noviembre de 2025, se produjo un robo por asalto del vehículo con Placa de Rodaje ARX-745. Ese día, el </w:t>
      </w:r>
      <w:r>
        <w:rPr>
          <w:rFonts w:ascii="Arial" w:eastAsia="Arial Narrow" w:hAnsi="Arial" w:cs="Arial"/>
          <w:color w:val="000000"/>
          <w:kern w:val="0"/>
          <w:lang w:eastAsia="es-PE"/>
          <w14:ligatures w14:val="none"/>
        </w:rPr>
        <w:t>sistema de posicionamiento global</w:t>
      </w:r>
      <w:r w:rsidRPr="00FC6D73">
        <w:rPr>
          <w:rFonts w:ascii="Arial" w:eastAsia="Arial Narrow" w:hAnsi="Arial" w:cs="Arial"/>
          <w:color w:val="000000"/>
          <w:kern w:val="0"/>
          <w:lang w:eastAsia="es-PE"/>
          <w14:ligatures w14:val="none"/>
        </w:rPr>
        <w:t xml:space="preserve"> transmitió señal hasta las 20:36:55 y posteriormente fue apagado por terceros, conforme al Informe Técnico de GyZ Tec Perú S.A.C. y al informe “ATENCIÓN SINIESTRO GPS”.</w:t>
      </w:r>
    </w:p>
    <w:p w14:paraId="20553108" w14:textId="77777777" w:rsidR="00FC6D73" w:rsidRPr="00FC6D73" w:rsidRDefault="00FC6D73" w:rsidP="00FC6D73">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lang w:eastAsia="es-PE"/>
          <w14:ligatures w14:val="none"/>
        </w:rPr>
      </w:pPr>
    </w:p>
    <w:p w14:paraId="7F46CA4E" w14:textId="5101AE25" w:rsidR="00FC6D73" w:rsidRPr="00FC6D73" w:rsidRDefault="00FC6D73" w:rsidP="00FC6D7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FC6D73">
        <w:rPr>
          <w:rFonts w:ascii="Arial" w:eastAsia="Arial Narrow" w:hAnsi="Arial" w:cs="Arial"/>
          <w:color w:val="000000"/>
          <w:kern w:val="0"/>
          <w:lang w:eastAsia="es-PE"/>
          <w14:ligatures w14:val="none"/>
        </w:rPr>
        <w:t xml:space="preserve">El 27 de noviembre de 2025, </w:t>
      </w:r>
      <w:r>
        <w:rPr>
          <w:rFonts w:ascii="Arial" w:eastAsia="Arial Narrow" w:hAnsi="Arial" w:cs="Arial"/>
          <w:color w:val="000000"/>
          <w:kern w:val="0"/>
          <w:lang w:eastAsia="es-PE"/>
          <w14:ligatures w14:val="none"/>
        </w:rPr>
        <w:t>se</w:t>
      </w:r>
      <w:r w:rsidRPr="00FC6D73">
        <w:rPr>
          <w:rFonts w:ascii="Arial" w:eastAsia="Arial Narrow" w:hAnsi="Arial" w:cs="Arial"/>
          <w:color w:val="000000"/>
          <w:kern w:val="0"/>
          <w:lang w:eastAsia="es-PE"/>
          <w14:ligatures w14:val="none"/>
        </w:rPr>
        <w:t xml:space="preserve"> reportó la incidencia del </w:t>
      </w:r>
      <w:r>
        <w:rPr>
          <w:rFonts w:ascii="Arial" w:eastAsia="Arial Narrow" w:hAnsi="Arial" w:cs="Arial"/>
          <w:color w:val="000000"/>
          <w:kern w:val="0"/>
          <w:lang w:eastAsia="es-PE"/>
          <w14:ligatures w14:val="none"/>
        </w:rPr>
        <w:t>sistema de posicionamiento global</w:t>
      </w:r>
      <w:r w:rsidRPr="00FC6D73">
        <w:rPr>
          <w:rFonts w:ascii="Arial" w:eastAsia="Arial Narrow" w:hAnsi="Arial" w:cs="Arial"/>
          <w:color w:val="000000"/>
          <w:kern w:val="0"/>
          <w:lang w:eastAsia="es-PE"/>
          <w14:ligatures w14:val="none"/>
        </w:rPr>
        <w:t xml:space="preserve"> </w:t>
      </w:r>
      <w:r>
        <w:rPr>
          <w:rFonts w:ascii="Arial" w:eastAsia="Arial Narrow" w:hAnsi="Arial" w:cs="Arial"/>
          <w:color w:val="000000"/>
          <w:kern w:val="0"/>
          <w:lang w:eastAsia="es-PE"/>
          <w14:ligatures w14:val="none"/>
        </w:rPr>
        <w:t xml:space="preserve">y se </w:t>
      </w:r>
      <w:r w:rsidRPr="00FC6D73">
        <w:rPr>
          <w:rFonts w:ascii="Arial" w:eastAsia="Arial Narrow" w:hAnsi="Arial" w:cs="Arial"/>
          <w:color w:val="000000"/>
          <w:kern w:val="0"/>
          <w:lang w:eastAsia="es-PE"/>
          <w14:ligatures w14:val="none"/>
        </w:rPr>
        <w:t xml:space="preserve">realizó validaciones técnicas y </w:t>
      </w:r>
      <w:r>
        <w:rPr>
          <w:rFonts w:ascii="Arial" w:eastAsia="Arial Narrow" w:hAnsi="Arial" w:cs="Arial"/>
          <w:color w:val="000000"/>
          <w:kern w:val="0"/>
          <w:lang w:eastAsia="es-PE"/>
          <w14:ligatures w14:val="none"/>
        </w:rPr>
        <w:t xml:space="preserve">se </w:t>
      </w:r>
      <w:r w:rsidRPr="00FC6D73">
        <w:rPr>
          <w:rFonts w:ascii="Arial" w:eastAsia="Arial Narrow" w:hAnsi="Arial" w:cs="Arial"/>
          <w:color w:val="000000"/>
          <w:kern w:val="0"/>
          <w:lang w:eastAsia="es-PE"/>
          <w14:ligatures w14:val="none"/>
        </w:rPr>
        <w:t>determinó la manipulación del dispositivo y la posibilidad del uso de un bloqueador de señal. En esa fecha, se formuló la denuncia policial.</w:t>
      </w:r>
    </w:p>
    <w:p w14:paraId="59CC20B3" w14:textId="77777777" w:rsidR="00FC6D73" w:rsidRPr="00FC6D73" w:rsidRDefault="00FC6D73" w:rsidP="00FC6D73">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lang w:eastAsia="es-PE"/>
          <w14:ligatures w14:val="none"/>
        </w:rPr>
      </w:pPr>
    </w:p>
    <w:p w14:paraId="070F515E" w14:textId="1354E72F" w:rsidR="00FC6D73" w:rsidRPr="00FC6D73" w:rsidRDefault="00FC6D73" w:rsidP="00FC6D7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FC6D73">
        <w:rPr>
          <w:rFonts w:ascii="Arial" w:eastAsia="Arial Narrow" w:hAnsi="Arial" w:cs="Arial"/>
          <w:color w:val="000000"/>
          <w:kern w:val="0"/>
          <w:lang w:eastAsia="es-PE"/>
          <w14:ligatures w14:val="none"/>
        </w:rPr>
        <w:t xml:space="preserve">El 16 de febrero de 2026, mediante carta GSIN-10846/2026, Pacífico rechazó la cobertura del siniestro N° 17309578, pese a señalar que el </w:t>
      </w:r>
      <w:r w:rsidRPr="00FC6D73">
        <w:rPr>
          <w:rFonts w:ascii="Arial" w:eastAsia="Arial" w:hAnsi="Arial" w:cs="Arial"/>
          <w:color w:val="000000"/>
          <w:kern w:val="0"/>
          <w:shd w:val="clear" w:color="auto" w:fill="FFFFFF"/>
          <w:lang w:eastAsia="es-PE"/>
          <w14:ligatures w14:val="none"/>
        </w:rPr>
        <w:t xml:space="preserve">Seguro Vehicular </w:t>
      </w:r>
      <w:r w:rsidRPr="00FC6D73">
        <w:rPr>
          <w:rFonts w:ascii="Arial" w:eastAsia="Arial Narrow" w:hAnsi="Arial" w:cs="Arial"/>
          <w:color w:val="000000"/>
          <w:kern w:val="0"/>
          <w:lang w:eastAsia="es-PE"/>
          <w14:ligatures w14:val="none"/>
        </w:rPr>
        <w:t xml:space="preserve">se encontraba vigente y cubría el robo por asalto, sustentando la negativa en el monitoreo del sistema de posicionamiento global y el plan de contingencia. </w:t>
      </w:r>
    </w:p>
    <w:p w14:paraId="71B12A8F" w14:textId="77777777" w:rsidR="00FC6D73" w:rsidRPr="00FC6D73" w:rsidRDefault="00FC6D73" w:rsidP="00FC6D73">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lang w:eastAsia="es-PE"/>
          <w14:ligatures w14:val="none"/>
        </w:rPr>
      </w:pPr>
    </w:p>
    <w:p w14:paraId="534E5B3A" w14:textId="218D5E1D" w:rsidR="009A5D23" w:rsidRPr="00FC6D73" w:rsidRDefault="00FC6D73" w:rsidP="00FC6D73">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FC6D73">
        <w:rPr>
          <w:rFonts w:ascii="Arial" w:eastAsia="Arial Narrow" w:hAnsi="Arial" w:cs="Arial"/>
          <w:color w:val="000000"/>
          <w:kern w:val="0"/>
          <w:lang w:eastAsia="es-PE"/>
          <w14:ligatures w14:val="none"/>
        </w:rPr>
        <w:lastRenderedPageBreak/>
        <w:t>El 15 de junio de 2026, mediante carta GSIN-11678/2026, Pacífico resolvió el recurso de reconsideración y mantuvo el rechazo del siniestro N.° 17309578, señalando como sustento obligaciones relacionadas con el monitoreo, la reacción inmediata y el estacionamiento seguro.</w:t>
      </w:r>
    </w:p>
    <w:p w14:paraId="000E9A37" w14:textId="77777777" w:rsidR="009A5D23" w:rsidRPr="00FC6D73" w:rsidRDefault="009A5D23" w:rsidP="009A5D23">
      <w:pPr>
        <w:pBdr>
          <w:top w:val="nil"/>
          <w:left w:val="nil"/>
          <w:bottom w:val="nil"/>
          <w:right w:val="nil"/>
          <w:between w:val="nil"/>
        </w:pBdr>
        <w:spacing w:after="0" w:line="276" w:lineRule="auto"/>
        <w:jc w:val="both"/>
        <w:rPr>
          <w:rFonts w:ascii="Arial" w:eastAsia="Arial Narrow" w:hAnsi="Arial" w:cs="Arial"/>
          <w:color w:val="000000"/>
          <w:kern w:val="0"/>
          <w:lang w:eastAsia="es-PE"/>
          <w14:ligatures w14:val="none"/>
        </w:rPr>
      </w:pPr>
    </w:p>
    <w:p w14:paraId="4B3ED0CC" w14:textId="38AC4E44" w:rsidR="002A612D" w:rsidRPr="00FC6D73" w:rsidRDefault="00975ED0" w:rsidP="002A612D">
      <w:pPr>
        <w:numPr>
          <w:ilvl w:val="0"/>
          <w:numId w:val="1"/>
        </w:numPr>
        <w:spacing w:after="0" w:line="240" w:lineRule="auto"/>
        <w:ind w:left="567" w:hanging="567"/>
        <w:contextualSpacing/>
        <w:jc w:val="both"/>
        <w:textAlignment w:val="baseline"/>
        <w:rPr>
          <w:rFonts w:ascii="Arial" w:eastAsia="Arial" w:hAnsi="Arial" w:cs="Arial"/>
          <w:kern w:val="0"/>
          <w:lang w:eastAsia="es-PE"/>
          <w14:ligatures w14:val="none"/>
        </w:rPr>
      </w:pPr>
      <w:r w:rsidRPr="00FC6D73">
        <w:rPr>
          <w:rFonts w:ascii="Arial" w:eastAsia="Arial" w:hAnsi="Arial" w:cs="Arial"/>
          <w:color w:val="000000"/>
          <w:kern w:val="0"/>
          <w:shd w:val="clear" w:color="auto" w:fill="FFFFFF"/>
          <w:lang w:val="es-ES" w:eastAsia="es-PE"/>
          <w14:ligatures w14:val="none"/>
        </w:rPr>
        <w:t xml:space="preserve">Comercial Imar </w:t>
      </w:r>
      <w:r w:rsidR="00A05235" w:rsidRPr="00FC6D73">
        <w:rPr>
          <w:rFonts w:ascii="Arial" w:eastAsia="Arial" w:hAnsi="Arial" w:cs="Arial"/>
          <w:color w:val="000000"/>
          <w:kern w:val="0"/>
          <w:shd w:val="clear" w:color="auto" w:fill="FFFFFF"/>
          <w:lang w:val="es-ES" w:eastAsia="es-PE"/>
          <w14:ligatures w14:val="none"/>
        </w:rPr>
        <w:t xml:space="preserve">solicitó, en calidad de medida correctiva, </w:t>
      </w:r>
      <w:r w:rsidRPr="00FC6D73">
        <w:rPr>
          <w:rFonts w:ascii="Arial" w:eastAsia="Arial" w:hAnsi="Arial" w:cs="Arial"/>
          <w:color w:val="000000"/>
          <w:kern w:val="0"/>
          <w:shd w:val="clear" w:color="auto" w:fill="FFFFFF"/>
          <w:lang w:val="es-ES" w:eastAsia="es-PE"/>
          <w14:ligatures w14:val="none"/>
        </w:rPr>
        <w:t>que Pacífico cumpla con otorgar la cobertura del Seguro vehicular por el siniestro N° 17309578 y pagar la indemnización que corresponda. Asimismo, no requirió de manera expresa el reembolso de costos y costas del presente procedimiento</w:t>
      </w:r>
      <w:r w:rsidR="002A612D" w:rsidRPr="00FC6D73">
        <w:rPr>
          <w:rFonts w:ascii="Arial" w:eastAsia="Arial" w:hAnsi="Arial" w:cs="Arial"/>
          <w:kern w:val="0"/>
          <w:lang w:eastAsia="es-PE"/>
          <w14:ligatures w14:val="none"/>
        </w:rPr>
        <w:t xml:space="preserve">.   </w:t>
      </w:r>
    </w:p>
    <w:p w14:paraId="43DD1161" w14:textId="77777777" w:rsidR="002A612D" w:rsidRPr="002A612D" w:rsidRDefault="002A612D" w:rsidP="002A612D">
      <w:pPr>
        <w:spacing w:after="0" w:line="240" w:lineRule="auto"/>
        <w:ind w:left="567"/>
        <w:contextualSpacing/>
        <w:jc w:val="both"/>
        <w:textAlignment w:val="baseline"/>
        <w:rPr>
          <w:rFonts w:ascii="Arial" w:eastAsia="Arial Narrow" w:hAnsi="Arial" w:cs="Arial"/>
          <w:color w:val="000000"/>
          <w:kern w:val="0"/>
          <w:lang w:val="es-ES" w:eastAsia="es-PE"/>
          <w14:ligatures w14:val="none"/>
        </w:rPr>
      </w:pPr>
    </w:p>
    <w:p w14:paraId="12F0939A" w14:textId="50DBBF34" w:rsidR="002A612D" w:rsidRPr="002A612D" w:rsidRDefault="002A612D" w:rsidP="002A612D">
      <w:pPr>
        <w:numPr>
          <w:ilvl w:val="0"/>
          <w:numId w:val="1"/>
        </w:numPr>
        <w:spacing w:after="0" w:line="240" w:lineRule="auto"/>
        <w:ind w:left="567" w:hanging="567"/>
        <w:contextualSpacing/>
        <w:jc w:val="both"/>
        <w:textAlignment w:val="baseline"/>
        <w:rPr>
          <w:rFonts w:ascii="Arial" w:eastAsia="Arial Narrow" w:hAnsi="Arial" w:cs="Arial"/>
          <w:color w:val="000000"/>
          <w:kern w:val="0"/>
          <w:lang w:val="es-ES" w:eastAsia="es-PE"/>
          <w14:ligatures w14:val="none"/>
        </w:rPr>
      </w:pPr>
      <w:r w:rsidRPr="002A612D">
        <w:rPr>
          <w:rFonts w:ascii="Arial" w:eastAsia="Arial" w:hAnsi="Arial" w:cs="Arial"/>
          <w:color w:val="000000"/>
          <w:kern w:val="0"/>
          <w:shd w:val="clear" w:color="auto" w:fill="FFFFFF"/>
          <w:lang w:val="es-ES" w:eastAsia="es-PE"/>
          <w14:ligatures w14:val="none"/>
        </w:rPr>
        <w:t xml:space="preserve">Mediante </w:t>
      </w:r>
      <w:r w:rsidR="00DD79DE" w:rsidRPr="00DD79DE">
        <w:rPr>
          <w:rFonts w:ascii="Arial" w:eastAsia="Arial" w:hAnsi="Arial" w:cs="Arial"/>
          <w:color w:val="000000"/>
          <w:kern w:val="0"/>
          <w:shd w:val="clear" w:color="auto" w:fill="FFFFFF"/>
          <w:lang w:eastAsia="es-PE"/>
          <w14:ligatures w14:val="none"/>
        </w:rPr>
        <w:t>Resolución N°1 del 10 de julio de 2026</w:t>
      </w:r>
      <w:r w:rsidRPr="00A05235">
        <w:rPr>
          <w:rFonts w:ascii="Arial" w:eastAsia="Arial" w:hAnsi="Arial" w:cs="Arial"/>
          <w:color w:val="000000"/>
          <w:kern w:val="0"/>
          <w:shd w:val="clear" w:color="auto" w:fill="FFFFFF"/>
          <w:lang w:eastAsia="es-PE"/>
          <w14:ligatures w14:val="none"/>
        </w:rPr>
        <w:t>, la Secretaría Técnica de la Comisión de Protección al Consumidor N° 1 (en adelante, Secretaría Técnica), requirió a la empresa denunciante, entre</w:t>
      </w:r>
      <w:r w:rsidRPr="002A612D">
        <w:rPr>
          <w:rFonts w:ascii="Arial" w:eastAsia="Arial" w:hAnsi="Arial" w:cs="Arial"/>
          <w:color w:val="000000"/>
          <w:kern w:val="0"/>
          <w:shd w:val="clear" w:color="auto" w:fill="FFFFFF"/>
          <w:lang w:eastAsia="es-PE"/>
          <w14:ligatures w14:val="none"/>
        </w:rPr>
        <w:t xml:space="preserve"> </w:t>
      </w:r>
      <w:r w:rsidRPr="00DD79DE">
        <w:rPr>
          <w:rFonts w:ascii="Arial" w:eastAsia="Arial" w:hAnsi="Arial" w:cs="Arial"/>
          <w:color w:val="000000"/>
          <w:kern w:val="0"/>
          <w:shd w:val="clear" w:color="auto" w:fill="FFFFFF"/>
          <w:lang w:eastAsia="es-PE"/>
          <w14:ligatures w14:val="none"/>
        </w:rPr>
        <w:t xml:space="preserve">otros, que cumpla con presentar: (i) las </w:t>
      </w:r>
      <w:r w:rsidR="00AA6F9A" w:rsidRPr="00DD79DE">
        <w:rPr>
          <w:rFonts w:ascii="Arial" w:eastAsia="Arial" w:hAnsi="Arial" w:cs="Arial"/>
          <w:color w:val="000000"/>
          <w:kern w:val="0"/>
          <w:shd w:val="clear" w:color="auto" w:fill="FFFFFF"/>
          <w:lang w:eastAsia="es-PE"/>
          <w14:ligatures w14:val="none"/>
        </w:rPr>
        <w:t xml:space="preserve">declaraciones juradas mensuales (PDT-IGV Renta mensual) del Impuesto General a las Ventas (IGV) e Impuesto a la Renta (IR) en el cual consten los ingresos netos mensuales del ejercicio correspondiente al </w:t>
      </w:r>
      <w:r w:rsidR="00DD79DE" w:rsidRPr="00DD79DE">
        <w:rPr>
          <w:rFonts w:ascii="Arial" w:eastAsia="Arial" w:hAnsi="Arial" w:cs="Arial"/>
          <w:color w:val="000000"/>
          <w:kern w:val="0"/>
          <w:shd w:val="clear" w:color="auto" w:fill="FFFFFF"/>
          <w:lang w:eastAsia="es-PE"/>
          <w14:ligatures w14:val="none"/>
        </w:rPr>
        <w:t>2025</w:t>
      </w:r>
      <w:r w:rsidR="00AA6F9A" w:rsidRPr="00DD79DE">
        <w:rPr>
          <w:rFonts w:ascii="Arial" w:eastAsia="Arial" w:hAnsi="Arial" w:cs="Arial"/>
          <w:color w:val="000000"/>
          <w:kern w:val="0"/>
          <w:shd w:val="clear" w:color="auto" w:fill="FFFFFF"/>
          <w:lang w:eastAsia="es-PE"/>
          <w14:ligatures w14:val="none"/>
        </w:rPr>
        <w:t xml:space="preserve"> (año anterior a la interposición de la denuncia), toda vez que el titular de la </w:t>
      </w:r>
      <w:r w:rsidR="00DD79DE" w:rsidRPr="00DD79DE">
        <w:rPr>
          <w:rFonts w:ascii="Arial" w:eastAsia="Arial" w:hAnsi="Arial" w:cs="Arial"/>
          <w:color w:val="000000"/>
          <w:kern w:val="0"/>
          <w:shd w:val="clear" w:color="auto" w:fill="FFFFFF"/>
          <w:lang w:eastAsia="es-PE"/>
          <w14:ligatures w14:val="none"/>
        </w:rPr>
        <w:t xml:space="preserve">Póliza N° 15734923 del Seguro Vehicular es una persona jurídica </w:t>
      </w:r>
      <w:r w:rsidR="00AA6F9A" w:rsidRPr="00DD79DE">
        <w:rPr>
          <w:rFonts w:ascii="Arial" w:eastAsia="Arial" w:hAnsi="Arial" w:cs="Arial"/>
          <w:color w:val="000000"/>
          <w:kern w:val="0"/>
          <w:shd w:val="clear" w:color="auto" w:fill="FFFFFF"/>
          <w:lang w:eastAsia="es-PE"/>
          <w14:ligatures w14:val="none"/>
        </w:rPr>
        <w:t>es una persona jurídica</w:t>
      </w:r>
      <w:r w:rsidRPr="00DD79DE">
        <w:rPr>
          <w:rFonts w:ascii="Arial" w:eastAsia="Arial" w:hAnsi="Arial" w:cs="Arial"/>
          <w:color w:val="000000"/>
          <w:kern w:val="0"/>
          <w:shd w:val="clear" w:color="auto" w:fill="FFFFFF"/>
          <w:lang w:eastAsia="es-PE"/>
          <w14:ligatures w14:val="none"/>
        </w:rPr>
        <w:t>.</w:t>
      </w:r>
      <w:r w:rsidRPr="002A612D">
        <w:rPr>
          <w:rFonts w:ascii="Arial" w:eastAsia="Arial" w:hAnsi="Arial" w:cs="Arial"/>
          <w:color w:val="000000"/>
          <w:kern w:val="0"/>
          <w:shd w:val="clear" w:color="auto" w:fill="FFFFFF"/>
          <w:lang w:eastAsia="es-PE"/>
          <w14:ligatures w14:val="none"/>
        </w:rPr>
        <w:t> </w:t>
      </w:r>
    </w:p>
    <w:p w14:paraId="325B3ADC" w14:textId="77777777" w:rsidR="002A612D" w:rsidRPr="002A612D" w:rsidRDefault="002A612D" w:rsidP="002A612D">
      <w:pPr>
        <w:spacing w:after="0" w:line="240" w:lineRule="auto"/>
        <w:ind w:left="567"/>
        <w:contextualSpacing/>
        <w:jc w:val="both"/>
        <w:textAlignment w:val="baseline"/>
        <w:rPr>
          <w:rFonts w:ascii="Arial" w:eastAsia="Arial Narrow" w:hAnsi="Arial" w:cs="Arial"/>
          <w:color w:val="000000"/>
          <w:kern w:val="0"/>
          <w:lang w:val="es-ES" w:eastAsia="es-PE"/>
          <w14:ligatures w14:val="none"/>
        </w:rPr>
      </w:pPr>
    </w:p>
    <w:p w14:paraId="70EDE16F" w14:textId="4F551C23" w:rsidR="002A612D" w:rsidRPr="002A612D" w:rsidRDefault="002A612D" w:rsidP="002A612D">
      <w:pPr>
        <w:numPr>
          <w:ilvl w:val="0"/>
          <w:numId w:val="1"/>
        </w:numPr>
        <w:spacing w:after="0" w:line="240" w:lineRule="auto"/>
        <w:ind w:left="567" w:hanging="567"/>
        <w:contextualSpacing/>
        <w:jc w:val="both"/>
        <w:textAlignment w:val="baseline"/>
        <w:rPr>
          <w:rFonts w:ascii="Arial" w:eastAsia="Arial Narrow" w:hAnsi="Arial" w:cs="Arial"/>
          <w:color w:val="000000"/>
          <w:kern w:val="0"/>
          <w:lang w:val="es-ES" w:eastAsia="es-PE"/>
          <w14:ligatures w14:val="none"/>
        </w:rPr>
      </w:pPr>
      <w:r w:rsidRPr="002A612D">
        <w:rPr>
          <w:rFonts w:ascii="Arial" w:eastAsia="Arial" w:hAnsi="Arial" w:cs="Arial"/>
          <w:color w:val="000000"/>
          <w:kern w:val="0"/>
          <w:lang w:eastAsia="es-PE"/>
          <w14:ligatures w14:val="none"/>
        </w:rPr>
        <w:t xml:space="preserve">Por </w:t>
      </w:r>
      <w:r w:rsidRPr="001E6D4C">
        <w:rPr>
          <w:rFonts w:ascii="Arial" w:eastAsia="Arial" w:hAnsi="Arial" w:cs="Arial"/>
          <w:color w:val="000000"/>
          <w:kern w:val="0"/>
          <w:lang w:eastAsia="es-PE"/>
          <w14:ligatures w14:val="none"/>
        </w:rPr>
        <w:t xml:space="preserve">escrito del </w:t>
      </w:r>
      <w:r w:rsidR="00DD79DE" w:rsidRPr="00DD79DE">
        <w:rPr>
          <w:rFonts w:ascii="Arial" w:hAnsi="Arial" w:cs="Arial"/>
        </w:rPr>
        <w:t>17 de julio de 2026</w:t>
      </w:r>
      <w:r w:rsidRPr="001E6D4C">
        <w:rPr>
          <w:rFonts w:ascii="Arial" w:eastAsia="Arial" w:hAnsi="Arial" w:cs="Arial"/>
          <w:kern w:val="0"/>
          <w:shd w:val="clear" w:color="auto" w:fill="FFFFFF"/>
          <w:lang w:eastAsia="es-PE"/>
          <w14:ligatures w14:val="none"/>
        </w:rPr>
        <w:t xml:space="preserve">, </w:t>
      </w:r>
      <w:r w:rsidR="00DD79DE" w:rsidRPr="00DD79DE">
        <w:rPr>
          <w:rFonts w:ascii="Arial" w:eastAsia="Arial" w:hAnsi="Arial" w:cs="Arial"/>
          <w:color w:val="000000"/>
          <w:kern w:val="0"/>
          <w:lang w:eastAsia="es-PE"/>
          <w14:ligatures w14:val="none"/>
        </w:rPr>
        <w:t xml:space="preserve">Comercial Imar </w:t>
      </w:r>
      <w:r w:rsidRPr="001E6D4C">
        <w:rPr>
          <w:rFonts w:ascii="Arial" w:eastAsia="Arial" w:hAnsi="Arial" w:cs="Arial"/>
          <w:kern w:val="0"/>
          <w:lang w:eastAsia="es-PE"/>
          <w14:ligatures w14:val="none"/>
        </w:rPr>
        <w:t xml:space="preserve">presentó </w:t>
      </w:r>
      <w:r w:rsidRPr="001E6D4C">
        <w:rPr>
          <w:rFonts w:ascii="Arial" w:eastAsia="Arial" w:hAnsi="Arial" w:cs="Arial"/>
          <w:bCs/>
          <w:color w:val="000000"/>
          <w:kern w:val="0"/>
          <w:lang w:eastAsia="es-PE"/>
          <w14:ligatures w14:val="none"/>
        </w:rPr>
        <w:t>las declaraciones mensuales (PDT-IGV Renta mensual) del Impuesto General a las Ventas (IGV) e Impuesto a la Renta (IR) com</w:t>
      </w:r>
      <w:r w:rsidRPr="002A612D">
        <w:rPr>
          <w:rFonts w:ascii="Arial" w:eastAsia="Arial" w:hAnsi="Arial" w:cs="Arial"/>
          <w:bCs/>
          <w:color w:val="000000"/>
          <w:kern w:val="0"/>
          <w:lang w:eastAsia="es-PE"/>
          <w14:ligatures w14:val="none"/>
        </w:rPr>
        <w:t xml:space="preserve">pletas, del ejercicio correspondiente al año </w:t>
      </w:r>
      <w:r w:rsidR="00DD79DE">
        <w:rPr>
          <w:rFonts w:ascii="Arial" w:eastAsia="Arial" w:hAnsi="Arial" w:cs="Arial"/>
          <w:bCs/>
          <w:color w:val="000000"/>
          <w:kern w:val="0"/>
          <w:lang w:eastAsia="es-PE"/>
          <w14:ligatures w14:val="none"/>
        </w:rPr>
        <w:t>2025</w:t>
      </w:r>
      <w:r w:rsidRPr="002A612D">
        <w:rPr>
          <w:rFonts w:ascii="Arial" w:eastAsia="Arial" w:hAnsi="Arial" w:cs="Arial"/>
          <w:bCs/>
          <w:color w:val="000000"/>
          <w:kern w:val="0"/>
          <w:lang w:eastAsia="es-PE"/>
          <w14:ligatures w14:val="none"/>
        </w:rPr>
        <w:t xml:space="preserve">. </w:t>
      </w:r>
    </w:p>
    <w:p w14:paraId="70EE6585" w14:textId="77777777" w:rsidR="002A612D" w:rsidRPr="002A612D" w:rsidRDefault="002A612D" w:rsidP="002A612D">
      <w:pPr>
        <w:spacing w:after="0" w:line="240" w:lineRule="auto"/>
        <w:ind w:left="567"/>
        <w:contextualSpacing/>
        <w:jc w:val="both"/>
        <w:rPr>
          <w:rFonts w:ascii="Arial" w:eastAsia="Arial" w:hAnsi="Arial" w:cs="Arial"/>
          <w:color w:val="000000"/>
          <w:kern w:val="0"/>
          <w:u w:val="single"/>
          <w:lang w:eastAsia="es-PE"/>
          <w14:ligatures w14:val="none"/>
        </w:rPr>
      </w:pPr>
    </w:p>
    <w:p w14:paraId="04B98573" w14:textId="7753A136" w:rsidR="002A612D" w:rsidRPr="00302247" w:rsidRDefault="002A612D" w:rsidP="002A612D">
      <w:pPr>
        <w:numPr>
          <w:ilvl w:val="0"/>
          <w:numId w:val="1"/>
        </w:numPr>
        <w:spacing w:after="0" w:line="240" w:lineRule="auto"/>
        <w:ind w:left="567" w:hanging="567"/>
        <w:contextualSpacing/>
        <w:jc w:val="both"/>
        <w:rPr>
          <w:rFonts w:ascii="Arial" w:eastAsia="Arial" w:hAnsi="Arial" w:cs="Arial"/>
          <w:color w:val="000000"/>
          <w:kern w:val="0"/>
          <w:u w:val="single"/>
          <w:lang w:eastAsia="es-PE"/>
          <w14:ligatures w14:val="none"/>
        </w:rPr>
      </w:pPr>
      <w:r w:rsidRPr="002A612D">
        <w:rPr>
          <w:rFonts w:ascii="Arial" w:eastAsia="Arial" w:hAnsi="Arial" w:cs="Arial"/>
          <w:color w:val="000000"/>
          <w:kern w:val="0"/>
          <w:lang w:eastAsia="es-PE"/>
          <w14:ligatures w14:val="none"/>
        </w:rPr>
        <w:t xml:space="preserve">Por </w:t>
      </w:r>
      <w:r w:rsidRPr="00DD79DE">
        <w:rPr>
          <w:rFonts w:ascii="Arial" w:eastAsia="Arial" w:hAnsi="Arial" w:cs="Arial"/>
          <w:color w:val="000000"/>
          <w:kern w:val="0"/>
          <w:lang w:eastAsia="es-PE"/>
          <w14:ligatures w14:val="none"/>
        </w:rPr>
        <w:t xml:space="preserve">Resolución N° </w:t>
      </w:r>
      <w:r w:rsidR="00DD79DE" w:rsidRPr="00DD79DE">
        <w:rPr>
          <w:rFonts w:ascii="Arial" w:eastAsia="Arial" w:hAnsi="Arial" w:cs="Arial"/>
          <w:color w:val="000000"/>
          <w:kern w:val="0"/>
          <w:lang w:eastAsia="es-PE"/>
          <w14:ligatures w14:val="none"/>
        </w:rPr>
        <w:t xml:space="preserve">0283-2026/CC1-ST </w:t>
      </w:r>
      <w:r w:rsidRPr="00DD79DE">
        <w:rPr>
          <w:rFonts w:ascii="Arial" w:eastAsia="Arial" w:hAnsi="Arial" w:cs="Arial"/>
          <w:color w:val="000000"/>
          <w:kern w:val="0"/>
          <w:lang w:eastAsia="es-PE"/>
          <w14:ligatures w14:val="none"/>
        </w:rPr>
        <w:t xml:space="preserve">del </w:t>
      </w:r>
      <w:r w:rsidR="00DD79DE" w:rsidRPr="00DD79DE">
        <w:rPr>
          <w:rFonts w:ascii="Arial" w:eastAsia="Arial" w:hAnsi="Arial" w:cs="Arial"/>
          <w:color w:val="000000"/>
          <w:kern w:val="0"/>
          <w:lang w:eastAsia="es-PE"/>
          <w14:ligatures w14:val="none"/>
        </w:rPr>
        <w:t>5 de agosto de 2026</w:t>
      </w:r>
      <w:r w:rsidRPr="002A612D">
        <w:rPr>
          <w:rFonts w:ascii="Arial" w:eastAsia="Arial" w:hAnsi="Arial" w:cs="Arial"/>
          <w:color w:val="000000"/>
          <w:kern w:val="0"/>
          <w:lang w:eastAsia="es-PE"/>
          <w14:ligatures w14:val="none"/>
        </w:rPr>
        <w:t xml:space="preserve">, la Secretaria Técnica declaró confidencial </w:t>
      </w:r>
      <w:r w:rsidRPr="00302247">
        <w:rPr>
          <w:rFonts w:ascii="Arial" w:eastAsia="Arial" w:hAnsi="Arial" w:cs="Arial"/>
          <w:color w:val="000000"/>
          <w:kern w:val="0"/>
          <w:lang w:eastAsia="es-PE"/>
          <w14:ligatures w14:val="none"/>
        </w:rPr>
        <w:t xml:space="preserve">los Estados Financieros de las Declaraciones de Pago Mensual del IGV e IR, correspondientes al ejercicio gravable del </w:t>
      </w:r>
      <w:r w:rsidRPr="00DD79DE">
        <w:rPr>
          <w:rFonts w:ascii="Arial" w:eastAsia="Arial" w:hAnsi="Arial" w:cs="Arial"/>
          <w:color w:val="000000"/>
          <w:kern w:val="0"/>
          <w:lang w:eastAsia="es-PE"/>
          <w14:ligatures w14:val="none"/>
        </w:rPr>
        <w:t xml:space="preserve">año </w:t>
      </w:r>
      <w:r w:rsidR="00DD79DE" w:rsidRPr="00DD79DE">
        <w:rPr>
          <w:rFonts w:ascii="Arial" w:eastAsia="Arial" w:hAnsi="Arial" w:cs="Arial"/>
          <w:color w:val="000000"/>
          <w:kern w:val="0"/>
          <w:lang w:eastAsia="es-PE"/>
          <w14:ligatures w14:val="none"/>
        </w:rPr>
        <w:t>2025</w:t>
      </w:r>
      <w:r w:rsidRPr="00DD79DE">
        <w:rPr>
          <w:rFonts w:ascii="Arial" w:eastAsia="Arial" w:hAnsi="Arial" w:cs="Arial"/>
          <w:color w:val="000000"/>
          <w:kern w:val="0"/>
          <w:lang w:eastAsia="es-PE"/>
          <w14:ligatures w14:val="none"/>
        </w:rPr>
        <w:t xml:space="preserve">, que </w:t>
      </w:r>
      <w:r w:rsidR="00DD79DE" w:rsidRPr="00DD79DE">
        <w:rPr>
          <w:rFonts w:ascii="Arial" w:eastAsia="Arial" w:hAnsi="Arial" w:cs="Arial"/>
          <w:color w:val="000000"/>
          <w:kern w:val="0"/>
          <w:lang w:eastAsia="es-PE"/>
          <w14:ligatures w14:val="none"/>
        </w:rPr>
        <w:t>obra en el documento N°  2 denominado “20263941850048441300125465412026394185” de la pieza Nº 5 del expediente</w:t>
      </w:r>
      <w:r w:rsidRPr="00302247">
        <w:rPr>
          <w:rFonts w:ascii="Arial" w:eastAsia="Arial" w:hAnsi="Arial" w:cs="Arial"/>
          <w:color w:val="000000"/>
          <w:kern w:val="0"/>
          <w:lang w:eastAsia="es-PE"/>
          <w14:ligatures w14:val="none"/>
        </w:rPr>
        <w:t>.</w:t>
      </w:r>
    </w:p>
    <w:p w14:paraId="5C413011" w14:textId="77777777" w:rsidR="002A612D" w:rsidRPr="002A612D" w:rsidRDefault="002A612D" w:rsidP="002A612D">
      <w:pPr>
        <w:spacing w:after="0" w:line="240" w:lineRule="auto"/>
        <w:ind w:left="567"/>
        <w:contextualSpacing/>
        <w:jc w:val="both"/>
        <w:rPr>
          <w:rFonts w:ascii="Arial" w:eastAsia="Arial" w:hAnsi="Arial" w:cs="Arial"/>
          <w:color w:val="000000"/>
          <w:kern w:val="0"/>
          <w:u w:val="single"/>
          <w:lang w:eastAsia="es-PE"/>
          <w14:ligatures w14:val="none"/>
        </w:rPr>
      </w:pPr>
    </w:p>
    <w:p w14:paraId="4BDDEB38" w14:textId="77777777" w:rsidR="002A612D" w:rsidRPr="002A612D" w:rsidRDefault="002A612D" w:rsidP="002A612D">
      <w:pPr>
        <w:widowControl w:val="0"/>
        <w:spacing w:after="0" w:line="240" w:lineRule="auto"/>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ANÁLISIS</w:t>
      </w:r>
    </w:p>
    <w:p w14:paraId="1B95A487" w14:textId="77777777" w:rsidR="002A612D" w:rsidRPr="002A612D" w:rsidRDefault="002A612D" w:rsidP="002A612D">
      <w:pPr>
        <w:widowControl w:val="0"/>
        <w:spacing w:after="0" w:line="240" w:lineRule="auto"/>
        <w:jc w:val="both"/>
        <w:rPr>
          <w:rFonts w:ascii="Arial" w:eastAsia="Arial" w:hAnsi="Arial" w:cs="Arial"/>
          <w:b/>
          <w:color w:val="000000"/>
          <w:kern w:val="0"/>
          <w:lang w:eastAsia="es-PE"/>
          <w14:ligatures w14:val="none"/>
        </w:rPr>
      </w:pPr>
    </w:p>
    <w:p w14:paraId="56D59912"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Marco Jurídico aplicable a la Noción de Consumidor Final</w:t>
      </w:r>
    </w:p>
    <w:p w14:paraId="5B5E330F"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47D9B964" w14:textId="77777777" w:rsidR="002A612D" w:rsidRPr="002A612D" w:rsidRDefault="002A612D" w:rsidP="002A612D">
      <w:pPr>
        <w:widowControl w:val="0"/>
        <w:tabs>
          <w:tab w:val="left" w:pos="567"/>
        </w:tabs>
        <w:spacing w:after="0" w:line="240" w:lineRule="auto"/>
        <w:jc w:val="both"/>
        <w:rPr>
          <w:rFonts w:ascii="Arial" w:eastAsia="Calibri" w:hAnsi="Arial" w:cs="Arial"/>
          <w:b/>
          <w:color w:val="000000"/>
          <w:kern w:val="0"/>
          <w:lang w:eastAsia="es-PE"/>
          <w14:ligatures w14:val="none"/>
        </w:rPr>
      </w:pPr>
      <w:r w:rsidRPr="002A612D">
        <w:rPr>
          <w:rFonts w:ascii="Arial" w:eastAsia="Arial" w:hAnsi="Arial" w:cs="Arial"/>
          <w:b/>
          <w:color w:val="000000"/>
          <w:kern w:val="0"/>
          <w:lang w:eastAsia="es-PE"/>
          <w14:ligatures w14:val="none"/>
        </w:rPr>
        <w:t xml:space="preserve">(i) </w:t>
      </w:r>
      <w:r w:rsidRPr="002A612D">
        <w:rPr>
          <w:rFonts w:ascii="Arial" w:eastAsia="Arial" w:hAnsi="Arial" w:cs="Arial"/>
          <w:b/>
          <w:color w:val="000000"/>
          <w:kern w:val="0"/>
          <w:lang w:eastAsia="es-PE"/>
          <w14:ligatures w14:val="none"/>
        </w:rPr>
        <w:tab/>
        <w:t>Sobre la noción de consumidor</w:t>
      </w:r>
    </w:p>
    <w:p w14:paraId="06A9FD3C"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42649A59"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El numeral 1 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2A612D">
        <w:rPr>
          <w:rFonts w:ascii="Arial" w:eastAsia="Arial" w:hAnsi="Arial" w:cs="Arial"/>
          <w:color w:val="000000"/>
          <w:kern w:val="0"/>
          <w:vertAlign w:val="superscript"/>
          <w:lang w:eastAsia="es-PE"/>
          <w14:ligatures w14:val="none"/>
        </w:rPr>
        <w:footnoteReference w:id="1"/>
      </w:r>
      <w:r w:rsidRPr="002A612D">
        <w:rPr>
          <w:rFonts w:ascii="Arial" w:eastAsia="Arial" w:hAnsi="Arial" w:cs="Arial"/>
          <w:color w:val="000000"/>
          <w:kern w:val="0"/>
          <w:lang w:eastAsia="es-PE"/>
          <w14:ligatures w14:val="none"/>
        </w:rPr>
        <w:t>.</w:t>
      </w:r>
    </w:p>
    <w:p w14:paraId="288220F9"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337C5B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La norma señalada establece que son consumidores las personas naturales o jurídicas que adquieren, usan o disfrutan un producto o servicio en beneficio propio o de su entorno familiar o social, actuando así en un ámbito ajeno a la actividad empresarial. Asimismo, se incluye en la misma categoría a los microempresarios que evidencien una situación de asimetría informativa con el proveedor respecto de aquellos bienes que no formen parte del giro propio de su negocio.</w:t>
      </w:r>
    </w:p>
    <w:p w14:paraId="2DA93F2C"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0E94337"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acuerdo con el esquema que el legislador peruano ha previsto a partir del Código, la Comisión considera que, a efectos de evaluar la calidad de consumidor de la parte denunciante, deberá seguirse el siguiente diagrama:</w:t>
      </w:r>
    </w:p>
    <w:p w14:paraId="19B34067" w14:textId="77777777" w:rsidR="00DF7C3E" w:rsidRPr="00DF7C3E" w:rsidRDefault="00DF7C3E" w:rsidP="00DF7C3E">
      <w:pPr>
        <w:pStyle w:val="Prrafodelista"/>
        <w:spacing w:after="200" w:line="240" w:lineRule="auto"/>
        <w:ind w:left="1146"/>
        <w:jc w:val="both"/>
        <w:rPr>
          <w:rFonts w:ascii="Calibri" w:eastAsia="Calibri" w:hAnsi="Calibri" w:cs="Calibri"/>
          <w:color w:val="000000"/>
          <w:kern w:val="0"/>
          <w:lang w:eastAsia="es-PE"/>
          <w14:ligatures w14:val="none"/>
        </w:rPr>
      </w:pPr>
    </w:p>
    <w:p w14:paraId="0CBA68E4" w14:textId="77777777" w:rsidR="00DF7C3E" w:rsidRPr="00E216A9" w:rsidRDefault="00DF7C3E" w:rsidP="00DF7C3E">
      <w:pPr>
        <w:pStyle w:val="Prrafodelista"/>
        <w:spacing w:after="200" w:line="276" w:lineRule="auto"/>
        <w:ind w:left="1146"/>
        <w:jc w:val="center"/>
        <w:rPr>
          <w:rFonts w:ascii="Calibri" w:eastAsia="Calibri" w:hAnsi="Calibri" w:cs="Calibri"/>
          <w:b/>
          <w:bCs/>
          <w:color w:val="000000"/>
          <w:kern w:val="0"/>
          <w:lang w:val="pt-PT" w:eastAsia="es-PE"/>
          <w14:ligatures w14:val="none"/>
        </w:rPr>
      </w:pPr>
      <w:r w:rsidRPr="007746FB">
        <w:rPr>
          <w:noProof/>
          <w:lang w:eastAsia="es-PE"/>
        </w:rPr>
        <w:drawing>
          <wp:anchor distT="0" distB="0" distL="114300" distR="114300" simplePos="0" relativeHeight="251659264" behindDoc="0" locked="0" layoutInCell="1" allowOverlap="1" wp14:anchorId="69ED6EFE" wp14:editId="54C7FAA3">
            <wp:simplePos x="0" y="0"/>
            <wp:positionH relativeFrom="column">
              <wp:posOffset>785495</wp:posOffset>
            </wp:positionH>
            <wp:positionV relativeFrom="paragraph">
              <wp:posOffset>309245</wp:posOffset>
            </wp:positionV>
            <wp:extent cx="4397375" cy="3381375"/>
            <wp:effectExtent l="38100" t="38100" r="41275" b="47625"/>
            <wp:wrapSquare wrapText="bothSides"/>
            <wp:docPr id="1" name="image01.png" descr="Interfaz de usuario gráfica, Diagram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01.png" descr="Interfaz de usuario gráfica, Diagrama, Aplicación&#10;&#10;Descripción generada automáticamente"/>
                    <pic:cNvPicPr preferRelativeResize="0"/>
                  </pic:nvPicPr>
                  <pic:blipFill>
                    <a:blip r:embed="rId8">
                      <a:extLst>
                        <a:ext uri="{28A0092B-C50C-407E-A947-70E740481C1C}">
                          <a14:useLocalDpi xmlns:a14="http://schemas.microsoft.com/office/drawing/2010/main" val="0"/>
                        </a:ext>
                      </a:extLst>
                    </a:blip>
                    <a:srcRect l="32408" t="21678" r="27271" b="9063"/>
                    <a:stretch>
                      <a:fillRect/>
                    </a:stretch>
                  </pic:blipFill>
                  <pic:spPr>
                    <a:xfrm>
                      <a:off x="0" y="0"/>
                      <a:ext cx="4397375" cy="3381375"/>
                    </a:xfrm>
                    <a:prstGeom prst="rect">
                      <a:avLst/>
                    </a:prstGeom>
                    <a:ln w="28575">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r w:rsidRPr="00E216A9">
        <w:rPr>
          <w:rFonts w:ascii="Calibri" w:eastAsia="Calibri" w:hAnsi="Calibri" w:cs="Calibri"/>
          <w:b/>
          <w:bCs/>
          <w:color w:val="000000"/>
          <w:kern w:val="0"/>
          <w:lang w:val="pt-PT" w:eastAsia="es-PE"/>
          <w14:ligatures w14:val="none"/>
        </w:rPr>
        <w:t>Diagrama N° 1: Filtros para para microempresas</w:t>
      </w:r>
    </w:p>
    <w:p w14:paraId="1FC472B8" w14:textId="526F7A4A"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4E71B93C" w14:textId="77777777"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7BDC1C11" w14:textId="77777777"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462DC03F"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64350554"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611A5C8D"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4B5D82C9"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5D6F32A2"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0DF653FC"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3E00A9F0" w14:textId="77777777" w:rsidR="002A612D" w:rsidRPr="00E216A9" w:rsidRDefault="002A612D" w:rsidP="002A612D">
      <w:pPr>
        <w:spacing w:after="200" w:line="276" w:lineRule="auto"/>
        <w:rPr>
          <w:rFonts w:ascii="Calibri" w:eastAsia="Calibri" w:hAnsi="Calibri" w:cs="Calibri"/>
          <w:color w:val="000000"/>
          <w:kern w:val="0"/>
          <w:lang w:val="pt-PT" w:eastAsia="es-PE"/>
          <w14:ligatures w14:val="none"/>
        </w:rPr>
      </w:pPr>
    </w:p>
    <w:p w14:paraId="7B30D232" w14:textId="77777777" w:rsidR="002A612D" w:rsidRPr="00E216A9" w:rsidRDefault="002A612D" w:rsidP="002A612D">
      <w:pPr>
        <w:spacing w:after="200" w:line="276" w:lineRule="auto"/>
        <w:rPr>
          <w:rFonts w:ascii="Calibri" w:eastAsia="Calibri" w:hAnsi="Calibri" w:cs="Calibri"/>
          <w:color w:val="000000"/>
          <w:kern w:val="0"/>
          <w:lang w:val="pt-PT" w:eastAsia="es-PE"/>
          <w14:ligatures w14:val="none"/>
        </w:rPr>
      </w:pPr>
    </w:p>
    <w:p w14:paraId="1AFCD1F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atención a ello, existe un filtro general que la presente instancia debe evaluar para determinar si la parte accionante posee la calidad de consumidor. Este filtro consiste en analizar si la adquisición, uso o disfrute que la parte denunciante realiza sobre el producto o servicio materia de controversia está vinculado a un fin personal, familiar o de su entorno social inmediato, en cuyo caso la persona natural o jurídica califica como consumidor final. </w:t>
      </w:r>
      <w:r w:rsidRPr="002A612D">
        <w:rPr>
          <w:rFonts w:ascii="Arial" w:eastAsia="Arial" w:hAnsi="Arial" w:cs="Arial"/>
          <w:color w:val="000000"/>
          <w:kern w:val="0"/>
          <w:u w:val="single"/>
          <w:lang w:eastAsia="es-PE"/>
          <w14:ligatures w14:val="none"/>
        </w:rPr>
        <w:t>Cabe precisar que en este filtro es irrelevante si la persona natural o jurídica posee calidad de microempresa, pequeña, mediana o gran empresa</w:t>
      </w:r>
      <w:r w:rsidRPr="002A612D">
        <w:rPr>
          <w:rFonts w:ascii="Arial" w:eastAsia="Arial" w:hAnsi="Arial" w:cs="Arial"/>
          <w:color w:val="000000"/>
          <w:kern w:val="0"/>
          <w:lang w:eastAsia="es-PE"/>
          <w14:ligatures w14:val="none"/>
        </w:rPr>
        <w:t>.</w:t>
      </w:r>
    </w:p>
    <w:p w14:paraId="700F7F57"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D95168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principio, la normativa señala que ante la denuncia de una persona natural o jurídica que adquiere, usa o disfruta un producto o servicio para fines distintos a los personales, familiares o de entorno social inmediato, la Comisión no podría considerar a dicha </w:t>
      </w:r>
      <w:r w:rsidRPr="002A612D">
        <w:rPr>
          <w:rFonts w:ascii="Arial" w:eastAsia="Arial" w:hAnsi="Arial" w:cs="Arial"/>
          <w:color w:val="000000"/>
          <w:kern w:val="0"/>
          <w:lang w:eastAsia="es-PE"/>
          <w14:ligatures w14:val="none"/>
        </w:rPr>
        <w:lastRenderedPageBreak/>
        <w:t xml:space="preserve">accionante como consumidora; sin embargo, </w:t>
      </w:r>
      <w:r w:rsidRPr="002A612D">
        <w:rPr>
          <w:rFonts w:ascii="Arial" w:eastAsia="Arial" w:hAnsi="Arial" w:cs="Arial"/>
          <w:color w:val="000000"/>
          <w:kern w:val="0"/>
          <w:u w:val="single"/>
          <w:lang w:eastAsia="es-PE"/>
          <w14:ligatures w14:val="none"/>
        </w:rPr>
        <w:t>el propio Código establece un supuesto de excepción para las microempresas que se encuentren en una situación de asimetría informativa respecto de los productos que no son imprescindibles para su proceso productivo</w:t>
      </w:r>
      <w:r w:rsidRPr="002A612D">
        <w:rPr>
          <w:rFonts w:ascii="Arial" w:eastAsia="Arial" w:hAnsi="Arial" w:cs="Arial"/>
          <w:color w:val="000000"/>
          <w:kern w:val="0"/>
          <w:lang w:eastAsia="es-PE"/>
          <w14:ligatures w14:val="none"/>
        </w:rPr>
        <w:t>.</w:t>
      </w:r>
    </w:p>
    <w:p w14:paraId="7B8F196D" w14:textId="77777777" w:rsidR="002A612D" w:rsidRPr="002A612D" w:rsidRDefault="002A612D" w:rsidP="002A612D">
      <w:pPr>
        <w:spacing w:after="0" w:line="240" w:lineRule="auto"/>
        <w:ind w:left="720"/>
        <w:contextualSpacing/>
        <w:rPr>
          <w:rFonts w:ascii="Arial" w:eastAsia="Arial" w:hAnsi="Arial" w:cs="Arial"/>
          <w:color w:val="000000"/>
          <w:kern w:val="0"/>
          <w:lang w:eastAsia="es-PE"/>
          <w14:ligatures w14:val="none"/>
        </w:rPr>
      </w:pPr>
    </w:p>
    <w:p w14:paraId="3BCF749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el caso de las microempresas (filtro especial), el análisis de procedencia se sujetará a los siguientes parámetros:</w:t>
      </w:r>
    </w:p>
    <w:p w14:paraId="20B99B5B" w14:textId="77777777" w:rsidR="002A612D" w:rsidRPr="002A612D" w:rsidRDefault="002A612D" w:rsidP="002A612D">
      <w:pPr>
        <w:widowControl w:val="0"/>
        <w:spacing w:after="0" w:line="240" w:lineRule="auto"/>
        <w:ind w:left="1125"/>
        <w:contextualSpacing/>
        <w:jc w:val="both"/>
        <w:rPr>
          <w:rFonts w:ascii="Arial" w:eastAsia="Arial" w:hAnsi="Arial" w:cs="Arial"/>
          <w:color w:val="000000"/>
          <w:kern w:val="0"/>
          <w:lang w:eastAsia="es-PE"/>
          <w14:ligatures w14:val="none"/>
        </w:rPr>
      </w:pPr>
    </w:p>
    <w:p w14:paraId="0B89B041" w14:textId="77777777" w:rsidR="002A612D" w:rsidRPr="002A612D" w:rsidRDefault="002A612D" w:rsidP="002A612D">
      <w:pPr>
        <w:widowControl w:val="0"/>
        <w:numPr>
          <w:ilvl w:val="1"/>
          <w:numId w:val="3"/>
        </w:numPr>
        <w:spacing w:after="0" w:line="240" w:lineRule="auto"/>
        <w:ind w:left="1125" w:hanging="570"/>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determinar si se está ante una microempresa, la Comisión determinará si la parte denunciante encaja en la noción de microempresario prevista en el Texto Único Ordenado de la Ley de Impulso al Desarrollo Productivo y al Crecimiento Empresarial, aprobado por Decreto Supremo 013-2013-PRODUCE (en adelante, Ley Mype)</w:t>
      </w:r>
      <w:r w:rsidRPr="002A612D">
        <w:rPr>
          <w:rFonts w:ascii="Arial" w:eastAsia="Arial" w:hAnsi="Arial" w:cs="Arial"/>
          <w:color w:val="000000"/>
          <w:kern w:val="0"/>
          <w:vertAlign w:val="superscript"/>
          <w:lang w:eastAsia="es-PE"/>
          <w14:ligatures w14:val="none"/>
        </w:rPr>
        <w:footnoteReference w:id="2"/>
      </w:r>
      <w:r w:rsidRPr="002A612D">
        <w:rPr>
          <w:rFonts w:ascii="Arial" w:eastAsia="Arial" w:hAnsi="Arial" w:cs="Arial"/>
          <w:color w:val="000000"/>
          <w:kern w:val="0"/>
          <w:lang w:eastAsia="es-PE"/>
          <w14:ligatures w14:val="none"/>
        </w:rPr>
        <w:t>, esto es, si no posee ventas anuales que superen las 150 UIT. Caso contrario, de superarse este monto, la denuncia será declarada improcedente.</w:t>
      </w:r>
    </w:p>
    <w:p w14:paraId="3C3B57F3" w14:textId="77777777" w:rsidR="002A612D" w:rsidRPr="002A612D" w:rsidRDefault="002A612D" w:rsidP="002A612D">
      <w:pPr>
        <w:widowControl w:val="0"/>
        <w:spacing w:after="0" w:line="240" w:lineRule="auto"/>
        <w:ind w:left="1134" w:hanging="567"/>
        <w:jc w:val="both"/>
        <w:rPr>
          <w:rFonts w:ascii="Arial" w:eastAsia="Calibri" w:hAnsi="Arial" w:cs="Arial"/>
          <w:color w:val="000000"/>
          <w:kern w:val="0"/>
          <w:lang w:eastAsia="es-PE"/>
          <w14:ligatures w14:val="none"/>
        </w:rPr>
      </w:pPr>
    </w:p>
    <w:p w14:paraId="4BA9D0CE" w14:textId="77777777" w:rsidR="002A612D" w:rsidRPr="002A612D" w:rsidRDefault="002A612D" w:rsidP="002A612D">
      <w:pPr>
        <w:widowControl w:val="0"/>
        <w:numPr>
          <w:ilvl w:val="1"/>
          <w:numId w:val="3"/>
        </w:numPr>
        <w:spacing w:after="0" w:line="240" w:lineRule="auto"/>
        <w:ind w:left="1134"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el supuesto que se haya acreditado el carácter de microempresario, deberá analizarse si el producto o servicio denunciado está relacionado con el giro del negocio</w:t>
      </w:r>
      <w:r w:rsidRPr="002A612D">
        <w:rPr>
          <w:rFonts w:ascii="Arial" w:eastAsia="Arial" w:hAnsi="Arial" w:cs="Arial"/>
          <w:color w:val="000000"/>
          <w:kern w:val="0"/>
          <w:vertAlign w:val="superscript"/>
          <w:lang w:eastAsia="es-PE"/>
          <w14:ligatures w14:val="none"/>
        </w:rPr>
        <w:footnoteReference w:id="3"/>
      </w:r>
      <w:r w:rsidRPr="002A612D">
        <w:rPr>
          <w:rFonts w:ascii="Arial" w:eastAsia="Arial" w:hAnsi="Arial" w:cs="Arial"/>
          <w:color w:val="000000"/>
          <w:kern w:val="0"/>
          <w:lang w:eastAsia="es-PE"/>
          <w14:ligatures w14:val="none"/>
        </w:rPr>
        <w:t>, como un elemento imprescindible para el proceso productivo que realiza la unidad productiva. En este punto, si se comprueba que el bien materia de cuestionamiento forma parte esencial del proceso productivo, la denuncia deberá ser declarada improcedente.</w:t>
      </w:r>
    </w:p>
    <w:p w14:paraId="4CBC4C45" w14:textId="77777777" w:rsidR="002A612D" w:rsidRPr="002A612D" w:rsidRDefault="002A612D" w:rsidP="002A612D">
      <w:pPr>
        <w:widowControl w:val="0"/>
        <w:spacing w:after="0" w:line="240" w:lineRule="auto"/>
        <w:ind w:left="1134" w:hanging="567"/>
        <w:jc w:val="both"/>
        <w:rPr>
          <w:rFonts w:ascii="Arial" w:eastAsia="Calibri" w:hAnsi="Arial" w:cs="Arial"/>
          <w:color w:val="000000"/>
          <w:kern w:val="0"/>
          <w:lang w:eastAsia="es-PE"/>
          <w14:ligatures w14:val="none"/>
        </w:rPr>
      </w:pPr>
    </w:p>
    <w:p w14:paraId="6EC6E04F" w14:textId="77777777" w:rsidR="002A612D" w:rsidRPr="002A612D" w:rsidRDefault="002A612D" w:rsidP="002A612D">
      <w:pPr>
        <w:widowControl w:val="0"/>
        <w:numPr>
          <w:ilvl w:val="1"/>
          <w:numId w:val="3"/>
        </w:numPr>
        <w:spacing w:after="0" w:line="240" w:lineRule="auto"/>
        <w:ind w:left="1134"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Finalmente, para el caso de las microempresas cuyo producto o servicio no está relacionado con el giro propio del negocio como un elemento imprescindible del proceso productivo, deberá analizarse si respecto de dicho bien la persona natural o jurídica se encuentra en situación de asimetría informativa</w:t>
      </w:r>
      <w:r w:rsidRPr="002A612D">
        <w:rPr>
          <w:rFonts w:ascii="Arial" w:eastAsia="Arial" w:hAnsi="Arial" w:cs="Arial"/>
          <w:color w:val="000000"/>
          <w:kern w:val="0"/>
          <w:vertAlign w:val="superscript"/>
          <w:lang w:eastAsia="es-PE"/>
          <w14:ligatures w14:val="none"/>
        </w:rPr>
        <w:footnoteReference w:id="4"/>
      </w:r>
      <w:r w:rsidRPr="002A612D">
        <w:rPr>
          <w:rFonts w:ascii="Arial" w:eastAsia="Arial" w:hAnsi="Arial" w:cs="Arial"/>
          <w:color w:val="000000"/>
          <w:kern w:val="0"/>
          <w:lang w:eastAsia="es-PE"/>
          <w14:ligatures w14:val="none"/>
        </w:rPr>
        <w:t>.</w:t>
      </w:r>
    </w:p>
    <w:p w14:paraId="5E983075" w14:textId="77777777" w:rsidR="002A612D" w:rsidRPr="002A612D" w:rsidRDefault="002A612D" w:rsidP="002A612D">
      <w:pPr>
        <w:widowControl w:val="0"/>
        <w:spacing w:after="0" w:line="240" w:lineRule="auto"/>
        <w:contextualSpacing/>
        <w:jc w:val="both"/>
        <w:rPr>
          <w:rFonts w:ascii="Arial" w:eastAsia="Arial" w:hAnsi="Arial" w:cs="Arial"/>
          <w:color w:val="000000"/>
          <w:kern w:val="0"/>
          <w:lang w:eastAsia="es-PE"/>
          <w14:ligatures w14:val="none"/>
        </w:rPr>
      </w:pPr>
    </w:p>
    <w:p w14:paraId="0F87D8C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verificarse la existencia de la asimetría informativa en el caso concreto, la parte denunciante encajará en la noción de consumidor. Por el contrario, si se acredita que el microempresario no se encuentra en una situación de asimetría informativa respecto del producto o servicio controvertido, la denuncia deberá ser declarada improcedente.</w:t>
      </w:r>
    </w:p>
    <w:p w14:paraId="69948084"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1133E92" w14:textId="77777777" w:rsidR="002A612D" w:rsidRPr="002A612D" w:rsidRDefault="002A612D" w:rsidP="002A612D">
      <w:pPr>
        <w:widowControl w:val="0"/>
        <w:tabs>
          <w:tab w:val="left" w:pos="1134"/>
        </w:tabs>
        <w:spacing w:after="0" w:line="240" w:lineRule="auto"/>
        <w:ind w:left="567" w:hanging="570"/>
        <w:jc w:val="both"/>
        <w:rPr>
          <w:rFonts w:ascii="Arial" w:eastAsia="Calibri" w:hAnsi="Arial" w:cs="Arial"/>
          <w:b/>
          <w:color w:val="000000"/>
          <w:kern w:val="0"/>
          <w:lang w:eastAsia="es-PE"/>
          <w14:ligatures w14:val="none"/>
        </w:rPr>
      </w:pPr>
      <w:r w:rsidRPr="002A612D">
        <w:rPr>
          <w:rFonts w:ascii="Arial" w:eastAsia="Arial" w:hAnsi="Arial" w:cs="Arial"/>
          <w:b/>
          <w:color w:val="000000"/>
          <w:kern w:val="0"/>
          <w:lang w:eastAsia="es-PE"/>
          <w14:ligatures w14:val="none"/>
        </w:rPr>
        <w:t xml:space="preserve">(ii) </w:t>
      </w:r>
      <w:r w:rsidRPr="002A612D">
        <w:rPr>
          <w:rFonts w:ascii="Arial" w:eastAsia="Arial" w:hAnsi="Arial" w:cs="Arial"/>
          <w:b/>
          <w:color w:val="000000"/>
          <w:kern w:val="0"/>
          <w:lang w:eastAsia="es-PE"/>
          <w14:ligatures w14:val="none"/>
        </w:rPr>
        <w:tab/>
        <w:t>Sobre la noción de microempresario</w:t>
      </w:r>
    </w:p>
    <w:p w14:paraId="5A5408C1" w14:textId="77777777" w:rsidR="002A612D" w:rsidRPr="002A612D" w:rsidRDefault="002A612D" w:rsidP="002A612D">
      <w:pPr>
        <w:widowControl w:val="0"/>
        <w:spacing w:after="0" w:line="240" w:lineRule="auto"/>
        <w:ind w:left="562" w:hanging="570"/>
        <w:jc w:val="both"/>
        <w:rPr>
          <w:rFonts w:ascii="Arial" w:eastAsia="Calibri" w:hAnsi="Arial" w:cs="Arial"/>
          <w:color w:val="000000"/>
          <w:kern w:val="0"/>
          <w:lang w:eastAsia="es-PE"/>
          <w14:ligatures w14:val="none"/>
        </w:rPr>
      </w:pPr>
    </w:p>
    <w:p w14:paraId="64E0CA46" w14:textId="77777777" w:rsidR="002A612D" w:rsidRPr="002A612D" w:rsidRDefault="002A612D" w:rsidP="002A612D">
      <w:pPr>
        <w:widowControl w:val="0"/>
        <w:numPr>
          <w:ilvl w:val="0"/>
          <w:numId w:val="4"/>
        </w:numPr>
        <w:spacing w:after="0" w:line="240" w:lineRule="auto"/>
        <w:ind w:left="567" w:hanging="567"/>
        <w:contextualSpacing/>
        <w:jc w:val="both"/>
        <w:rPr>
          <w:rFonts w:ascii="Arial" w:eastAsia="Calibri" w:hAnsi="Arial" w:cs="Arial"/>
          <w:i/>
          <w:color w:val="000000"/>
          <w:kern w:val="0"/>
          <w:u w:val="single"/>
          <w:lang w:eastAsia="es-PE"/>
          <w14:ligatures w14:val="none"/>
        </w:rPr>
      </w:pPr>
      <w:r w:rsidRPr="002A612D">
        <w:rPr>
          <w:rFonts w:ascii="Arial" w:eastAsia="Arial" w:hAnsi="Arial" w:cs="Arial"/>
          <w:i/>
          <w:color w:val="000000"/>
          <w:kern w:val="0"/>
          <w:u w:val="single"/>
          <w:lang w:eastAsia="es-PE"/>
          <w14:ligatures w14:val="none"/>
        </w:rPr>
        <w:t>De la condición de microempresario en la legislación nacional</w:t>
      </w:r>
    </w:p>
    <w:p w14:paraId="1EBCD5E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4D666C5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El Código, en forma excepcional, permite el acceso a la tutela administrativa de los microempresarios que </w:t>
      </w:r>
      <w:r w:rsidRPr="002A612D">
        <w:rPr>
          <w:rFonts w:ascii="Arial" w:eastAsia="Arial" w:hAnsi="Arial" w:cs="Arial"/>
          <w:i/>
          <w:iCs/>
          <w:color w:val="000000"/>
          <w:kern w:val="0"/>
          <w:lang w:eastAsia="es-PE"/>
          <w14:ligatures w14:val="none"/>
        </w:rPr>
        <w:t>“evidencien una situación de asimetría informativa con el proveedor respecto de aquellos productos o servicios que no formen parte del giro propio del negocio”</w:t>
      </w:r>
      <w:r w:rsidRPr="002A612D">
        <w:rPr>
          <w:rFonts w:ascii="Arial" w:eastAsia="Arial" w:hAnsi="Arial" w:cs="Arial"/>
          <w:color w:val="000000"/>
          <w:kern w:val="0"/>
          <w:lang w:eastAsia="es-PE"/>
          <w14:ligatures w14:val="none"/>
        </w:rPr>
        <w:t>; sin embargo, no establece el modo de acreditación de la condición de microempresario ante la autoridad administrativa, por lo que resulta importante establecer la modalidad de determinar dicha condición.</w:t>
      </w:r>
    </w:p>
    <w:p w14:paraId="6D56F748" w14:textId="77777777" w:rsidR="00025D1B" w:rsidRDefault="00025D1B" w:rsidP="00025D1B">
      <w:pPr>
        <w:spacing w:after="0" w:line="240" w:lineRule="auto"/>
        <w:ind w:left="567"/>
        <w:contextualSpacing/>
        <w:jc w:val="both"/>
        <w:rPr>
          <w:rFonts w:ascii="Arial" w:eastAsia="Arial" w:hAnsi="Arial" w:cs="Arial"/>
          <w:color w:val="000000"/>
          <w:kern w:val="0"/>
          <w:lang w:eastAsia="es-PE"/>
          <w14:ligatures w14:val="none"/>
        </w:rPr>
      </w:pPr>
    </w:p>
    <w:p w14:paraId="3C596F68"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La inclusión de los microempresarios tiene como sustento principal su particular posición en el mercado, en la medida que el legislador consideró que no cuentan </w:t>
      </w:r>
      <w:r w:rsidRPr="002A612D">
        <w:rPr>
          <w:rFonts w:ascii="Arial" w:eastAsia="Arial" w:hAnsi="Arial" w:cs="Arial"/>
          <w:i/>
          <w:color w:val="000000"/>
          <w:kern w:val="0"/>
          <w:lang w:eastAsia="es-PE"/>
          <w14:ligatures w14:val="none"/>
        </w:rPr>
        <w:t>con recursos suficientes</w:t>
      </w:r>
      <w:r w:rsidRPr="002A612D">
        <w:rPr>
          <w:rFonts w:ascii="Arial" w:eastAsia="Arial" w:hAnsi="Arial" w:cs="Arial"/>
          <w:color w:val="000000"/>
          <w:kern w:val="0"/>
          <w:lang w:eastAsia="es-PE"/>
          <w14:ligatures w14:val="none"/>
        </w:rPr>
        <w:t xml:space="preserve"> para equiparar la asimetría informativa frente al proveedor, por lo que requieren la tutela que brinda el Código.</w:t>
      </w:r>
    </w:p>
    <w:p w14:paraId="4E13B223"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64A5BBE2"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La Sala Especializada de Protección al Consumidor (en adelante, Sala), refiriéndose a la situación de asimetría informativa de los microempresarios, en la Resolución 3311-2018/SPC-INDECOPI del 28 de noviembre de 2018, señaló que:</w:t>
      </w:r>
    </w:p>
    <w:p w14:paraId="4525BEC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4145419" w14:textId="77777777" w:rsidR="002A612D" w:rsidRPr="002A612D" w:rsidRDefault="002A612D" w:rsidP="002A612D">
      <w:pPr>
        <w:widowControl w:val="0"/>
        <w:spacing w:after="0" w:line="240" w:lineRule="auto"/>
        <w:ind w:left="1140"/>
        <w:jc w:val="both"/>
        <w:rPr>
          <w:rFonts w:ascii="Arial" w:eastAsia="Calibri" w:hAnsi="Arial" w:cs="Arial"/>
          <w:color w:val="000000"/>
          <w:kern w:val="0"/>
          <w:sz w:val="20"/>
          <w:szCs w:val="20"/>
          <w:lang w:eastAsia="es-PE"/>
          <w14:ligatures w14:val="none"/>
        </w:rPr>
      </w:pPr>
      <w:r w:rsidRPr="002A612D">
        <w:rPr>
          <w:rFonts w:ascii="Arial" w:eastAsia="Arial" w:hAnsi="Arial" w:cs="Arial"/>
          <w:i/>
          <w:color w:val="000000"/>
          <w:kern w:val="0"/>
          <w:sz w:val="20"/>
          <w:szCs w:val="20"/>
          <w:lang w:eastAsia="es-PE"/>
          <w14:ligatures w14:val="none"/>
        </w:rPr>
        <w:t>“</w:t>
      </w:r>
      <w:r w:rsidRPr="002A612D">
        <w:rPr>
          <w:rFonts w:ascii="Arial" w:eastAsia="Arial" w:hAnsi="Arial" w:cs="Arial"/>
          <w:i/>
          <w:color w:val="000000"/>
          <w:kern w:val="0"/>
          <w:sz w:val="20"/>
          <w:szCs w:val="20"/>
          <w:u w:val="single"/>
          <w:lang w:eastAsia="es-PE"/>
          <w14:ligatures w14:val="none"/>
        </w:rPr>
        <w:t>La ley obliga a evaluar la asimetría informativa en relación con el rubro de productos o servicios materia de denuncia, esto es, considerándolos de manera genérica y abstracta. En tal sentido, no se analiza la asimetría informativa respecto de la presunta infracción que denuncia el microempresario en el caso concreto.</w:t>
      </w:r>
      <w:r w:rsidRPr="002A612D">
        <w:rPr>
          <w:rFonts w:ascii="Arial" w:eastAsia="Arial" w:hAnsi="Arial" w:cs="Arial"/>
          <w:i/>
          <w:color w:val="000000"/>
          <w:kern w:val="0"/>
          <w:sz w:val="20"/>
          <w:szCs w:val="20"/>
          <w:lang w:eastAsia="es-PE"/>
          <w14:ligatures w14:val="none"/>
        </w:rPr>
        <w:t xml:space="preserve"> Cabe indicar que esta Sala ha señalado que respecto de los productos y servicios que no forman parte del giro propio del negocio del microempresario denunciante, se presume que este se encuentra en asimetría informativa frente al correspondiente proveedor; sin perjuicio de que dicho proveedor pueda acreditar lo contrario.”</w:t>
      </w:r>
    </w:p>
    <w:p w14:paraId="2AEB1654" w14:textId="77777777" w:rsidR="002A612D" w:rsidRPr="002A612D" w:rsidRDefault="002A612D" w:rsidP="002A612D">
      <w:pPr>
        <w:widowControl w:val="0"/>
        <w:spacing w:after="0" w:line="240" w:lineRule="auto"/>
        <w:ind w:left="1140"/>
        <w:jc w:val="both"/>
        <w:rPr>
          <w:rFonts w:ascii="Arial" w:eastAsia="Calibri" w:hAnsi="Arial" w:cs="Arial"/>
          <w:color w:val="000000"/>
          <w:kern w:val="0"/>
          <w:sz w:val="20"/>
          <w:szCs w:val="20"/>
          <w:lang w:eastAsia="es-PE"/>
          <w14:ligatures w14:val="none"/>
        </w:rPr>
      </w:pPr>
      <w:r w:rsidRPr="002A612D">
        <w:rPr>
          <w:rFonts w:ascii="Arial" w:eastAsia="Arial" w:hAnsi="Arial" w:cs="Arial"/>
          <w:color w:val="000000"/>
          <w:kern w:val="0"/>
          <w:sz w:val="20"/>
          <w:szCs w:val="20"/>
          <w:lang w:eastAsia="es-PE"/>
          <w14:ligatures w14:val="none"/>
        </w:rPr>
        <w:t xml:space="preserve">(Subrayado agregado) </w:t>
      </w:r>
    </w:p>
    <w:p w14:paraId="17C466CA"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64A817C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ese sentido, la Comisión de Protección al Consumidor N° 1 (en adelante, Comisión) estima que no solo compete al denunciante acreditar la situación de asimetría informativa, sino que es necesario evidenciar que en determinados períodos no cuenta con </w:t>
      </w:r>
      <w:r w:rsidRPr="002A612D">
        <w:rPr>
          <w:rFonts w:ascii="Arial" w:eastAsia="Arial" w:hAnsi="Arial" w:cs="Arial"/>
          <w:i/>
          <w:color w:val="000000"/>
          <w:kern w:val="0"/>
          <w:lang w:eastAsia="es-PE"/>
          <w14:ligatures w14:val="none"/>
        </w:rPr>
        <w:t xml:space="preserve">la capacidad económica </w:t>
      </w:r>
      <w:r w:rsidRPr="002A612D">
        <w:rPr>
          <w:rFonts w:ascii="Arial" w:eastAsia="Arial" w:hAnsi="Arial" w:cs="Arial"/>
          <w:color w:val="000000"/>
          <w:kern w:val="0"/>
          <w:lang w:eastAsia="es-PE"/>
          <w14:ligatures w14:val="none"/>
        </w:rPr>
        <w:t>para prevenir, mitigar o corregir las conductas y prácticas que podrían afectar sus legítimos intereses, a efectos de extender de forma excepcional la aplicación del sistema de protección al consumidor.</w:t>
      </w:r>
    </w:p>
    <w:p w14:paraId="1FA59A5E"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F1FD6E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efecto, según los artículos 4 y 5 de la Ley Mype</w:t>
      </w:r>
      <w:r w:rsidRPr="002A612D">
        <w:rPr>
          <w:rFonts w:ascii="Arial" w:eastAsia="Arial" w:hAnsi="Arial" w:cs="Arial"/>
          <w:color w:val="000000"/>
          <w:kern w:val="0"/>
          <w:vertAlign w:val="superscript"/>
          <w:lang w:eastAsia="es-PE"/>
          <w14:ligatures w14:val="none"/>
        </w:rPr>
        <w:footnoteReference w:id="5"/>
      </w:r>
      <w:r w:rsidRPr="002A612D">
        <w:rPr>
          <w:rFonts w:ascii="Arial" w:eastAsia="Arial" w:hAnsi="Arial" w:cs="Arial"/>
          <w:color w:val="000000"/>
          <w:kern w:val="0"/>
          <w:lang w:eastAsia="es-PE"/>
          <w14:ligatures w14:val="none"/>
        </w:rPr>
        <w:t xml:space="preserve">, el microempresario es definido como </w:t>
      </w:r>
      <w:r w:rsidRPr="002A612D">
        <w:rPr>
          <w:rFonts w:ascii="Arial" w:eastAsia="Arial" w:hAnsi="Arial" w:cs="Arial"/>
          <w:i/>
          <w:iCs/>
          <w:color w:val="000000"/>
          <w:kern w:val="0"/>
          <w:lang w:eastAsia="es-PE"/>
          <w14:ligatures w14:val="none"/>
        </w:rPr>
        <w:t xml:space="preserve">“la unidad económica constituida por una persona natural o jurídica, bajo cualquier forma de organización o gestión empresarial, que tiene como objeto desarrollar </w:t>
      </w:r>
      <w:r w:rsidRPr="002A612D">
        <w:rPr>
          <w:rFonts w:ascii="Arial" w:eastAsia="Arial" w:hAnsi="Arial" w:cs="Arial"/>
          <w:i/>
          <w:iCs/>
          <w:color w:val="000000"/>
          <w:kern w:val="0"/>
          <w:lang w:eastAsia="es-PE"/>
          <w14:ligatures w14:val="none"/>
        </w:rPr>
        <w:lastRenderedPageBreak/>
        <w:t>actividades de extracción, transformación, producción, comercialización de bienes o prestación de servicios”</w:t>
      </w:r>
      <w:r w:rsidRPr="002A612D">
        <w:rPr>
          <w:rFonts w:ascii="Arial" w:eastAsia="Arial" w:hAnsi="Arial" w:cs="Arial"/>
          <w:color w:val="000000"/>
          <w:kern w:val="0"/>
          <w:lang w:eastAsia="es-PE"/>
          <w14:ligatures w14:val="none"/>
        </w:rPr>
        <w:t>, y cuyo nivel de ventas netas anuales no supera 150 UIT.</w:t>
      </w:r>
    </w:p>
    <w:p w14:paraId="73840BB8"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BC28DB4"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Así, la persona natural o jurídica que pretende acceder a la tutela del Código por su calidad de microempresario deberá acreditar que cumple con el referido requisito, esto es, no sobrepasar el parámetro de ventas anuales dispuesto por la Ley Mype. Sin embargo, debido a que la situación o condición de microempresa puede verse modificada en cada ejercicio anual, resulta importante establecer el período relevante sobre el cual se determinará dicha condición.</w:t>
      </w:r>
    </w:p>
    <w:p w14:paraId="61C2EF9B"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E6EF683"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Al respecto, la </w:t>
      </w:r>
      <w:r w:rsidRPr="002A612D">
        <w:rPr>
          <w:rFonts w:ascii="Arial" w:eastAsia="Arial" w:hAnsi="Arial" w:cs="Arial"/>
          <w:kern w:val="0"/>
          <w:lang w:eastAsia="es-PE"/>
          <w14:ligatures w14:val="none"/>
        </w:rPr>
        <w:t xml:space="preserve">Directiva N° 001-2021/DIR-COD-INDECOPI, </w:t>
      </w:r>
      <w:r w:rsidRPr="002A612D">
        <w:rPr>
          <w:rFonts w:ascii="Arial" w:eastAsia="Arial" w:hAnsi="Arial" w:cs="Arial"/>
          <w:bCs/>
          <w:kern w:val="0"/>
          <w:lang w:eastAsia="es-PE"/>
          <w14:ligatures w14:val="none"/>
        </w:rPr>
        <w:t>Directiva Única que Regula los Procedimientos de Protección al Consumidor Previstos en el Código de Protección y Defensa del Consumidor (en adelante, Directiva Única de Protección al Consumidor)</w:t>
      </w:r>
      <w:r w:rsidRPr="002A612D">
        <w:rPr>
          <w:rFonts w:ascii="Arial" w:eastAsia="Arial" w:hAnsi="Arial" w:cs="Arial"/>
          <w:kern w:val="0"/>
          <w:lang w:eastAsia="es-PE"/>
          <w14:ligatures w14:val="none"/>
        </w:rPr>
        <w:t>, establece que el denunciante debe acreditar que ostenta la condición de microempresario a la fecha de la presentación de la denuncia</w:t>
      </w:r>
      <w:r w:rsidRPr="002A612D">
        <w:rPr>
          <w:rFonts w:ascii="Arial" w:eastAsia="Arial" w:hAnsi="Arial" w:cs="Arial"/>
          <w:color w:val="000000"/>
          <w:kern w:val="0"/>
          <w:vertAlign w:val="superscript"/>
          <w:lang w:eastAsia="es-PE"/>
          <w14:ligatures w14:val="none"/>
        </w:rPr>
        <w:footnoteReference w:id="6"/>
      </w:r>
      <w:r w:rsidRPr="002A612D">
        <w:rPr>
          <w:rFonts w:ascii="Arial" w:eastAsia="Arial" w:hAnsi="Arial" w:cs="Arial"/>
          <w:kern w:val="0"/>
          <w:lang w:eastAsia="es-PE"/>
          <w14:ligatures w14:val="none"/>
        </w:rPr>
        <w:t>.</w:t>
      </w:r>
    </w:p>
    <w:p w14:paraId="51F3B3F7"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D4BE34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ese sentido, el denunciante tendrá que evidenciar la condición de microempresario cuando presenta la denuncia administrativa, lo cual realizará mediante la presentación de las declaraciones juradas mensuales de IGV y del IR del ejercicio tributario anterior, en la medida que el ejercicio gravable (periodo fiscal) comienza el 1 de enero y finaliza el 31 de diciembre de cada año, ello según lo establecido en el artículo 57 del Texto Único Ordenado de la Ley de Impuesto a la Renta, aprobado por Decreto Supremo 179-2004-EF</w:t>
      </w:r>
      <w:r w:rsidRPr="002A612D">
        <w:rPr>
          <w:rFonts w:ascii="Arial" w:eastAsia="Arial" w:hAnsi="Arial" w:cs="Arial"/>
          <w:color w:val="000000"/>
          <w:kern w:val="0"/>
          <w:vertAlign w:val="superscript"/>
          <w:lang w:eastAsia="es-PE"/>
          <w14:ligatures w14:val="none"/>
        </w:rPr>
        <w:footnoteReference w:id="7"/>
      </w:r>
      <w:r w:rsidRPr="002A612D">
        <w:rPr>
          <w:rFonts w:ascii="Arial" w:eastAsia="Arial" w:hAnsi="Arial" w:cs="Arial"/>
          <w:color w:val="000000"/>
          <w:kern w:val="0"/>
          <w:lang w:eastAsia="es-PE"/>
          <w14:ligatures w14:val="none"/>
        </w:rPr>
        <w:t>.</w:t>
      </w:r>
    </w:p>
    <w:p w14:paraId="335BA8E9" w14:textId="77777777" w:rsidR="002A612D" w:rsidRPr="002A612D" w:rsidRDefault="002A612D" w:rsidP="002A612D">
      <w:pPr>
        <w:spacing w:after="0" w:line="240" w:lineRule="auto"/>
        <w:ind w:left="720"/>
        <w:contextualSpacing/>
        <w:jc w:val="both"/>
        <w:rPr>
          <w:rFonts w:ascii="Arial" w:eastAsia="Arial" w:hAnsi="Arial" w:cs="Arial"/>
          <w:color w:val="000000"/>
          <w:kern w:val="0"/>
          <w:lang w:eastAsia="es-PE"/>
          <w14:ligatures w14:val="none"/>
        </w:rPr>
      </w:pPr>
    </w:p>
    <w:p w14:paraId="5E6BC55D" w14:textId="77777777" w:rsidR="002A612D" w:rsidRPr="002A612D"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Con relación a ello, el literal b) del artículo 11 de la </w:t>
      </w:r>
      <w:r w:rsidRPr="002A612D">
        <w:rPr>
          <w:rFonts w:ascii="Arial" w:eastAsia="Arial" w:hAnsi="Arial" w:cs="Arial"/>
          <w:bCs/>
          <w:kern w:val="0"/>
          <w:lang w:eastAsia="es-PE"/>
          <w14:ligatures w14:val="none"/>
        </w:rPr>
        <w:t>Directiva Única de Protección al Consumidor</w:t>
      </w:r>
      <w:r w:rsidRPr="002A612D">
        <w:rPr>
          <w:rFonts w:ascii="Arial" w:eastAsia="Arial" w:hAnsi="Arial" w:cs="Arial"/>
          <w:kern w:val="0"/>
          <w:lang w:eastAsia="es-PE"/>
          <w14:ligatures w14:val="none"/>
        </w:rPr>
        <w:t xml:space="preserve"> establece que el denunciante que ostente la condición de microempresario debe presentar, entre otros, </w:t>
      </w:r>
      <w:r w:rsidRPr="002A612D">
        <w:rPr>
          <w:rFonts w:ascii="Arial" w:eastAsia="Arial" w:hAnsi="Arial" w:cs="Arial"/>
          <w:kern w:val="0"/>
          <w:u w:val="single"/>
          <w:lang w:eastAsia="es-PE"/>
          <w14:ligatures w14:val="none"/>
        </w:rPr>
        <w:t>la c</w:t>
      </w:r>
      <w:r w:rsidRPr="002A612D">
        <w:rPr>
          <w:rFonts w:ascii="Arial" w:eastAsia="Arial" w:hAnsi="Arial" w:cs="Arial"/>
          <w:color w:val="000000"/>
          <w:kern w:val="0"/>
          <w:u w:val="single"/>
          <w:lang w:eastAsia="es-PE"/>
          <w14:ligatures w14:val="none"/>
        </w:rPr>
        <w:t>opia simple de la documentación que acredite su condición de microempresa</w:t>
      </w:r>
      <w:r w:rsidRPr="002A612D">
        <w:rPr>
          <w:rFonts w:ascii="Arial" w:eastAsia="Arial" w:hAnsi="Arial" w:cs="Arial"/>
          <w:color w:val="000000"/>
          <w:kern w:val="0"/>
          <w:lang w:eastAsia="es-PE"/>
          <w14:ligatures w14:val="none"/>
        </w:rPr>
        <w:t>, de acuerdo con los requisitos exigidos por la legislación sobre la materia</w:t>
      </w:r>
      <w:r w:rsidRPr="002A612D">
        <w:rPr>
          <w:rFonts w:ascii="Arial" w:eastAsia="Arial" w:hAnsi="Arial" w:cs="Arial"/>
          <w:color w:val="000000"/>
          <w:kern w:val="0"/>
          <w:vertAlign w:val="superscript"/>
          <w:lang w:eastAsia="es-PE"/>
          <w14:ligatures w14:val="none"/>
        </w:rPr>
        <w:footnoteReference w:id="8"/>
      </w:r>
      <w:r w:rsidRPr="002A612D">
        <w:rPr>
          <w:rFonts w:ascii="Arial" w:eastAsia="Arial" w:hAnsi="Arial" w:cs="Arial"/>
          <w:kern w:val="0"/>
          <w:lang w:eastAsia="es-PE"/>
          <w14:ligatures w14:val="none"/>
        </w:rPr>
        <w:t>.</w:t>
      </w:r>
    </w:p>
    <w:p w14:paraId="677F6F01"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ED25A9F"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A efectos de explicar lo expuesto, el análisis de la calidad de microempresario se deberá entender, de acuerdo con el siguiente diagrama:</w:t>
      </w:r>
    </w:p>
    <w:p w14:paraId="14F3F630" w14:textId="77777777" w:rsidR="0076700A" w:rsidRPr="005B6AC3" w:rsidRDefault="0076700A" w:rsidP="005B6AC3">
      <w:pPr>
        <w:rPr>
          <w:rFonts w:ascii="Calibri" w:eastAsia="Calibri" w:hAnsi="Calibri" w:cs="Calibri"/>
          <w:b/>
          <w:bCs/>
          <w:color w:val="000000"/>
          <w:kern w:val="0"/>
          <w:lang w:eastAsia="es-PE"/>
          <w14:ligatures w14:val="none"/>
        </w:rPr>
      </w:pPr>
    </w:p>
    <w:p w14:paraId="6E76726A" w14:textId="77777777" w:rsidR="0076700A" w:rsidRPr="0076700A" w:rsidRDefault="0076700A" w:rsidP="0076700A">
      <w:pPr>
        <w:pStyle w:val="Prrafodelista"/>
        <w:spacing w:after="0" w:line="240" w:lineRule="auto"/>
        <w:ind w:left="1146"/>
        <w:jc w:val="center"/>
        <w:rPr>
          <w:rFonts w:ascii="Calibri" w:eastAsia="Calibri" w:hAnsi="Calibri" w:cs="Calibri"/>
          <w:b/>
          <w:bCs/>
          <w:color w:val="000000"/>
          <w:kern w:val="0"/>
          <w:lang w:eastAsia="es-PE"/>
          <w14:ligatures w14:val="none"/>
        </w:rPr>
      </w:pPr>
      <w:r w:rsidRPr="0076700A">
        <w:rPr>
          <w:rFonts w:ascii="Calibri" w:eastAsia="Calibri" w:hAnsi="Calibri" w:cs="Calibri"/>
          <w:b/>
          <w:bCs/>
          <w:color w:val="000000"/>
          <w:kern w:val="0"/>
          <w:lang w:eastAsia="es-PE"/>
          <w14:ligatures w14:val="none"/>
        </w:rPr>
        <w:t>Diagrama N° 2: Análisis de acreditación de microempresario</w:t>
      </w:r>
    </w:p>
    <w:p w14:paraId="51104EBC" w14:textId="77777777" w:rsidR="0076700A" w:rsidRPr="0076700A" w:rsidRDefault="0076700A" w:rsidP="0076700A">
      <w:pPr>
        <w:pStyle w:val="Prrafodelista"/>
        <w:spacing w:after="0" w:line="240" w:lineRule="auto"/>
        <w:ind w:left="1146"/>
        <w:rPr>
          <w:rFonts w:ascii="Arial" w:eastAsia="Arial" w:hAnsi="Arial" w:cs="Arial"/>
          <w:color w:val="000000"/>
          <w:kern w:val="0"/>
          <w:lang w:eastAsia="es-PE"/>
          <w14:ligatures w14:val="none"/>
        </w:rPr>
      </w:pPr>
    </w:p>
    <w:p w14:paraId="79A95072" w14:textId="77777777" w:rsidR="0076700A" w:rsidRPr="0076700A" w:rsidRDefault="0076700A" w:rsidP="0076700A">
      <w:pPr>
        <w:pStyle w:val="Prrafodelista"/>
        <w:spacing w:after="0" w:line="240" w:lineRule="auto"/>
        <w:ind w:left="1146"/>
        <w:rPr>
          <w:rFonts w:ascii="Arial" w:eastAsia="Arial" w:hAnsi="Arial" w:cs="Arial"/>
          <w:color w:val="000000"/>
          <w:kern w:val="0"/>
          <w:lang w:eastAsia="es-PE"/>
          <w14:ligatures w14:val="none"/>
        </w:rPr>
      </w:pPr>
      <w:r w:rsidRPr="002A612D">
        <w:rPr>
          <w:noProof/>
          <w:lang w:eastAsia="es-PE"/>
        </w:rPr>
        <w:drawing>
          <wp:inline distT="0" distB="0" distL="0" distR="0" wp14:anchorId="1F083490" wp14:editId="18D54079">
            <wp:extent cx="4714875" cy="1800300"/>
            <wp:effectExtent l="38100" t="38100" r="28575" b="47625"/>
            <wp:docPr id="2" name="Imagen 2"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Texto&#10;&#10;Descripción generada automáticamente"/>
                    <pic:cNvPicPr/>
                  </pic:nvPicPr>
                  <pic:blipFill>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714875" cy="1800300"/>
                    </a:xfrm>
                    <a:prstGeom prst="rect">
                      <a:avLst/>
                    </a:prstGeom>
                    <a:ln w="28575">
                      <a:solidFill>
                        <a:schemeClr val="tx1"/>
                      </a:solidFill>
                    </a:ln>
                  </pic:spPr>
                </pic:pic>
              </a:graphicData>
            </a:graphic>
          </wp:inline>
        </w:drawing>
      </w:r>
    </w:p>
    <w:p w14:paraId="0D6C37E2" w14:textId="77777777" w:rsidR="002A612D" w:rsidRPr="002A612D" w:rsidRDefault="002A612D" w:rsidP="0076700A">
      <w:pPr>
        <w:spacing w:after="0" w:line="240" w:lineRule="auto"/>
        <w:contextualSpacing/>
        <w:jc w:val="both"/>
        <w:rPr>
          <w:rFonts w:ascii="Arial" w:eastAsia="Arial" w:hAnsi="Arial" w:cs="Arial"/>
          <w:color w:val="000000"/>
          <w:kern w:val="0"/>
          <w:lang w:eastAsia="es-PE"/>
          <w14:ligatures w14:val="none"/>
        </w:rPr>
      </w:pPr>
    </w:p>
    <w:p w14:paraId="0BA87FB1"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A3771A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Es oportuno precisar, que antes de la entrada en vigencia de la mencionada directiva, esta Comisión consideraba que los denunciantes tenían que evidenciar la condición de microempresario en dos (2) momentos: (i) cuando entabló la relación de consumo; y, además, (ii) cuando presentó la denuncia administrativa para acceder a la tutela del Código. Así debía acreditar que no sobrepasaba el parámetro de ventas anuales dispuesto por la Ley Mype en dichos periodos.</w:t>
      </w:r>
    </w:p>
    <w:p w14:paraId="1C110BE3"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501B79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Sin embargo, actualmente, en cumplimiento con lo dispuesto en la </w:t>
      </w:r>
      <w:r w:rsidRPr="002A612D">
        <w:rPr>
          <w:rFonts w:ascii="Arial" w:eastAsia="Arial" w:hAnsi="Arial" w:cs="Arial"/>
          <w:bCs/>
          <w:kern w:val="0"/>
          <w:lang w:eastAsia="es-PE"/>
          <w14:ligatures w14:val="none"/>
        </w:rPr>
        <w:t>Directiva Única de Protección al Consumidor, corresponde a este órgano evidenciar la condición de microempresario de la denunciante al momento en que presentó su denuncia. Cabe precisar que, conforme lo señalado en la mencionada directiva, su aplicación es inmediata para los procedimientos en trámite</w:t>
      </w:r>
      <w:r w:rsidRPr="002A612D">
        <w:rPr>
          <w:rFonts w:ascii="Arial" w:eastAsia="Arial" w:hAnsi="Arial" w:cs="Arial"/>
          <w:color w:val="000000"/>
          <w:kern w:val="0"/>
          <w:vertAlign w:val="superscript"/>
          <w:lang w:eastAsia="es-PE"/>
          <w14:ligatures w14:val="none"/>
        </w:rPr>
        <w:footnoteReference w:id="9"/>
      </w:r>
      <w:r w:rsidRPr="002A612D">
        <w:rPr>
          <w:rFonts w:ascii="Arial" w:eastAsia="Arial" w:hAnsi="Arial" w:cs="Arial"/>
          <w:bCs/>
          <w:kern w:val="0"/>
          <w:lang w:eastAsia="es-PE"/>
          <w14:ligatures w14:val="none"/>
        </w:rPr>
        <w:t>.</w:t>
      </w:r>
    </w:p>
    <w:p w14:paraId="3DEDEC0F"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6B85D61C"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consecuencia, la denunciante deberá acreditar que era microempresario al momento que interpuso la denuncia administrativa, para lo cual deberá presentar las declaraciones juradas mensuales del IGV y del IR del ejercicio tributario anual inmediato anterior al momento de la verificación.</w:t>
      </w:r>
    </w:p>
    <w:p w14:paraId="0873E823"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619D32D9" w14:textId="77777777" w:rsidR="002A612D" w:rsidRPr="002A612D" w:rsidRDefault="002A612D" w:rsidP="002A612D">
      <w:pPr>
        <w:widowControl w:val="0"/>
        <w:numPr>
          <w:ilvl w:val="0"/>
          <w:numId w:val="5"/>
        </w:numPr>
        <w:spacing w:after="0" w:line="240" w:lineRule="auto"/>
        <w:ind w:left="573" w:hanging="573"/>
        <w:contextualSpacing/>
        <w:jc w:val="both"/>
        <w:rPr>
          <w:rFonts w:ascii="Arial" w:eastAsia="Calibri" w:hAnsi="Arial" w:cs="Arial"/>
          <w:i/>
          <w:color w:val="000000"/>
          <w:kern w:val="0"/>
          <w:u w:val="single"/>
          <w:lang w:eastAsia="es-PE"/>
          <w14:ligatures w14:val="none"/>
        </w:rPr>
      </w:pPr>
      <w:r w:rsidRPr="002A612D">
        <w:rPr>
          <w:rFonts w:ascii="Arial" w:eastAsia="Arial" w:hAnsi="Arial" w:cs="Arial"/>
          <w:i/>
          <w:color w:val="000000"/>
          <w:kern w:val="0"/>
          <w:u w:val="single"/>
          <w:lang w:eastAsia="es-PE"/>
          <w14:ligatures w14:val="none"/>
        </w:rPr>
        <w:t>El requisito de ventas anuales</w:t>
      </w:r>
    </w:p>
    <w:p w14:paraId="66B48825"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36D7E110"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determinar si se está ante un microempresario se deberá analizar si la parte denunciante cumple con los requisitos previstos en la Ley Mype y su Reglamento</w:t>
      </w:r>
      <w:r w:rsidRPr="002A612D">
        <w:rPr>
          <w:rFonts w:ascii="Arial" w:eastAsia="Arial" w:hAnsi="Arial" w:cs="Arial"/>
          <w:color w:val="000000"/>
          <w:kern w:val="0"/>
          <w:vertAlign w:val="superscript"/>
          <w:lang w:eastAsia="es-PE"/>
          <w14:ligatures w14:val="none"/>
        </w:rPr>
        <w:footnoteReference w:id="10"/>
      </w:r>
      <w:r w:rsidRPr="002A612D">
        <w:rPr>
          <w:rFonts w:ascii="Arial" w:eastAsia="Arial" w:hAnsi="Arial" w:cs="Arial"/>
          <w:color w:val="000000"/>
          <w:kern w:val="0"/>
          <w:lang w:eastAsia="es-PE"/>
          <w14:ligatures w14:val="none"/>
        </w:rPr>
        <w:t>.</w:t>
      </w:r>
    </w:p>
    <w:p w14:paraId="12E1F2B0"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0128158B" w14:textId="77777777" w:rsidR="002A612D" w:rsidRDefault="002A612D" w:rsidP="00BC2DD1">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Al respecto, el artículo 5° de la Ley Mype establece que, una microempresa (sea persona natural o jurídica) debe cumplir con las características que establece la norma, referidas a que su nivel de ventas anuales no debe superar las 150 UIT</w:t>
      </w:r>
      <w:r w:rsidRPr="002A612D">
        <w:rPr>
          <w:rFonts w:ascii="Arial" w:eastAsia="Arial" w:hAnsi="Arial" w:cs="Arial"/>
          <w:color w:val="000000"/>
          <w:kern w:val="0"/>
          <w:vertAlign w:val="superscript"/>
          <w:lang w:eastAsia="es-PE"/>
          <w14:ligatures w14:val="none"/>
        </w:rPr>
        <w:footnoteReference w:id="11"/>
      </w:r>
      <w:r w:rsidRPr="002A612D">
        <w:rPr>
          <w:rFonts w:ascii="Arial" w:eastAsia="Arial" w:hAnsi="Arial" w:cs="Arial"/>
          <w:color w:val="000000"/>
          <w:kern w:val="0"/>
          <w:lang w:eastAsia="es-PE"/>
          <w14:ligatures w14:val="none"/>
        </w:rPr>
        <w:t>.</w:t>
      </w:r>
    </w:p>
    <w:p w14:paraId="79CF3389" w14:textId="77777777" w:rsidR="00BC2DD1" w:rsidRPr="002A612D" w:rsidRDefault="00BC2DD1" w:rsidP="00BC2DD1">
      <w:pPr>
        <w:spacing w:after="0" w:line="240" w:lineRule="auto"/>
        <w:contextualSpacing/>
        <w:jc w:val="both"/>
        <w:rPr>
          <w:rFonts w:ascii="Arial" w:eastAsia="Arial" w:hAnsi="Arial" w:cs="Arial"/>
          <w:color w:val="000000"/>
          <w:kern w:val="0"/>
          <w:lang w:eastAsia="es-PE"/>
          <w14:ligatures w14:val="none"/>
        </w:rPr>
      </w:pPr>
    </w:p>
    <w:p w14:paraId="1CF8F7E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Asimismo, el artículo 2° del Reglamento de la Ley Mype</w:t>
      </w:r>
      <w:r w:rsidRPr="002A612D">
        <w:rPr>
          <w:rFonts w:ascii="Arial" w:eastAsia="Arial" w:hAnsi="Arial" w:cs="Arial"/>
          <w:color w:val="000000"/>
          <w:kern w:val="0"/>
          <w:vertAlign w:val="superscript"/>
          <w:lang w:eastAsia="es-PE"/>
          <w14:ligatures w14:val="none"/>
        </w:rPr>
        <w:footnoteReference w:id="12"/>
      </w:r>
      <w:r w:rsidRPr="002A612D">
        <w:rPr>
          <w:rFonts w:ascii="Arial" w:eastAsia="Arial" w:hAnsi="Arial" w:cs="Arial"/>
          <w:color w:val="000000"/>
          <w:kern w:val="0"/>
          <w:lang w:eastAsia="es-PE"/>
          <w14:ligatures w14:val="none"/>
        </w:rPr>
        <w:t xml:space="preserve"> establece que, se deberá entender por niveles de ventas anuales, lo siguiente:</w:t>
      </w:r>
    </w:p>
    <w:p w14:paraId="164AEB94"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33C4902"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netos anuales gravados con el IR que resulten de la sumatoria de los montos de tales ingresos consignados en las declaraciones juradas mensuales de los pagos a cuenta del IR, tratándose de contribuyentes comprendidos en el Régimen General del IR.</w:t>
      </w:r>
    </w:p>
    <w:p w14:paraId="4AC9AD10"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netos anuales que resulten de la sumatoria de los montos de tales ingresos consignados en las declaraciones juradas mensuales del Régimen Especial del IR, tratándose de contribuyentes de este Régimen.</w:t>
      </w:r>
    </w:p>
    <w:p w14:paraId="360128C3"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brutos anuales que resulten de la sumatoria de los montos de tales ingresos consignados en las declaraciones juradas del Nuevo RUS, tratándose de contribuyentes de este Régimen.</w:t>
      </w:r>
    </w:p>
    <w:p w14:paraId="65859488"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0A0217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El artículo 85° de la Ley del Impuesto a la Renta</w:t>
      </w:r>
      <w:r w:rsidRPr="002A612D">
        <w:rPr>
          <w:rFonts w:ascii="Arial" w:eastAsia="Arial" w:hAnsi="Arial" w:cs="Arial"/>
          <w:color w:val="000000"/>
          <w:kern w:val="0"/>
          <w:vertAlign w:val="superscript"/>
          <w:lang w:eastAsia="es-PE"/>
          <w14:ligatures w14:val="none"/>
        </w:rPr>
        <w:footnoteReference w:id="13"/>
      </w:r>
      <w:r w:rsidRPr="002A612D">
        <w:rPr>
          <w:rFonts w:ascii="Arial" w:eastAsia="Arial" w:hAnsi="Arial" w:cs="Arial"/>
          <w:color w:val="000000"/>
          <w:kern w:val="0"/>
          <w:lang w:eastAsia="es-PE"/>
          <w14:ligatures w14:val="none"/>
        </w:rPr>
        <w:t xml:space="preserve"> establece que se consideran ingresos netos el total de ingresos gravables de la tercera categoría, devengados en cada mes, </w:t>
      </w:r>
      <w:r w:rsidRPr="002A612D">
        <w:rPr>
          <w:rFonts w:ascii="Arial" w:eastAsia="Arial" w:hAnsi="Arial" w:cs="Arial"/>
          <w:color w:val="000000"/>
          <w:kern w:val="0"/>
          <w:lang w:eastAsia="es-PE"/>
          <w14:ligatures w14:val="none"/>
        </w:rPr>
        <w:lastRenderedPageBreak/>
        <w:t xml:space="preserve">menos las devoluciones, bonificaciones, descuentos y demás conceptos de naturaleza similar que respondan a la costumbre de la plaza.  </w:t>
      </w:r>
    </w:p>
    <w:p w14:paraId="2A318A7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4999805F"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mayor abundamiento, el Tribunal Fiscal del Ministerio de Economía y Finanzas, mediante Resolución 02760-5-2006, precisó que la determinación de los ingresos netos devengados en cada mes debe considerar aquellos ingresos definidos como tales en las normas internacionales de contabilidad, gravados por el impuesto a la renta de tercera categoría, tales como la venta de productos, la prestación de servicios, el uso por terceros de los activos de la empresas que generen intereses, regalías y dividendos, la disposición de activos como inmuebles, maquinarias y equipos, e inversiones</w:t>
      </w:r>
      <w:r w:rsidRPr="002A612D">
        <w:rPr>
          <w:rFonts w:ascii="Arial" w:eastAsia="Arial" w:hAnsi="Arial" w:cs="Arial"/>
          <w:color w:val="000000"/>
          <w:kern w:val="0"/>
          <w:vertAlign w:val="superscript"/>
          <w:lang w:eastAsia="es-PE"/>
          <w14:ligatures w14:val="none"/>
        </w:rPr>
        <w:footnoteReference w:id="14"/>
      </w:r>
      <w:r w:rsidRPr="002A612D">
        <w:rPr>
          <w:rFonts w:ascii="Arial" w:eastAsia="Arial" w:hAnsi="Arial" w:cs="Arial"/>
          <w:color w:val="000000"/>
          <w:kern w:val="0"/>
          <w:lang w:eastAsia="es-PE"/>
          <w14:ligatures w14:val="none"/>
        </w:rPr>
        <w:t>.</w:t>
      </w:r>
    </w:p>
    <w:p w14:paraId="20DE9C7F"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172681C4"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La definición contable de </w:t>
      </w:r>
      <w:r w:rsidRPr="002A612D">
        <w:rPr>
          <w:rFonts w:ascii="Arial" w:eastAsia="Arial" w:hAnsi="Arial" w:cs="Arial"/>
          <w:i/>
          <w:color w:val="000000"/>
          <w:kern w:val="0"/>
          <w:lang w:eastAsia="es-PE"/>
          <w14:ligatures w14:val="none"/>
        </w:rPr>
        <w:t>ingresos</w:t>
      </w:r>
      <w:r w:rsidRPr="002A612D">
        <w:rPr>
          <w:rFonts w:ascii="Arial" w:eastAsia="Arial" w:hAnsi="Arial" w:cs="Arial"/>
          <w:color w:val="000000"/>
          <w:kern w:val="0"/>
          <w:lang w:eastAsia="es-PE"/>
          <w14:ligatures w14:val="none"/>
        </w:rPr>
        <w:t xml:space="preserve"> a decir de la Norma Internacional de Contabilidad (NIC) 18 “Ingresos de Actividades Ordinarias” señala que “</w:t>
      </w:r>
      <w:r w:rsidRPr="002A612D">
        <w:rPr>
          <w:rFonts w:ascii="Arial" w:eastAsia="Arial" w:hAnsi="Arial" w:cs="Arial"/>
          <w:i/>
          <w:iCs/>
          <w:color w:val="000000"/>
          <w:kern w:val="0"/>
          <w:lang w:eastAsia="es-PE"/>
          <w14:ligatures w14:val="none"/>
        </w:rPr>
        <w:t>l</w:t>
      </w:r>
      <w:r w:rsidRPr="002A612D">
        <w:rPr>
          <w:rFonts w:ascii="Arial" w:eastAsia="Arial" w:hAnsi="Arial" w:cs="Arial"/>
          <w:i/>
          <w:iCs/>
          <w:color w:val="000000"/>
          <w:kern w:val="0"/>
          <w:szCs w:val="24"/>
          <w:lang w:eastAsia="es-PE"/>
          <w14:ligatures w14:val="none"/>
        </w:rPr>
        <w:t>os ingresos son definidos como incrementos en los beneficios económicos, producidos a lo largo del periodo contable, en forma de entradas o incrementos de valor de los activos, o bien como disminuciones de los pasivos, que dan como resultado aumentos del patrimonio y no están relacionados con las aportaciones de los propietarios de la entidad. El concepto de ingreso comprende tanto los ingresos de actividades ordinarias como las ganancias</w:t>
      </w:r>
      <w:r w:rsidRPr="002A612D">
        <w:rPr>
          <w:rFonts w:ascii="Arial" w:eastAsia="Arial" w:hAnsi="Arial" w:cs="Arial"/>
          <w:iCs/>
          <w:color w:val="000000"/>
          <w:kern w:val="0"/>
          <w:szCs w:val="24"/>
          <w:lang w:eastAsia="es-PE"/>
          <w14:ligatures w14:val="none"/>
        </w:rPr>
        <w:t>”.</w:t>
      </w:r>
    </w:p>
    <w:p w14:paraId="3B4CF693"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29C2BF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conformidad con lo expuesto, para determinar la calidad de microempresario de la denunciante corresponde verificar que su nivel de ventas, compuesto por sus ingresos netos anuales, los cuales incluyen las ventas de bienes o prestación de servicios relacionados con su giro de negocio, así como otros ingresos gravados por el IR, no supere las ciento cincuenta (150) Unidades Impositivas Tributarias (UIT).</w:t>
      </w:r>
    </w:p>
    <w:p w14:paraId="0C50406F"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7DC4ACA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lastRenderedPageBreak/>
        <w:t>Es preciso señalar que, a los fundamentos desarrollados precedentemente, corresponde considerar como parámetro para la determinación de la calidad de microempresario de la denunciante, en los términos de la Ley Mype y su reglamento, la suma de todos los ingresos gravados con el IR más las ventas por bienes o prestación de servicios.</w:t>
      </w:r>
    </w:p>
    <w:p w14:paraId="7D2063B2"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E9DAC8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ese sentido, la Comisión procederá a verificar que la suma de los ingresos netos consignados en las declaraciones juradas mensuales del IGV y del IR (PDT IGV-Renta Mensual) en el ejercicio no superen las ciento cincuenta (150) UIT, conforme lo dispone el Reglamento de la Ley Mype.</w:t>
      </w:r>
    </w:p>
    <w:p w14:paraId="61F1BE64" w14:textId="77777777" w:rsidR="002A612D" w:rsidRPr="002A612D" w:rsidRDefault="002A612D" w:rsidP="002A612D">
      <w:pPr>
        <w:spacing w:after="0" w:line="276" w:lineRule="auto"/>
        <w:ind w:left="720"/>
        <w:contextualSpacing/>
        <w:rPr>
          <w:rFonts w:ascii="Arial" w:eastAsia="Arial" w:hAnsi="Arial" w:cs="Arial"/>
          <w:color w:val="000000"/>
          <w:kern w:val="0"/>
          <w:lang w:eastAsia="es-PE"/>
          <w14:ligatures w14:val="none"/>
        </w:rPr>
      </w:pPr>
    </w:p>
    <w:p w14:paraId="1221F75F" w14:textId="77777777" w:rsidR="002A612D" w:rsidRPr="002A612D" w:rsidRDefault="002A612D" w:rsidP="002A612D">
      <w:pPr>
        <w:widowControl w:val="0"/>
        <w:numPr>
          <w:ilvl w:val="1"/>
          <w:numId w:val="11"/>
        </w:numPr>
        <w:spacing w:after="0" w:line="240" w:lineRule="auto"/>
        <w:ind w:left="567" w:hanging="567"/>
        <w:contextualSpacing/>
        <w:jc w:val="both"/>
        <w:rPr>
          <w:rFonts w:ascii="Arial" w:eastAsia="Arial" w:hAnsi="Arial" w:cs="Arial"/>
          <w:b/>
          <w:bCs/>
          <w:color w:val="000000"/>
          <w:kern w:val="0"/>
          <w:lang w:eastAsia="es-PE"/>
          <w14:ligatures w14:val="none"/>
        </w:rPr>
      </w:pPr>
      <w:r w:rsidRPr="002A612D">
        <w:rPr>
          <w:rFonts w:ascii="Arial" w:eastAsia="Arial" w:hAnsi="Arial" w:cs="Arial"/>
          <w:b/>
          <w:bCs/>
          <w:color w:val="000000"/>
          <w:kern w:val="0"/>
          <w:lang w:eastAsia="es-PE"/>
          <w14:ligatures w14:val="none"/>
        </w:rPr>
        <w:t xml:space="preserve">Sobre la aplicación al caso concreto </w:t>
      </w:r>
    </w:p>
    <w:p w14:paraId="3C1BA059"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0AE34FF3" w14:textId="54B5D089"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atención a lo expuesto, la Comisión analizará si </w:t>
      </w:r>
      <w:r w:rsidR="00DD79DE" w:rsidRPr="00DD79DE">
        <w:rPr>
          <w:rFonts w:ascii="Arial" w:eastAsia="Arial" w:hAnsi="Arial" w:cs="Arial"/>
          <w:color w:val="000000"/>
          <w:kern w:val="0"/>
          <w:lang w:eastAsia="es-PE"/>
          <w14:ligatures w14:val="none"/>
        </w:rPr>
        <w:t xml:space="preserve">Comercial Imar </w:t>
      </w:r>
      <w:r w:rsidRPr="002A612D">
        <w:rPr>
          <w:rFonts w:ascii="Arial" w:eastAsia="Arial" w:hAnsi="Arial" w:cs="Arial"/>
          <w:color w:val="000000"/>
          <w:kern w:val="0"/>
          <w:lang w:eastAsia="es-PE"/>
          <w14:ligatures w14:val="none"/>
        </w:rPr>
        <w:t>encaja en la noción de consumidor establecida por el Código.</w:t>
      </w:r>
    </w:p>
    <w:p w14:paraId="4D7EDA0B" w14:textId="77777777" w:rsidR="002A612D" w:rsidRPr="002A612D" w:rsidRDefault="002A612D" w:rsidP="002A612D">
      <w:pPr>
        <w:widowControl w:val="0"/>
        <w:spacing w:after="0" w:line="240" w:lineRule="auto"/>
        <w:ind w:left="426" w:hanging="426"/>
        <w:jc w:val="both"/>
        <w:rPr>
          <w:rFonts w:ascii="Arial" w:eastAsia="Calibri" w:hAnsi="Arial" w:cs="Arial"/>
          <w:color w:val="000000"/>
          <w:kern w:val="0"/>
          <w:lang w:eastAsia="es-PE"/>
          <w14:ligatures w14:val="none"/>
        </w:rPr>
      </w:pPr>
    </w:p>
    <w:p w14:paraId="167FBDC0" w14:textId="77777777" w:rsidR="002A612D" w:rsidRPr="002A612D" w:rsidRDefault="002A612D" w:rsidP="002A612D">
      <w:pPr>
        <w:widowControl w:val="0"/>
        <w:numPr>
          <w:ilvl w:val="0"/>
          <w:numId w:val="12"/>
        </w:numPr>
        <w:spacing w:after="0" w:line="240" w:lineRule="auto"/>
        <w:ind w:left="567" w:hanging="567"/>
        <w:contextualSpacing/>
        <w:jc w:val="both"/>
        <w:rPr>
          <w:rFonts w:ascii="Arial" w:eastAsia="Arial" w:hAnsi="Arial" w:cs="Arial"/>
          <w:i/>
          <w:color w:val="000000"/>
          <w:kern w:val="0"/>
          <w:lang w:eastAsia="es-PE"/>
          <w14:ligatures w14:val="none"/>
        </w:rPr>
      </w:pPr>
      <w:r w:rsidRPr="002A612D">
        <w:rPr>
          <w:rFonts w:ascii="Arial" w:eastAsia="Arial" w:hAnsi="Arial" w:cs="Arial"/>
          <w:i/>
          <w:color w:val="000000"/>
          <w:kern w:val="0"/>
          <w:lang w:eastAsia="es-PE"/>
          <w14:ligatures w14:val="none"/>
        </w:rPr>
        <w:t>Filtro general</w:t>
      </w:r>
    </w:p>
    <w:p w14:paraId="3D9F3BDA"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0C7F084" w14:textId="387F645C"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sz w:val="16"/>
          <w:szCs w:val="16"/>
          <w:lang w:eastAsia="es-PE"/>
          <w14:ligatures w14:val="none"/>
        </w:rPr>
      </w:pPr>
      <w:r w:rsidRPr="002A612D">
        <w:rPr>
          <w:rFonts w:ascii="Arial" w:eastAsia="Arial" w:hAnsi="Arial" w:cs="Arial"/>
          <w:color w:val="000000"/>
          <w:kern w:val="0"/>
          <w:lang w:eastAsia="es-PE"/>
          <w14:ligatures w14:val="none"/>
        </w:rPr>
        <w:t xml:space="preserve">De la consulta a la información publicada en la página </w:t>
      </w:r>
      <w:r w:rsidRPr="002A612D">
        <w:rPr>
          <w:rFonts w:ascii="Arial" w:eastAsia="Arial" w:hAnsi="Arial" w:cs="Arial"/>
          <w:i/>
          <w:iCs/>
          <w:color w:val="000000"/>
          <w:kern w:val="0"/>
          <w:lang w:eastAsia="es-PE"/>
          <w14:ligatures w14:val="none"/>
        </w:rPr>
        <w:t>web</w:t>
      </w:r>
      <w:r w:rsidRPr="002A612D">
        <w:rPr>
          <w:rFonts w:ascii="Arial" w:eastAsia="Arial" w:hAnsi="Arial" w:cs="Arial"/>
          <w:color w:val="000000"/>
          <w:kern w:val="0"/>
          <w:lang w:eastAsia="es-PE"/>
          <w14:ligatures w14:val="none"/>
        </w:rPr>
        <w:t xml:space="preserve"> del Registro Único de Contribuyente (RUC) de la Superintendencia </w:t>
      </w:r>
      <w:r w:rsidRPr="00FC6D73">
        <w:rPr>
          <w:rFonts w:ascii="Arial" w:eastAsia="Arial" w:hAnsi="Arial" w:cs="Arial"/>
          <w:color w:val="000000"/>
          <w:kern w:val="0"/>
          <w:lang w:eastAsia="es-PE"/>
          <w14:ligatures w14:val="none"/>
        </w:rPr>
        <w:t>Nacional de Aduanas y de Administración Tributaria (en adelante, Sunat)</w:t>
      </w:r>
      <w:r w:rsidRPr="00FC6D73">
        <w:rPr>
          <w:rFonts w:ascii="Arial" w:eastAsia="Calibri" w:hAnsi="Arial" w:cs="Arial"/>
          <w:color w:val="000000"/>
          <w:kern w:val="0"/>
          <w:vertAlign w:val="superscript"/>
          <w:lang w:eastAsia="es-PE"/>
          <w14:ligatures w14:val="none"/>
        </w:rPr>
        <w:footnoteReference w:id="15"/>
      </w:r>
      <w:r w:rsidRPr="00FC6D73">
        <w:rPr>
          <w:rFonts w:ascii="Arial" w:eastAsia="Arial" w:hAnsi="Arial" w:cs="Arial"/>
          <w:color w:val="000000"/>
          <w:kern w:val="0"/>
          <w:lang w:eastAsia="es-PE"/>
          <w14:ligatures w14:val="none"/>
        </w:rPr>
        <w:t xml:space="preserve">, se ha verificado que </w:t>
      </w:r>
      <w:r w:rsidR="00DD79DE" w:rsidRPr="00FC6D73">
        <w:rPr>
          <w:rFonts w:ascii="Arial" w:eastAsia="Arial" w:hAnsi="Arial" w:cs="Arial"/>
          <w:color w:val="000000"/>
          <w:kern w:val="0"/>
          <w:lang w:eastAsia="es-PE"/>
          <w14:ligatures w14:val="none"/>
        </w:rPr>
        <w:t xml:space="preserve">Comercial Imar </w:t>
      </w:r>
      <w:r w:rsidRPr="00FC6D73">
        <w:rPr>
          <w:rFonts w:ascii="Arial" w:eastAsia="Arial" w:hAnsi="Arial" w:cs="Arial"/>
          <w:color w:val="000000"/>
          <w:kern w:val="0"/>
          <w:lang w:eastAsia="es-PE"/>
          <w14:ligatures w14:val="none"/>
        </w:rPr>
        <w:t xml:space="preserve">es una </w:t>
      </w:r>
      <w:r w:rsidR="00FC6D73" w:rsidRPr="00FC6D73">
        <w:rPr>
          <w:rFonts w:ascii="Arial" w:eastAsia="Arial" w:hAnsi="Arial" w:cs="Arial"/>
          <w:color w:val="000000"/>
          <w:kern w:val="0"/>
          <w:lang w:eastAsia="es-PE"/>
          <w14:ligatures w14:val="none"/>
        </w:rPr>
        <w:t xml:space="preserve">empresa individual de responsabilidad </w:t>
      </w:r>
      <w:r w:rsidR="00DD79DE" w:rsidRPr="00FC6D73">
        <w:rPr>
          <w:rFonts w:ascii="Arial" w:eastAsia="Arial" w:hAnsi="Arial" w:cs="Arial"/>
          <w:color w:val="000000"/>
          <w:kern w:val="0"/>
          <w:lang w:eastAsia="es-PE"/>
          <w14:ligatures w14:val="none"/>
        </w:rPr>
        <w:t xml:space="preserve">limitada </w:t>
      </w:r>
      <w:r w:rsidRPr="00FC6D73">
        <w:rPr>
          <w:rFonts w:ascii="Arial" w:eastAsia="Arial" w:hAnsi="Arial" w:cs="Arial"/>
          <w:color w:val="000000"/>
          <w:kern w:val="0"/>
          <w:lang w:eastAsia="es-PE"/>
          <w14:ligatures w14:val="none"/>
        </w:rPr>
        <w:t>dedicada, entre otros aspectos,</w:t>
      </w:r>
      <w:r w:rsidR="00FC6D73" w:rsidRPr="00FC6D73">
        <w:rPr>
          <w:rFonts w:ascii="Arial" w:eastAsia="Arial" w:hAnsi="Arial" w:cs="Arial"/>
          <w:color w:val="000000"/>
          <w:kern w:val="0"/>
          <w:lang w:eastAsia="es-PE"/>
          <w14:ligatures w14:val="none"/>
        </w:rPr>
        <w:t xml:space="preserve"> transporte de carga por carretera, además a la venta al por mayor de materiales de construcción, artículos de ferretería y equipo y materiales de fontanería y calefacción</w:t>
      </w:r>
      <w:r w:rsidRPr="00D40312">
        <w:rPr>
          <w:rFonts w:ascii="Arial" w:eastAsia="Arial" w:hAnsi="Arial" w:cs="Arial"/>
          <w:color w:val="000000"/>
          <w:kern w:val="0"/>
          <w:lang w:eastAsia="es-PE"/>
          <w14:ligatures w14:val="none"/>
        </w:rPr>
        <w:t xml:space="preserve">. </w:t>
      </w:r>
    </w:p>
    <w:p w14:paraId="3162B505" w14:textId="77777777" w:rsidR="002A612D" w:rsidRPr="00D40312" w:rsidRDefault="002A612D" w:rsidP="002A612D">
      <w:pPr>
        <w:widowControl w:val="0"/>
        <w:spacing w:after="0" w:line="240" w:lineRule="auto"/>
        <w:ind w:left="567"/>
        <w:contextualSpacing/>
        <w:jc w:val="both"/>
        <w:rPr>
          <w:rFonts w:ascii="Arial" w:eastAsia="Arial" w:hAnsi="Arial" w:cs="Arial"/>
          <w:color w:val="000000"/>
          <w:kern w:val="0"/>
          <w:sz w:val="16"/>
          <w:szCs w:val="16"/>
          <w:lang w:eastAsia="es-PE"/>
          <w14:ligatures w14:val="none"/>
        </w:rPr>
      </w:pPr>
    </w:p>
    <w:p w14:paraId="32C75C15" w14:textId="64F741BF"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 xml:space="preserve">En el presente caso, se ha corroborado que la </w:t>
      </w:r>
      <w:r w:rsidR="00DD79DE" w:rsidRPr="00DD79DE">
        <w:rPr>
          <w:rFonts w:ascii="Arial" w:eastAsia="Calibri" w:hAnsi="Arial" w:cs="Arial"/>
          <w:color w:val="000000"/>
          <w:kern w:val="0"/>
          <w14:ligatures w14:val="none"/>
        </w:rPr>
        <w:t xml:space="preserve">Póliza N° 15734923 del Seguro Vehicular </w:t>
      </w:r>
      <w:r w:rsidRPr="00D40312">
        <w:rPr>
          <w:rFonts w:ascii="Arial" w:eastAsia="Arial" w:hAnsi="Arial" w:cs="Arial"/>
          <w:color w:val="000000"/>
          <w:kern w:val="0"/>
          <w:lang w:eastAsia="es-PE"/>
          <w14:ligatures w14:val="none"/>
        </w:rPr>
        <w:t xml:space="preserve">fue contratado a titularidad </w:t>
      </w:r>
      <w:r w:rsidR="00DD79DE">
        <w:rPr>
          <w:rFonts w:ascii="Arial" w:eastAsia="Arial" w:hAnsi="Arial" w:cs="Arial"/>
          <w:color w:val="000000"/>
          <w:kern w:val="0"/>
          <w:lang w:eastAsia="es-PE"/>
          <w14:ligatures w14:val="none"/>
        </w:rPr>
        <w:t xml:space="preserve">de </w:t>
      </w:r>
      <w:r w:rsidR="00DD79DE" w:rsidRPr="00DD79DE">
        <w:rPr>
          <w:rFonts w:ascii="Arial" w:eastAsia="Arial" w:hAnsi="Arial" w:cs="Arial"/>
          <w:color w:val="000000"/>
          <w:kern w:val="0"/>
          <w:lang w:eastAsia="es-PE"/>
          <w14:ligatures w14:val="none"/>
        </w:rPr>
        <w:t>Comercial Imar</w:t>
      </w:r>
      <w:r w:rsidRPr="00D40312">
        <w:rPr>
          <w:rFonts w:ascii="Arial" w:eastAsia="Arial" w:hAnsi="Arial" w:cs="Arial"/>
          <w:color w:val="000000"/>
          <w:kern w:val="0"/>
          <w:lang w:eastAsia="es-PE"/>
          <w14:ligatures w14:val="none"/>
        </w:rPr>
        <w:t>, lo cual permite inferir que el referido producto financiero fue contratado para llevar a cabo actividades de índole empresarial. </w:t>
      </w:r>
    </w:p>
    <w:p w14:paraId="25244E3F" w14:textId="77777777" w:rsidR="002A612D" w:rsidRPr="00D40312"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7CDA9EB3" w14:textId="33EAE3F6"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 xml:space="preserve">En consecuencia, en este punto, este Colegiado considera que, para el presente caso, el denunciante contrató los servicios de </w:t>
      </w:r>
      <w:r w:rsidR="00DD79DE" w:rsidRPr="00DD79DE">
        <w:rPr>
          <w:rFonts w:ascii="Arial" w:eastAsia="Arial" w:hAnsi="Arial" w:cs="Arial"/>
          <w:color w:val="000000"/>
          <w:kern w:val="0"/>
          <w:lang w:eastAsia="es-PE"/>
          <w14:ligatures w14:val="none"/>
        </w:rPr>
        <w:t xml:space="preserve">Pacífico </w:t>
      </w:r>
      <w:r w:rsidRPr="00D40312">
        <w:rPr>
          <w:rFonts w:ascii="Arial" w:eastAsia="Arial" w:hAnsi="Arial" w:cs="Arial"/>
          <w:color w:val="000000"/>
          <w:kern w:val="0"/>
          <w:lang w:eastAsia="es-PE"/>
          <w14:ligatures w14:val="none"/>
        </w:rPr>
        <w:t xml:space="preserve">en un ámbito empresarial, es decir, con fines distintos a los personales, familiares o de su entorno social inmediato. </w:t>
      </w:r>
    </w:p>
    <w:p w14:paraId="6A0734BB" w14:textId="77777777" w:rsidR="002A612D" w:rsidRPr="00D40312"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317EE5F1" w14:textId="01AF16DD"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Así, de acuerdo con el diagrama señalado en el numeral 7 de la presente Resolución, luego de determinar que la parte denunciante</w:t>
      </w:r>
      <w:r w:rsidRPr="002A612D">
        <w:rPr>
          <w:rFonts w:ascii="Arial" w:eastAsia="Arial" w:hAnsi="Arial" w:cs="Arial"/>
          <w:color w:val="000000"/>
          <w:kern w:val="0"/>
          <w:lang w:eastAsia="es-PE"/>
          <w14:ligatures w14:val="none"/>
        </w:rPr>
        <w:t xml:space="preserve"> no adquirió, usó o disfrutó el producto/servicio para un fin personal, familiar o de su entorno social inmediato, corresponde que este órgano colegiado analice, a través del filtro especial para microempresas, si </w:t>
      </w:r>
      <w:r w:rsidR="00DD79DE" w:rsidRPr="00DD79DE">
        <w:rPr>
          <w:rFonts w:ascii="Arial" w:eastAsia="Arial" w:hAnsi="Arial" w:cs="Arial"/>
          <w:color w:val="000000"/>
          <w:kern w:val="0"/>
          <w:lang w:eastAsia="es-PE"/>
          <w14:ligatures w14:val="none"/>
        </w:rPr>
        <w:t xml:space="preserve">Comercial Imar </w:t>
      </w:r>
      <w:r w:rsidRPr="002A612D">
        <w:rPr>
          <w:rFonts w:ascii="Arial" w:eastAsia="Arial" w:hAnsi="Arial" w:cs="Arial"/>
          <w:bCs/>
          <w:color w:val="000000"/>
          <w:kern w:val="0"/>
          <w:lang w:eastAsia="es-PE"/>
          <w14:ligatures w14:val="none"/>
        </w:rPr>
        <w:t>tiene calidad de</w:t>
      </w:r>
      <w:r w:rsidRPr="002A612D">
        <w:rPr>
          <w:rFonts w:ascii="Arial" w:eastAsia="Arial" w:hAnsi="Arial" w:cs="Arial"/>
          <w:color w:val="000000"/>
          <w:kern w:val="0"/>
          <w:lang w:eastAsia="es-PE"/>
          <w14:ligatures w14:val="none"/>
        </w:rPr>
        <w:t xml:space="preserve"> consumidor final.</w:t>
      </w:r>
    </w:p>
    <w:p w14:paraId="6C4819A0" w14:textId="77777777" w:rsidR="002A612D" w:rsidRPr="002A612D" w:rsidRDefault="002A612D" w:rsidP="002A612D">
      <w:pPr>
        <w:widowControl w:val="0"/>
        <w:spacing w:after="0" w:line="240" w:lineRule="auto"/>
        <w:jc w:val="both"/>
        <w:rPr>
          <w:rFonts w:ascii="Arial" w:eastAsia="Calibri" w:hAnsi="Arial" w:cs="Arial"/>
          <w:color w:val="000000"/>
          <w:kern w:val="0"/>
          <w:sz w:val="16"/>
          <w:szCs w:val="16"/>
          <w:lang w:eastAsia="es-PE"/>
          <w14:ligatures w14:val="none"/>
        </w:rPr>
      </w:pPr>
    </w:p>
    <w:p w14:paraId="250C0F7B" w14:textId="77777777" w:rsidR="002A612D" w:rsidRPr="002A612D" w:rsidRDefault="002A612D" w:rsidP="002A612D">
      <w:pPr>
        <w:widowControl w:val="0"/>
        <w:numPr>
          <w:ilvl w:val="0"/>
          <w:numId w:val="10"/>
        </w:numPr>
        <w:spacing w:after="0" w:line="240" w:lineRule="auto"/>
        <w:ind w:left="558" w:hanging="570"/>
        <w:contextualSpacing/>
        <w:jc w:val="both"/>
        <w:rPr>
          <w:rFonts w:ascii="Arial" w:eastAsia="Calibri" w:hAnsi="Arial" w:cs="Arial"/>
          <w:i/>
          <w:color w:val="000000"/>
          <w:kern w:val="0"/>
          <w:lang w:eastAsia="es-PE"/>
          <w14:ligatures w14:val="none"/>
        </w:rPr>
      </w:pPr>
      <w:r w:rsidRPr="002A612D">
        <w:rPr>
          <w:rFonts w:ascii="Arial" w:eastAsia="Arial" w:hAnsi="Arial" w:cs="Arial"/>
          <w:i/>
          <w:color w:val="000000"/>
          <w:kern w:val="0"/>
          <w:lang w:eastAsia="es-PE"/>
          <w14:ligatures w14:val="none"/>
        </w:rPr>
        <w:t>Filtro especial para microempresas</w:t>
      </w:r>
    </w:p>
    <w:p w14:paraId="5ABA9B01" w14:textId="77777777" w:rsidR="002A612D" w:rsidRPr="002A612D" w:rsidRDefault="002A612D" w:rsidP="002A612D">
      <w:pPr>
        <w:widowControl w:val="0"/>
        <w:spacing w:after="0" w:line="240" w:lineRule="auto"/>
        <w:ind w:left="426" w:hanging="426"/>
        <w:jc w:val="both"/>
        <w:rPr>
          <w:rFonts w:ascii="Arial" w:eastAsia="Calibri" w:hAnsi="Arial" w:cs="Arial"/>
          <w:color w:val="000000"/>
          <w:kern w:val="0"/>
          <w:lang w:eastAsia="es-PE"/>
          <w14:ligatures w14:val="none"/>
        </w:rPr>
      </w:pPr>
    </w:p>
    <w:p w14:paraId="43D94D7B" w14:textId="7C197A87" w:rsidR="002A612D" w:rsidRPr="00D40312"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De acuerdo con el resultado </w:t>
      </w:r>
      <w:r w:rsidRPr="00D40312">
        <w:rPr>
          <w:rFonts w:ascii="Arial" w:eastAsia="Arial" w:hAnsi="Arial" w:cs="Arial"/>
          <w:color w:val="000000"/>
          <w:kern w:val="0"/>
          <w:lang w:eastAsia="es-PE"/>
          <w14:ligatures w14:val="none"/>
        </w:rPr>
        <w:t xml:space="preserve">obtenido luego de aplicar el filtro general, la Comisión debería declarar la improcedencia de la denuncia; sin embargo, tal como se ha expuesto previamente, debe analizarse adicionalmente si </w:t>
      </w:r>
      <w:r w:rsidR="00DD79DE" w:rsidRPr="00DD79DE">
        <w:rPr>
          <w:rFonts w:ascii="Arial" w:eastAsia="Arial" w:hAnsi="Arial" w:cs="Arial"/>
          <w:color w:val="000000"/>
          <w:kern w:val="0"/>
          <w:lang w:eastAsia="es-PE"/>
          <w14:ligatures w14:val="none"/>
        </w:rPr>
        <w:t>Comercial Imar</w:t>
      </w:r>
      <w:r w:rsidR="00DD79DE">
        <w:rPr>
          <w:rFonts w:ascii="Arial" w:eastAsia="Arial" w:hAnsi="Arial" w:cs="Arial"/>
          <w:color w:val="000000"/>
          <w:kern w:val="0"/>
          <w:lang w:eastAsia="es-PE"/>
          <w14:ligatures w14:val="none"/>
        </w:rPr>
        <w:t xml:space="preserve"> </w:t>
      </w:r>
      <w:r w:rsidRPr="00D40312">
        <w:rPr>
          <w:rFonts w:ascii="Arial" w:eastAsia="Arial" w:hAnsi="Arial" w:cs="Arial"/>
          <w:color w:val="000000"/>
          <w:kern w:val="0"/>
          <w:lang w:eastAsia="es-PE"/>
          <w14:ligatures w14:val="none"/>
        </w:rPr>
        <w:t>se encuentra en el supuesto de excepción previsto por el Código para las microempresas.</w:t>
      </w:r>
    </w:p>
    <w:p w14:paraId="027E328B" w14:textId="77777777" w:rsidR="002A612D" w:rsidRPr="00D40312" w:rsidRDefault="002A612D" w:rsidP="002A612D">
      <w:pPr>
        <w:widowControl w:val="0"/>
        <w:spacing w:after="0" w:line="240" w:lineRule="auto"/>
        <w:ind w:left="540"/>
        <w:jc w:val="both"/>
        <w:rPr>
          <w:rFonts w:ascii="Arial" w:eastAsia="Calibri" w:hAnsi="Arial" w:cs="Arial"/>
          <w:color w:val="000000"/>
          <w:kern w:val="0"/>
          <w:lang w:eastAsia="es-PE"/>
          <w14:ligatures w14:val="none"/>
        </w:rPr>
      </w:pPr>
    </w:p>
    <w:p w14:paraId="3E659D38" w14:textId="2916570E" w:rsidR="002A612D" w:rsidRPr="00D40312" w:rsidRDefault="002A612D" w:rsidP="002A612D">
      <w:pPr>
        <w:widowControl w:val="0"/>
        <w:numPr>
          <w:ilvl w:val="0"/>
          <w:numId w:val="9"/>
        </w:numPr>
        <w:spacing w:after="0" w:line="240" w:lineRule="auto"/>
        <w:ind w:left="843" w:hanging="285"/>
        <w:contextualSpacing/>
        <w:jc w:val="both"/>
        <w:rPr>
          <w:rFonts w:ascii="Arial" w:eastAsia="Calibri" w:hAnsi="Arial" w:cs="Arial"/>
          <w:i/>
          <w:color w:val="000000"/>
          <w:kern w:val="0"/>
          <w:lang w:eastAsia="es-PE"/>
          <w14:ligatures w14:val="none"/>
        </w:rPr>
      </w:pPr>
      <w:r w:rsidRPr="00D40312">
        <w:rPr>
          <w:rFonts w:ascii="Arial" w:eastAsia="Arial" w:hAnsi="Arial" w:cs="Arial"/>
          <w:i/>
          <w:color w:val="000000"/>
          <w:kern w:val="0"/>
          <w:lang w:eastAsia="es-PE"/>
          <w14:ligatures w14:val="none"/>
        </w:rPr>
        <w:t xml:space="preserve">Sobre la condición de microempresa </w:t>
      </w:r>
      <w:r w:rsidR="00DD79DE">
        <w:rPr>
          <w:rFonts w:ascii="Arial" w:eastAsia="Arial" w:hAnsi="Arial" w:cs="Arial"/>
          <w:i/>
          <w:color w:val="000000"/>
          <w:kern w:val="0"/>
          <w:lang w:eastAsia="es-PE"/>
          <w14:ligatures w14:val="none"/>
        </w:rPr>
        <w:t xml:space="preserve">de </w:t>
      </w:r>
      <w:r w:rsidR="00DD79DE" w:rsidRPr="00DD79DE">
        <w:rPr>
          <w:rFonts w:ascii="Arial" w:eastAsia="Arial" w:hAnsi="Arial" w:cs="Arial"/>
          <w:i/>
          <w:iCs/>
          <w:color w:val="000000"/>
          <w:kern w:val="0"/>
          <w:lang w:eastAsia="es-PE"/>
          <w14:ligatures w14:val="none"/>
        </w:rPr>
        <w:t>Comercial Imar</w:t>
      </w:r>
      <w:r w:rsidRPr="00D40312">
        <w:rPr>
          <w:rFonts w:ascii="Arial" w:eastAsia="Arial" w:hAnsi="Arial" w:cs="Arial"/>
          <w:i/>
          <w:iCs/>
          <w:color w:val="000000"/>
          <w:kern w:val="0"/>
          <w:lang w:eastAsia="es-PE"/>
          <w14:ligatures w14:val="none"/>
        </w:rPr>
        <w:t>:</w:t>
      </w:r>
    </w:p>
    <w:p w14:paraId="5B4D32F4" w14:textId="77777777" w:rsidR="002A612D" w:rsidRPr="00D40312" w:rsidRDefault="002A612D" w:rsidP="002A612D">
      <w:pPr>
        <w:widowControl w:val="0"/>
        <w:spacing w:after="0" w:line="240" w:lineRule="auto"/>
        <w:ind w:left="567"/>
        <w:contextualSpacing/>
        <w:jc w:val="both"/>
        <w:rPr>
          <w:rFonts w:ascii="Arial" w:eastAsia="Arial" w:hAnsi="Arial" w:cs="Arial"/>
          <w:color w:val="000000"/>
          <w:kern w:val="0"/>
          <w:sz w:val="18"/>
          <w:szCs w:val="18"/>
          <w:lang w:eastAsia="es-PE"/>
          <w14:ligatures w14:val="none"/>
        </w:rPr>
      </w:pPr>
    </w:p>
    <w:p w14:paraId="3BA8A1AB"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lastRenderedPageBreak/>
        <w:t>Tal como se indicó en el marco jurídico expuesto, para acceder a la tutela del Código, la denunciante debe acreditar que</w:t>
      </w:r>
      <w:r w:rsidRPr="002A612D">
        <w:rPr>
          <w:rFonts w:ascii="Arial" w:eastAsia="Arial" w:hAnsi="Arial" w:cs="Arial"/>
          <w:color w:val="000000"/>
          <w:kern w:val="0"/>
          <w:lang w:eastAsia="es-PE"/>
          <w14:ligatures w14:val="none"/>
        </w:rPr>
        <w:t xml:space="preserve"> tenía la condición de microempresario al momento en que presentó la denuncia administrativa, de faltar dicha condición la denuncia debe ser declarada improcedente.</w:t>
      </w:r>
    </w:p>
    <w:p w14:paraId="4F4EED98" w14:textId="77777777" w:rsidR="002A612D" w:rsidRPr="002A612D" w:rsidRDefault="002A612D" w:rsidP="002A612D">
      <w:pPr>
        <w:widowControl w:val="0"/>
        <w:tabs>
          <w:tab w:val="left" w:pos="567"/>
        </w:tabs>
        <w:spacing w:after="0" w:line="240" w:lineRule="auto"/>
        <w:ind w:left="567"/>
        <w:contextualSpacing/>
        <w:jc w:val="both"/>
        <w:rPr>
          <w:rFonts w:ascii="Arial" w:eastAsia="Arial" w:hAnsi="Arial" w:cs="Arial"/>
          <w:color w:val="000000"/>
          <w:kern w:val="0"/>
          <w:lang w:eastAsia="es-PE"/>
          <w14:ligatures w14:val="none"/>
        </w:rPr>
      </w:pPr>
    </w:p>
    <w:p w14:paraId="21FDBD35"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tal efecto, se analizarán los ingresos del ejercicio anual anterior a la fecha en que interpuso la presente denuncia. Así, se deberá verificar que sus ingresos netos anuales no superen las 150 UIT, que incluyen las ventas de bienes o prestación de servicios relacionados con su giro de negocio, así como otros ingresos gravados por el IR.</w:t>
      </w:r>
    </w:p>
    <w:p w14:paraId="1E505DB1"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C271510" w14:textId="1810F7F9"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Para tal efecto, este Colegiado analizó </w:t>
      </w:r>
      <w:r w:rsidRPr="002A612D">
        <w:rPr>
          <w:rFonts w:ascii="Arial" w:eastAsia="Arial" w:hAnsi="Arial" w:cs="Arial"/>
          <w:color w:val="000000"/>
          <w:kern w:val="0"/>
          <w:shd w:val="clear" w:color="auto" w:fill="FFFFFF"/>
          <w:lang w:eastAsia="es-PE"/>
          <w14:ligatures w14:val="none"/>
        </w:rPr>
        <w:t xml:space="preserve">la Declaración Jurada de Pago Mensual del Impuesto a la </w:t>
      </w:r>
      <w:r w:rsidRPr="00DD79DE">
        <w:rPr>
          <w:rFonts w:ascii="Arial" w:eastAsia="Arial" w:hAnsi="Arial" w:cs="Arial"/>
          <w:color w:val="000000"/>
          <w:kern w:val="0"/>
          <w:shd w:val="clear" w:color="auto" w:fill="FFFFFF"/>
          <w:lang w:eastAsia="es-PE"/>
          <w14:ligatures w14:val="none"/>
        </w:rPr>
        <w:t xml:space="preserve">Renta de Tercera Categoría, así como el PDT-IGV-Renta Mensual del ejercicio </w:t>
      </w:r>
      <w:r w:rsidR="00DD79DE" w:rsidRPr="00DD79DE">
        <w:rPr>
          <w:rFonts w:ascii="Arial" w:eastAsia="Arial" w:hAnsi="Arial" w:cs="Arial"/>
          <w:color w:val="000000"/>
          <w:kern w:val="0"/>
          <w:shd w:val="clear" w:color="auto" w:fill="FFFFFF"/>
          <w:lang w:eastAsia="es-PE"/>
          <w14:ligatures w14:val="none"/>
        </w:rPr>
        <w:t>2025</w:t>
      </w:r>
      <w:r w:rsidRPr="00D40312">
        <w:rPr>
          <w:rFonts w:ascii="Arial" w:eastAsia="Arial" w:hAnsi="Arial" w:cs="Arial"/>
          <w:color w:val="000000"/>
          <w:kern w:val="0"/>
          <w:lang w:eastAsia="es-PE"/>
          <w14:ligatures w14:val="none"/>
        </w:rPr>
        <w:t xml:space="preserve"> (periodo de enero a diciembre), anterior a interposición de la presente denuncia, presentadas por </w:t>
      </w:r>
      <w:r w:rsidR="00DD79DE" w:rsidRPr="00DD79DE">
        <w:rPr>
          <w:rFonts w:ascii="Arial" w:eastAsia="Arial" w:hAnsi="Arial" w:cs="Arial"/>
          <w:color w:val="000000"/>
          <w:kern w:val="0"/>
          <w:lang w:eastAsia="es-PE"/>
          <w14:ligatures w14:val="none"/>
        </w:rPr>
        <w:t xml:space="preserve">Comercial Imar </w:t>
      </w:r>
      <w:r w:rsidRPr="00D40312">
        <w:rPr>
          <w:rFonts w:ascii="Arial" w:eastAsia="Arial" w:hAnsi="Arial" w:cs="Arial"/>
          <w:color w:val="000000"/>
          <w:kern w:val="0"/>
          <w:lang w:eastAsia="es-PE"/>
          <w14:ligatures w14:val="none"/>
        </w:rPr>
        <w:t xml:space="preserve">el </w:t>
      </w:r>
      <w:r w:rsidR="00DD79DE" w:rsidRPr="00DD79DE">
        <w:rPr>
          <w:rFonts w:ascii="Arial" w:eastAsia="Arial" w:hAnsi="Arial" w:cs="Arial"/>
          <w:color w:val="000000"/>
          <w:kern w:val="0"/>
          <w:lang w:eastAsia="es-PE"/>
          <w14:ligatures w14:val="none"/>
        </w:rPr>
        <w:t>17 de julio de 2026</w:t>
      </w:r>
      <w:r w:rsidRPr="00D40312">
        <w:rPr>
          <w:rFonts w:ascii="Arial" w:eastAsia="Arial" w:hAnsi="Arial" w:cs="Arial"/>
          <w:color w:val="000000"/>
          <w:kern w:val="0"/>
          <w:lang w:eastAsia="es-PE"/>
          <w14:ligatures w14:val="none"/>
        </w:rPr>
        <w:t>, advirtiendo que el volumen de sus ingresos netos excede las ciento cincu</w:t>
      </w:r>
      <w:r w:rsidRPr="002A612D">
        <w:rPr>
          <w:rFonts w:ascii="Arial" w:eastAsia="Arial" w:hAnsi="Arial" w:cs="Arial"/>
          <w:color w:val="000000"/>
          <w:kern w:val="0"/>
          <w:lang w:eastAsia="es-PE"/>
          <w14:ligatures w14:val="none"/>
        </w:rPr>
        <w:t>enta (150) UIT.</w:t>
      </w:r>
    </w:p>
    <w:p w14:paraId="525FBE69" w14:textId="77777777" w:rsidR="002A612D" w:rsidRPr="002A612D" w:rsidRDefault="002A612D" w:rsidP="002A612D">
      <w:pPr>
        <w:spacing w:after="0" w:line="240" w:lineRule="auto"/>
        <w:ind w:left="720"/>
        <w:contextualSpacing/>
        <w:rPr>
          <w:rFonts w:ascii="Arial" w:eastAsia="Arial" w:hAnsi="Arial" w:cs="Arial"/>
          <w:color w:val="000000"/>
          <w:kern w:val="0"/>
          <w:sz w:val="18"/>
          <w:szCs w:val="18"/>
          <w:lang w:eastAsia="es-PE"/>
          <w14:ligatures w14:val="none"/>
        </w:rPr>
      </w:pPr>
    </w:p>
    <w:p w14:paraId="3E189371" w14:textId="120292A2"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ese sentido, de acuerdo con lo señalado en los párrafos precedentes, se evidencia que </w:t>
      </w:r>
      <w:r w:rsidR="00DD79DE" w:rsidRPr="00DD79DE">
        <w:rPr>
          <w:rFonts w:ascii="Arial" w:eastAsia="Arial" w:hAnsi="Arial" w:cs="Arial"/>
          <w:color w:val="000000"/>
          <w:kern w:val="0"/>
          <w:lang w:eastAsia="es-PE"/>
          <w14:ligatures w14:val="none"/>
        </w:rPr>
        <w:t xml:space="preserve">Comercial Imar </w:t>
      </w:r>
      <w:r w:rsidRPr="002A612D">
        <w:rPr>
          <w:rFonts w:ascii="Arial" w:eastAsia="Arial" w:hAnsi="Arial" w:cs="Arial"/>
          <w:color w:val="000000"/>
          <w:kern w:val="0"/>
          <w:lang w:eastAsia="es-PE"/>
          <w14:ligatures w14:val="none"/>
        </w:rPr>
        <w:t xml:space="preserve">no ostentaba la condición de microempresa durante el </w:t>
      </w:r>
      <w:r w:rsidRPr="00DD79DE">
        <w:rPr>
          <w:rFonts w:ascii="Arial" w:eastAsia="Arial" w:hAnsi="Arial" w:cs="Arial"/>
          <w:color w:val="000000"/>
          <w:kern w:val="0"/>
          <w:lang w:eastAsia="es-PE"/>
          <w14:ligatures w14:val="none"/>
        </w:rPr>
        <w:t xml:space="preserve">año </w:t>
      </w:r>
      <w:r w:rsidR="00DD79DE" w:rsidRPr="00DD79DE">
        <w:rPr>
          <w:rFonts w:ascii="Arial" w:eastAsia="Arial" w:hAnsi="Arial" w:cs="Arial"/>
          <w:color w:val="000000"/>
          <w:kern w:val="0"/>
          <w:lang w:eastAsia="es-PE"/>
          <w14:ligatures w14:val="none"/>
        </w:rPr>
        <w:t>2025</w:t>
      </w:r>
      <w:r w:rsidRPr="002A612D">
        <w:rPr>
          <w:rFonts w:ascii="Arial" w:eastAsia="Arial" w:hAnsi="Arial" w:cs="Arial"/>
          <w:color w:val="000000"/>
          <w:kern w:val="0"/>
          <w:lang w:eastAsia="es-PE"/>
          <w14:ligatures w14:val="none"/>
        </w:rPr>
        <w:t>, es decir, al año anterior a la presentación de la denuncia. En consecuencia, la Comisión considera que la denunciante no califica como consumidor final en los términos del Código, de conformidad con lo dispuesto por el numeral 1.1 del artículo IV del Título Preliminar del Código.</w:t>
      </w:r>
    </w:p>
    <w:p w14:paraId="4FDD32F6" w14:textId="77777777" w:rsidR="002A612D" w:rsidRPr="002A612D" w:rsidRDefault="002A612D" w:rsidP="002A612D">
      <w:pPr>
        <w:spacing w:after="0" w:line="240" w:lineRule="auto"/>
        <w:ind w:left="720"/>
        <w:contextualSpacing/>
        <w:rPr>
          <w:rFonts w:ascii="Arial" w:eastAsia="Arial" w:hAnsi="Arial" w:cs="Arial"/>
          <w:color w:val="000000"/>
          <w:kern w:val="0"/>
          <w:sz w:val="14"/>
          <w:szCs w:val="14"/>
          <w:lang w:eastAsia="es-PE"/>
          <w14:ligatures w14:val="none"/>
        </w:rPr>
      </w:pPr>
    </w:p>
    <w:p w14:paraId="53F85C9F" w14:textId="2645EC1B" w:rsidR="00D6640B" w:rsidRPr="00976AC6" w:rsidRDefault="002A612D" w:rsidP="00D6640B">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Sin perjuicio de lo anterior, es pertinente señalar que, si bien </w:t>
      </w:r>
      <w:r w:rsidR="00DD79DE" w:rsidRPr="00DD79DE">
        <w:rPr>
          <w:rFonts w:ascii="Arial" w:eastAsia="Arial" w:hAnsi="Arial" w:cs="Arial"/>
          <w:color w:val="000000"/>
          <w:kern w:val="0"/>
          <w:lang w:eastAsia="es-PE"/>
          <w14:ligatures w14:val="none"/>
        </w:rPr>
        <w:t xml:space="preserve">Comercial Imar </w:t>
      </w:r>
      <w:r w:rsidRPr="002A612D">
        <w:rPr>
          <w:rFonts w:ascii="Arial" w:eastAsia="Arial" w:hAnsi="Arial" w:cs="Arial"/>
          <w:color w:val="000000"/>
          <w:kern w:val="0"/>
          <w:lang w:eastAsia="es-PE"/>
          <w14:ligatures w14:val="none"/>
        </w:rPr>
        <w:t>no puede acceder al nivel de protección administrativa previsto en el Código, ello no la deja en estado de indefensión, toda vez que nuestro ordenamiento legal ha previsto que pueda acceder a la vía judicial para hacer valer sus derechos, de considerarlo pertinente.</w:t>
      </w:r>
    </w:p>
    <w:p w14:paraId="73F8EA32" w14:textId="46E1CAC4" w:rsidR="002A612D" w:rsidRPr="002A612D" w:rsidRDefault="002A612D" w:rsidP="00D6640B">
      <w:pPr>
        <w:spacing w:after="0" w:line="240" w:lineRule="auto"/>
        <w:contextualSpacing/>
        <w:jc w:val="both"/>
        <w:rPr>
          <w:rFonts w:ascii="Arial" w:eastAsia="Arial" w:hAnsi="Arial" w:cs="Arial"/>
          <w:color w:val="000000"/>
          <w:kern w:val="0"/>
          <w:lang w:eastAsia="es-PE"/>
          <w14:ligatures w14:val="none"/>
        </w:rPr>
      </w:pPr>
    </w:p>
    <w:p w14:paraId="2F3D7068" w14:textId="77777777" w:rsidR="002A612D" w:rsidRPr="002A612D" w:rsidRDefault="002A612D" w:rsidP="002A612D">
      <w:pPr>
        <w:widowControl w:val="0"/>
        <w:tabs>
          <w:tab w:val="left" w:pos="142"/>
          <w:tab w:val="left" w:pos="2265"/>
          <w:tab w:val="left" w:pos="2127"/>
        </w:tabs>
        <w:spacing w:after="0" w:line="240" w:lineRule="auto"/>
        <w:ind w:hanging="2"/>
        <w:jc w:val="both"/>
        <w:rPr>
          <w:rFonts w:ascii="Arial" w:eastAsia="Times New Roman" w:hAnsi="Arial" w:cs="Arial"/>
          <w:color w:val="000000"/>
          <w:kern w:val="0"/>
          <w:lang w:eastAsia="es-PE"/>
          <w14:ligatures w14:val="none"/>
        </w:rPr>
      </w:pPr>
    </w:p>
    <w:p w14:paraId="630E2384"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bookmarkStart w:id="3" w:name="_Hlk141859628"/>
      <w:r w:rsidRPr="002A612D">
        <w:rPr>
          <w:rFonts w:ascii="Arial" w:eastAsia="Arial" w:hAnsi="Arial" w:cs="Arial"/>
          <w:b/>
          <w:color w:val="000000"/>
          <w:kern w:val="0"/>
          <w:lang w:eastAsia="es-PE"/>
          <w14:ligatures w14:val="none"/>
        </w:rPr>
        <w:t>RESUELVE</w:t>
      </w:r>
    </w:p>
    <w:p w14:paraId="307561B6"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22324608" w14:textId="21B90159" w:rsidR="002A612D" w:rsidRPr="002A612D" w:rsidRDefault="002A612D" w:rsidP="002A612D">
      <w:pPr>
        <w:widowControl w:val="0"/>
        <w:tabs>
          <w:tab w:val="left" w:pos="142"/>
          <w:tab w:val="left" w:pos="567"/>
          <w:tab w:val="left" w:pos="2127"/>
        </w:tabs>
        <w:spacing w:after="0" w:line="240" w:lineRule="auto"/>
        <w:jc w:val="both"/>
        <w:rPr>
          <w:rFonts w:ascii="Arial" w:eastAsia="Arial" w:hAnsi="Arial" w:cs="Arial"/>
          <w:color w:val="000000"/>
          <w:kern w:val="0"/>
          <w:lang w:eastAsia="es-PE"/>
          <w14:ligatures w14:val="none"/>
        </w:rPr>
      </w:pPr>
      <w:r w:rsidRPr="00FF7EDD">
        <w:rPr>
          <w:rFonts w:ascii="Arial" w:eastAsia="Arial" w:hAnsi="Arial" w:cs="Arial"/>
          <w:b/>
          <w:bCs/>
          <w:color w:val="000000"/>
          <w:kern w:val="0"/>
          <w:lang w:eastAsia="es-PE"/>
          <w14:ligatures w14:val="none"/>
        </w:rPr>
        <w:t>PRIMERO</w:t>
      </w:r>
      <w:r w:rsidRPr="00FF7EDD">
        <w:rPr>
          <w:rFonts w:ascii="Arial" w:eastAsia="Arial" w:hAnsi="Arial" w:cs="Arial"/>
          <w:color w:val="000000"/>
          <w:kern w:val="0"/>
          <w:lang w:eastAsia="es-PE"/>
          <w14:ligatures w14:val="none"/>
        </w:rPr>
        <w:t xml:space="preserve">: declarar improcedente la </w:t>
      </w:r>
      <w:r w:rsidRPr="007355E9">
        <w:rPr>
          <w:rFonts w:ascii="Arial" w:eastAsia="Arial" w:hAnsi="Arial" w:cs="Arial"/>
          <w:color w:val="000000"/>
          <w:kern w:val="0"/>
          <w:lang w:eastAsia="es-PE"/>
          <w14:ligatures w14:val="none"/>
        </w:rPr>
        <w:t>denuncia presentada por</w:t>
      </w:r>
      <w:r w:rsidRPr="007355E9">
        <w:rPr>
          <w:rFonts w:ascii="Calibri" w:eastAsia="Calibri" w:hAnsi="Calibri" w:cs="Calibri"/>
          <w:color w:val="000000"/>
          <w:kern w:val="0"/>
          <w:lang w:eastAsia="es-PE"/>
          <w14:ligatures w14:val="none"/>
        </w:rPr>
        <w:t xml:space="preserve"> </w:t>
      </w:r>
      <w:r w:rsidR="007355E9" w:rsidRPr="007355E9">
        <w:rPr>
          <w:rFonts w:ascii="Arial" w:eastAsia="Calibri" w:hAnsi="Arial" w:cs="Arial"/>
          <w:bCs/>
          <w:color w:val="000000"/>
          <w:kern w:val="0"/>
          <w:lang w:eastAsia="es-PE"/>
          <w14:ligatures w14:val="none"/>
        </w:rPr>
        <w:t xml:space="preserve">Comercial Imar E.I.R.L. </w:t>
      </w:r>
      <w:r w:rsidRPr="007355E9">
        <w:rPr>
          <w:rFonts w:ascii="Arial" w:eastAsia="Arial" w:hAnsi="Arial" w:cs="Arial"/>
          <w:color w:val="000000"/>
          <w:kern w:val="0"/>
          <w:lang w:eastAsia="es-PE"/>
          <w14:ligatures w14:val="none"/>
        </w:rPr>
        <w:t>contra</w:t>
      </w:r>
      <w:r w:rsidRPr="007355E9">
        <w:rPr>
          <w:rFonts w:ascii="Calibri" w:eastAsia="Calibri" w:hAnsi="Calibri" w:cs="Calibri"/>
          <w:color w:val="000000"/>
          <w:kern w:val="0"/>
          <w:lang w:eastAsia="es-PE"/>
          <w14:ligatures w14:val="none"/>
        </w:rPr>
        <w:t xml:space="preserve"> </w:t>
      </w:r>
      <w:r w:rsidR="007355E9" w:rsidRPr="007355E9">
        <w:rPr>
          <w:rFonts w:ascii="Arial" w:eastAsia="Arial" w:hAnsi="Arial" w:cs="Arial"/>
          <w:color w:val="000000"/>
          <w:kern w:val="0"/>
          <w:lang w:eastAsia="es-PE"/>
          <w14:ligatures w14:val="none"/>
        </w:rPr>
        <w:t>Pacífico Compañía de Seguros y Reaseguros S.A.</w:t>
      </w:r>
      <w:r w:rsidRPr="007355E9">
        <w:rPr>
          <w:rFonts w:ascii="Arial" w:eastAsia="Arial" w:hAnsi="Arial" w:cs="Arial"/>
          <w:color w:val="000000"/>
          <w:kern w:val="0"/>
          <w:lang w:eastAsia="es-PE"/>
          <w14:ligatures w14:val="none"/>
        </w:rPr>
        <w:t>, por presunta infracción a la Ley 29571, Código de Protección y Defensa del Consumido</w:t>
      </w:r>
      <w:r w:rsidRPr="00FF7EDD">
        <w:rPr>
          <w:rFonts w:ascii="Arial" w:eastAsia="Arial" w:hAnsi="Arial" w:cs="Arial"/>
          <w:color w:val="000000"/>
          <w:kern w:val="0"/>
          <w:lang w:eastAsia="es-PE"/>
          <w14:ligatures w14:val="none"/>
        </w:rPr>
        <w:t>r, en la medida que ha quedado acreditado que la parte denunciante</w:t>
      </w:r>
      <w:r w:rsidRPr="002A612D">
        <w:rPr>
          <w:rFonts w:ascii="Arial" w:eastAsia="Arial" w:hAnsi="Arial" w:cs="Arial"/>
          <w:color w:val="000000"/>
          <w:kern w:val="0"/>
          <w:lang w:eastAsia="es-PE"/>
          <w14:ligatures w14:val="none"/>
        </w:rPr>
        <w:t xml:space="preserve"> no califica como consumidor final en los términos de la normativa de protección al consumidor.</w:t>
      </w:r>
    </w:p>
    <w:p w14:paraId="7DB55C3F" w14:textId="77777777" w:rsidR="002A612D" w:rsidRPr="002A612D" w:rsidRDefault="002A612D" w:rsidP="002A612D">
      <w:pPr>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 </w:t>
      </w:r>
    </w:p>
    <w:p w14:paraId="1042FC99" w14:textId="0C422F5F" w:rsidR="00534C94" w:rsidRPr="00575825" w:rsidRDefault="002A612D" w:rsidP="00534C94">
      <w:pPr>
        <w:spacing w:after="200" w:line="240" w:lineRule="auto"/>
        <w:contextualSpacing/>
        <w:jc w:val="both"/>
        <w:rPr>
          <w:rFonts w:ascii="Arial" w:eastAsia="Calibri" w:hAnsi="Arial" w:cs="Arial"/>
          <w:color w:val="000000"/>
          <w:kern w:val="0"/>
          <w:highlight w:val="green"/>
          <w:lang w:eastAsia="es-PE"/>
          <w14:ligatures w14:val="none"/>
        </w:rPr>
      </w:pPr>
      <w:r w:rsidRPr="002A612D">
        <w:rPr>
          <w:rFonts w:ascii="Arial" w:eastAsia="Arial" w:hAnsi="Arial" w:cs="Arial"/>
          <w:b/>
          <w:color w:val="000000"/>
          <w:kern w:val="0"/>
          <w:lang w:eastAsia="es-PE"/>
          <w14:ligatures w14:val="none"/>
        </w:rPr>
        <w:t>SEGUNDO</w:t>
      </w:r>
      <w:r w:rsidRPr="002A612D">
        <w:rPr>
          <w:rFonts w:ascii="Arial" w:eastAsia="Arial" w:hAnsi="Arial" w:cs="Arial"/>
          <w:color w:val="000000"/>
          <w:kern w:val="0"/>
          <w:lang w:eastAsia="es-PE"/>
          <w14:ligatures w14:val="none"/>
        </w:rPr>
        <w:t xml:space="preserve">: informar a </w:t>
      </w:r>
      <w:r w:rsidR="007355E9" w:rsidRPr="007355E9">
        <w:rPr>
          <w:rFonts w:ascii="Arial" w:eastAsia="Calibri" w:hAnsi="Arial" w:cs="Arial"/>
          <w:bCs/>
          <w:color w:val="000000"/>
          <w:kern w:val="0"/>
          <w:lang w:eastAsia="es-PE"/>
          <w14:ligatures w14:val="none"/>
        </w:rPr>
        <w:t xml:space="preserve">Comercial Imar E.I.R.L. </w:t>
      </w:r>
      <w:r w:rsidRPr="002A612D">
        <w:rPr>
          <w:rFonts w:ascii="Arial" w:eastAsia="Times New Roman" w:hAnsi="Arial" w:cs="Arial"/>
          <w:color w:val="000000"/>
          <w:kern w:val="0"/>
          <w:lang w:eastAsia="es-PE"/>
          <w14:ligatures w14:val="none"/>
        </w:rPr>
        <w:t xml:space="preserve">que la presente resolución tiene vigencia desde el día de su notificación y no agota la vía administrativa. En tal sentido, se informa que, de conformidad con lo dispuesto por el artículo 38 del Decreto Legislativo Nº 807, el único recurso impugnativo que puede interponerse contra lo dispuesto por la Comisión de Protección al Consumidor N° 1 es el de </w:t>
      </w:r>
      <w:bookmarkEnd w:id="3"/>
      <w:r w:rsidR="00534C94" w:rsidRPr="004A2BA4">
        <w:rPr>
          <w:rFonts w:ascii="Arial" w:eastAsia="Calibri" w:hAnsi="Arial" w:cs="Arial"/>
          <w:color w:val="000000"/>
          <w:kern w:val="0"/>
          <w:lang w:eastAsia="es-PE"/>
          <w14:ligatures w14:val="none"/>
        </w:rPr>
        <w:t>apelación</w:t>
      </w:r>
      <w:r w:rsidR="00534C94" w:rsidRPr="004A2BA4">
        <w:rPr>
          <w:rFonts w:ascii="Arial" w:eastAsia="Calibri" w:hAnsi="Arial" w:cs="Arial"/>
          <w:color w:val="000000"/>
          <w:kern w:val="0"/>
          <w:vertAlign w:val="superscript"/>
          <w:lang w:eastAsia="es-PE"/>
          <w14:ligatures w14:val="none"/>
        </w:rPr>
        <w:footnoteReference w:id="16"/>
      </w:r>
      <w:r w:rsidR="00534C94" w:rsidRPr="004A2BA4">
        <w:rPr>
          <w:rFonts w:ascii="Arial" w:eastAsia="Calibri" w:hAnsi="Arial" w:cs="Arial"/>
          <w:color w:val="000000"/>
          <w:kern w:val="0"/>
          <w:lang w:eastAsia="es-PE"/>
          <w14:ligatures w14:val="none"/>
        </w:rPr>
        <w:t xml:space="preserve">, el cual debe ser presentado ante dicho </w:t>
      </w:r>
      <w:r w:rsidR="00534C94" w:rsidRPr="004A2BA4">
        <w:rPr>
          <w:rFonts w:ascii="Arial" w:eastAsia="Calibri" w:hAnsi="Arial" w:cs="Arial"/>
          <w:color w:val="000000"/>
          <w:kern w:val="0"/>
          <w:lang w:eastAsia="es-PE"/>
          <w14:ligatures w14:val="none"/>
        </w:rPr>
        <w:lastRenderedPageBreak/>
        <w:t>órgano colegiado en un plazo no mayor de quince (15) días hábiles, contado a partir del día siguiente de su notificación</w:t>
      </w:r>
      <w:r w:rsidR="00534C94" w:rsidRPr="004A2BA4">
        <w:rPr>
          <w:rFonts w:ascii="Arial" w:eastAsia="Calibri" w:hAnsi="Arial" w:cs="Arial"/>
          <w:color w:val="000000"/>
          <w:kern w:val="0"/>
          <w:vertAlign w:val="superscript"/>
          <w:lang w:eastAsia="es-PE"/>
          <w14:ligatures w14:val="none"/>
        </w:rPr>
        <w:footnoteReference w:id="17"/>
      </w:r>
      <w:r w:rsidR="00534C94" w:rsidRPr="004A2BA4">
        <w:rPr>
          <w:rFonts w:ascii="Arial" w:eastAsia="Calibri" w:hAnsi="Arial" w:cs="Arial"/>
          <w:color w:val="000000"/>
          <w:kern w:val="0"/>
          <w:lang w:eastAsia="es-PE"/>
          <w14:ligatures w14:val="none"/>
        </w:rPr>
        <w:t xml:space="preserve">, ello de acuerdo con lo establecido en el artículo </w:t>
      </w:r>
      <w:r w:rsidR="00534C94" w:rsidRPr="00111C27">
        <w:rPr>
          <w:rFonts w:ascii="Arial" w:eastAsia="Calibri" w:hAnsi="Arial" w:cs="Arial"/>
          <w:color w:val="000000"/>
          <w:kern w:val="0"/>
          <w:lang w:eastAsia="es-PE"/>
          <w14:ligatures w14:val="none"/>
        </w:rPr>
        <w:t>212</w:t>
      </w:r>
      <w:r w:rsidR="00534C94" w:rsidRPr="004A2BA4">
        <w:rPr>
          <w:rFonts w:ascii="Arial" w:eastAsia="Calibri" w:hAnsi="Arial" w:cs="Arial"/>
          <w:color w:val="000000"/>
          <w:kern w:val="0"/>
          <w:lang w:eastAsia="es-PE"/>
          <w14:ligatures w14:val="none"/>
        </w:rPr>
        <w:t xml:space="preserve">° del Texto Único Ordenado de la Ley N° 27444, Ley del Procedimiento Administrativo General, aprobado por Decreto Supremo N° </w:t>
      </w:r>
      <w:r w:rsidR="00534C94" w:rsidRPr="00D91651">
        <w:rPr>
          <w:rFonts w:ascii="Arial" w:eastAsia="Calibri" w:hAnsi="Arial" w:cs="Arial"/>
          <w:color w:val="000000"/>
          <w:kern w:val="0"/>
          <w:lang w:eastAsia="es-PE"/>
          <w14:ligatures w14:val="none"/>
        </w:rPr>
        <w:t>006-2026-JUS</w:t>
      </w:r>
      <w:r w:rsidR="00534C94" w:rsidRPr="004A2BA4">
        <w:rPr>
          <w:rFonts w:ascii="Arial" w:eastAsia="Calibri" w:hAnsi="Arial" w:cs="Arial"/>
          <w:color w:val="000000"/>
          <w:kern w:val="0"/>
          <w:lang w:eastAsia="es-PE"/>
          <w14:ligatures w14:val="none"/>
        </w:rPr>
        <w:t>; caso contrario, la resolución quedará consentida</w:t>
      </w:r>
      <w:r w:rsidR="00534C94" w:rsidRPr="004A2BA4">
        <w:rPr>
          <w:rFonts w:ascii="Arial" w:eastAsia="Calibri" w:hAnsi="Arial" w:cs="Arial"/>
          <w:color w:val="000000"/>
          <w:kern w:val="0"/>
          <w:vertAlign w:val="superscript"/>
          <w:lang w:eastAsia="es-PE"/>
          <w14:ligatures w14:val="none"/>
        </w:rPr>
        <w:footnoteReference w:id="18"/>
      </w:r>
      <w:r w:rsidR="00534C94" w:rsidRPr="004A2BA4">
        <w:rPr>
          <w:rFonts w:ascii="Arial" w:eastAsia="Calibri" w:hAnsi="Arial" w:cs="Arial"/>
          <w:color w:val="000000"/>
          <w:kern w:val="0"/>
          <w:lang w:eastAsia="es-PE"/>
          <w14:ligatures w14:val="none"/>
        </w:rPr>
        <w:t>.</w:t>
      </w:r>
    </w:p>
    <w:p w14:paraId="49D06058" w14:textId="74E124AA" w:rsidR="002A612D" w:rsidRPr="002A612D" w:rsidRDefault="002A612D" w:rsidP="00534C94">
      <w:pPr>
        <w:spacing w:after="0" w:line="240" w:lineRule="auto"/>
        <w:jc w:val="both"/>
        <w:rPr>
          <w:rFonts w:ascii="Arial" w:eastAsia="Times New Roman" w:hAnsi="Arial" w:cs="Arial"/>
          <w:color w:val="000000"/>
          <w:kern w:val="0"/>
          <w:lang w:eastAsia="es-PE"/>
          <w14:ligatures w14:val="none"/>
        </w:rPr>
      </w:pPr>
    </w:p>
    <w:p w14:paraId="5A0CE41D" w14:textId="77777777" w:rsidR="001B5674" w:rsidRDefault="001B5674"/>
    <w:sectPr w:rsidR="001B5674" w:rsidSect="002A612D">
      <w:headerReference w:type="default" r:id="rId11"/>
      <w:footerReference w:type="default" r:id="rId12"/>
      <w:pgSz w:w="11906" w:h="16838"/>
      <w:pgMar w:top="1701" w:right="1416" w:bottom="1702" w:left="1418" w:header="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31022" w14:textId="77777777" w:rsidR="00422C7D" w:rsidRDefault="00422C7D" w:rsidP="002A612D">
      <w:pPr>
        <w:spacing w:after="0" w:line="240" w:lineRule="auto"/>
      </w:pPr>
      <w:r>
        <w:separator/>
      </w:r>
    </w:p>
  </w:endnote>
  <w:endnote w:type="continuationSeparator" w:id="0">
    <w:p w14:paraId="0ACCB848" w14:textId="77777777" w:rsidR="00422C7D" w:rsidRDefault="00422C7D" w:rsidP="002A6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Times New Roman">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DE34" w14:textId="77777777" w:rsidR="009A5D23" w:rsidRDefault="009A5D23" w:rsidP="00B71AE4">
    <w:pPr>
      <w:pStyle w:val="Piedepgina"/>
    </w:pPr>
  </w:p>
  <w:sdt>
    <w:sdtPr>
      <w:id w:val="-994719183"/>
      <w:docPartObj>
        <w:docPartGallery w:val="Page Numbers (Bottom of Page)"/>
        <w:docPartUnique/>
      </w:docPartObj>
    </w:sdtPr>
    <w:sdtEndPr>
      <w:rPr>
        <w:rFonts w:ascii="Arial" w:hAnsi="Arial" w:cs="Arial"/>
        <w:sz w:val="14"/>
        <w:szCs w:val="14"/>
      </w:rPr>
    </w:sdtEndPr>
    <w:sdtContent>
      <w:p w14:paraId="7A3E5C7C" w14:textId="77777777" w:rsidR="009A5D23" w:rsidRDefault="009A5D23">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Pr="00725FBF">
          <w:rPr>
            <w:rFonts w:ascii="Arial" w:hAnsi="Arial" w:cs="Arial"/>
            <w:sz w:val="14"/>
            <w:szCs w:val="14"/>
            <w:lang w:val="es-ES"/>
          </w:rPr>
          <w:t>2</w:t>
        </w:r>
        <w:r w:rsidRPr="00725FBF">
          <w:rPr>
            <w:rFonts w:ascii="Arial" w:hAnsi="Arial" w:cs="Arial"/>
            <w:sz w:val="14"/>
            <w:szCs w:val="14"/>
          </w:rPr>
          <w:fldChar w:fldCharType="end"/>
        </w:r>
      </w:p>
      <w:p w14:paraId="456EFAF5" w14:textId="77777777" w:rsidR="009A5D23" w:rsidRDefault="009A5D23" w:rsidP="00725FBF">
        <w:pPr>
          <w:pStyle w:val="Sinespaciado"/>
          <w:jc w:val="center"/>
          <w:rPr>
            <w:b/>
            <w:i/>
            <w:sz w:val="14"/>
            <w:szCs w:val="14"/>
          </w:rPr>
        </w:pPr>
      </w:p>
      <w:p w14:paraId="4D9E50DC" w14:textId="77777777" w:rsidR="009A5D23" w:rsidRPr="00E92719" w:rsidRDefault="009A5D23"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4D90E92E" w14:textId="77777777" w:rsidR="009A5D23" w:rsidRPr="00E92719" w:rsidRDefault="009A5D23" w:rsidP="00725FBF">
        <w:pPr>
          <w:pStyle w:val="Sinespaciado"/>
          <w:jc w:val="center"/>
          <w:rPr>
            <w:sz w:val="14"/>
            <w:szCs w:val="14"/>
          </w:rPr>
        </w:pPr>
        <w:r w:rsidRPr="00E92719">
          <w:rPr>
            <w:sz w:val="14"/>
            <w:szCs w:val="14"/>
          </w:rPr>
          <w:t>Calle De la Prosa 104, San Borja, Lima 41 - Perú Telf: 224 7800 / Fax: 224 0348</w:t>
        </w:r>
      </w:p>
      <w:p w14:paraId="4B4E5AB5" w14:textId="77777777" w:rsidR="009A5D23" w:rsidRPr="00E92719" w:rsidRDefault="009A5D23" w:rsidP="00725FBF">
        <w:pPr>
          <w:pStyle w:val="Sinespaciado"/>
          <w:jc w:val="center"/>
          <w:rPr>
            <w:sz w:val="14"/>
            <w:szCs w:val="14"/>
            <w:lang w:val="en-US"/>
          </w:rPr>
        </w:pPr>
        <w:r w:rsidRPr="00E92719">
          <w:rPr>
            <w:sz w:val="14"/>
            <w:szCs w:val="14"/>
            <w:lang w:val="en-US"/>
          </w:rPr>
          <w:t>E-mail: postmaster@indecopi.gob.pe / Web: www.indecopi.gob.pe</w:t>
        </w:r>
      </w:p>
      <w:p w14:paraId="17FAB928" w14:textId="77777777" w:rsidR="009A5D23" w:rsidRPr="005A4ACA" w:rsidRDefault="009A5D23" w:rsidP="00725FBF">
        <w:pPr>
          <w:pStyle w:val="Piedepgina"/>
          <w:jc w:val="center"/>
          <w:rPr>
            <w:sz w:val="16"/>
            <w:szCs w:val="16"/>
            <w:lang w:val="en-US"/>
          </w:rPr>
        </w:pPr>
      </w:p>
      <w:p w14:paraId="089E007C" w14:textId="77777777" w:rsidR="009A5D23" w:rsidRPr="00725FBF" w:rsidRDefault="009A5D23">
        <w:pPr>
          <w:pStyle w:val="Piedepgina"/>
          <w:rPr>
            <w:rFonts w:ascii="Arial" w:hAnsi="Arial" w:cs="Arial"/>
            <w:sz w:val="14"/>
            <w:szCs w:val="14"/>
          </w:rPr>
        </w:pPr>
        <w:r w:rsidRPr="0080012B">
          <w:rPr>
            <w:rFonts w:ascii="Arial" w:hAnsi="Arial" w:cs="Arial"/>
            <w:sz w:val="16"/>
            <w:szCs w:val="16"/>
          </w:rPr>
          <w:t>M-CPC-05/0</w:t>
        </w:r>
        <w:r>
          <w:rPr>
            <w:rFonts w:ascii="Arial" w:hAnsi="Arial" w:cs="Arial"/>
            <w:sz w:val="16"/>
            <w:szCs w:val="16"/>
          </w:rP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8063" w14:textId="77777777" w:rsidR="00422C7D" w:rsidRDefault="00422C7D" w:rsidP="002A612D">
      <w:pPr>
        <w:spacing w:after="0" w:line="240" w:lineRule="auto"/>
      </w:pPr>
      <w:r>
        <w:separator/>
      </w:r>
    </w:p>
  </w:footnote>
  <w:footnote w:type="continuationSeparator" w:id="0">
    <w:p w14:paraId="57C68B95" w14:textId="77777777" w:rsidR="00422C7D" w:rsidRDefault="00422C7D" w:rsidP="002A612D">
      <w:pPr>
        <w:spacing w:after="0" w:line="240" w:lineRule="auto"/>
      </w:pPr>
      <w:r>
        <w:continuationSeparator/>
      </w:r>
    </w:p>
  </w:footnote>
  <w:footnote w:id="1">
    <w:p w14:paraId="62896BF4" w14:textId="77777777" w:rsidR="002A612D" w:rsidRPr="00051002" w:rsidRDefault="002A612D" w:rsidP="002A612D">
      <w:pPr>
        <w:widowControl w:val="0"/>
        <w:tabs>
          <w:tab w:val="left" w:pos="567"/>
        </w:tabs>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hAnsi="Arial" w:cs="Arial"/>
          <w:b/>
          <w:sz w:val="16"/>
          <w:szCs w:val="16"/>
        </w:rPr>
        <w:t>LEY N° 29571, CÓDIGO DE PROTECCIÓN Y DEFENSA DEL CONSUMIDOR, publicada el 2 de setiembre de 2010 y modificada por el DECRETO LEGISLATIVO N° 1308, publicado el 30 de diciembre de 2016</w:t>
      </w:r>
    </w:p>
    <w:p w14:paraId="4CFF6880"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TÍTULO PRELIMINAR</w:t>
      </w:r>
    </w:p>
    <w:p w14:paraId="7D58CFD0" w14:textId="77777777" w:rsidR="002A612D" w:rsidRPr="00051002" w:rsidRDefault="002A612D" w:rsidP="002A612D">
      <w:pPr>
        <w:widowControl w:val="0"/>
        <w:spacing w:after="0" w:line="240" w:lineRule="auto"/>
        <w:ind w:left="1287" w:hanging="713"/>
        <w:jc w:val="both"/>
        <w:rPr>
          <w:rFonts w:ascii="Arial" w:hAnsi="Arial" w:cs="Arial"/>
          <w:sz w:val="16"/>
          <w:szCs w:val="16"/>
        </w:rPr>
      </w:pPr>
      <w:r w:rsidRPr="00051002">
        <w:rPr>
          <w:rFonts w:ascii="Arial" w:eastAsia="Arial" w:hAnsi="Arial" w:cs="Arial"/>
          <w:b/>
          <w:sz w:val="16"/>
          <w:szCs w:val="16"/>
        </w:rPr>
        <w:t>Artículo IV.- Definiciones</w:t>
      </w:r>
    </w:p>
    <w:p w14:paraId="53294C2F"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ab/>
      </w:r>
      <w:r w:rsidRPr="00051002">
        <w:rPr>
          <w:rFonts w:ascii="Arial" w:eastAsia="Arial" w:hAnsi="Arial" w:cs="Arial"/>
          <w:sz w:val="16"/>
          <w:szCs w:val="16"/>
        </w:rPr>
        <w:t>Para los efectos del presente Código, se entiende por:</w:t>
      </w:r>
    </w:p>
    <w:p w14:paraId="725C7705" w14:textId="77777777" w:rsidR="002A612D" w:rsidRPr="00051002" w:rsidRDefault="002A612D" w:rsidP="002A612D">
      <w:pPr>
        <w:widowControl w:val="0"/>
        <w:numPr>
          <w:ilvl w:val="0"/>
          <w:numId w:val="2"/>
        </w:numPr>
        <w:spacing w:after="0" w:line="240" w:lineRule="auto"/>
        <w:ind w:left="850" w:hanging="277"/>
        <w:contextualSpacing/>
        <w:jc w:val="both"/>
        <w:rPr>
          <w:rFonts w:ascii="Arial" w:eastAsia="Arial" w:hAnsi="Arial" w:cs="Arial"/>
          <w:b/>
          <w:sz w:val="16"/>
          <w:szCs w:val="16"/>
        </w:rPr>
      </w:pPr>
      <w:r w:rsidRPr="00051002">
        <w:rPr>
          <w:rFonts w:ascii="Arial" w:eastAsia="Arial" w:hAnsi="Arial" w:cs="Arial"/>
          <w:b/>
          <w:sz w:val="16"/>
          <w:szCs w:val="16"/>
        </w:rPr>
        <w:t>Consumidores o usuarios</w:t>
      </w:r>
    </w:p>
    <w:p w14:paraId="604EF3C0"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 xml:space="preserve">Las </w:t>
      </w:r>
      <w:r w:rsidRPr="002A612D">
        <w:rPr>
          <w:rFonts w:ascii="Arial" w:eastAsia="Arial" w:hAnsi="Arial" w:cs="Arial"/>
          <w:sz w:val="16"/>
          <w:szCs w:val="16"/>
        </w:rPr>
        <w:t>personas naturales o jurídicas que adquieren utilizan o disfrutan como destinatarios finales productos o servicios</w:t>
      </w:r>
      <w:r w:rsidRPr="00051002">
        <w:rPr>
          <w:rFonts w:ascii="Arial" w:eastAsia="Arial" w:hAnsi="Arial" w:cs="Arial"/>
          <w:sz w:val="16"/>
          <w:szCs w:val="16"/>
        </w:rPr>
        <w:t xml:space="preserve">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4FE9ED2F"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Los microempresarios que evidencien una situación de asimetría informativa con el proveedor respecto de aquellos productos o servicios que no formen parte del giro propio del negocio.</w:t>
      </w:r>
    </w:p>
    <w:p w14:paraId="5C3CF525"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 xml:space="preserve">En caso de duda sobre el destino final de determinado producto o servicio, se califica como consumidor a quien lo adquiere, usa o disfruta. </w:t>
      </w:r>
    </w:p>
    <w:p w14:paraId="29957AD0" w14:textId="77777777" w:rsidR="002A612D" w:rsidRPr="00051002" w:rsidRDefault="002A612D" w:rsidP="002A612D">
      <w:pPr>
        <w:widowControl w:val="0"/>
        <w:spacing w:after="0" w:line="240" w:lineRule="auto"/>
        <w:ind w:left="565" w:firstLine="285"/>
        <w:jc w:val="both"/>
        <w:rPr>
          <w:rFonts w:ascii="Arial" w:hAnsi="Arial" w:cs="Arial"/>
          <w:sz w:val="16"/>
          <w:szCs w:val="16"/>
        </w:rPr>
      </w:pPr>
      <w:r w:rsidRPr="00051002">
        <w:rPr>
          <w:rFonts w:ascii="Arial" w:eastAsia="Arial" w:hAnsi="Arial" w:cs="Arial"/>
          <w:sz w:val="16"/>
          <w:szCs w:val="16"/>
        </w:rPr>
        <w:t>(…)</w:t>
      </w:r>
    </w:p>
  </w:footnote>
  <w:footnote w:id="2">
    <w:p w14:paraId="66954664"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07BA5973"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13065291"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Las micro, pequeñas y medianas empresas deben ubicarse en alguna de las siguientes categorías empresariales, establecidas en función de sus niveles de ventas anuales:</w:t>
      </w:r>
    </w:p>
    <w:p w14:paraId="749A4A95"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 xml:space="preserve">Microempresa: </w:t>
      </w:r>
      <w:r w:rsidRPr="00051002">
        <w:rPr>
          <w:rFonts w:ascii="Arial" w:eastAsia="Arial" w:hAnsi="Arial" w:cs="Arial"/>
          <w:sz w:val="16"/>
          <w:szCs w:val="16"/>
        </w:rPr>
        <w:t>ventas anuales hasta el monto máximo de 150 Unidades Impositivas Tributarias (UIT).</w:t>
      </w:r>
    </w:p>
    <w:p w14:paraId="5E2C2206"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w:t>
      </w:r>
    </w:p>
    <w:p w14:paraId="5E222F99" w14:textId="77777777" w:rsidR="002A612D" w:rsidRPr="00051002" w:rsidRDefault="002A612D" w:rsidP="002A612D">
      <w:pPr>
        <w:widowControl w:val="0"/>
        <w:spacing w:after="0" w:line="240" w:lineRule="auto"/>
        <w:ind w:left="567"/>
        <w:jc w:val="both"/>
        <w:rPr>
          <w:rFonts w:ascii="Arial" w:hAnsi="Arial" w:cs="Arial"/>
          <w:sz w:val="16"/>
          <w:szCs w:val="16"/>
        </w:rPr>
      </w:pPr>
    </w:p>
  </w:footnote>
  <w:footnote w:id="3">
    <w:p w14:paraId="6088DE3E"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t>La Comisión entiende por “giro propio del negocio” aquellas actividades esenciales del proceso productivo, es decir, aquellas actividades imprescindibles sin las cuales el negocio no puede desarrollarse. De esta manera, las actividades imprescindibles sin las cuales el negocio no puede desarrollarse. De esta manera, las actividades que no forman parte del proceso productivo y respecto de las cuales cabe, en principio, la tutela administrativa de la Comisión, son aquellas de apoyo al proceso productivo.</w:t>
      </w:r>
    </w:p>
    <w:p w14:paraId="7DC2CC4F" w14:textId="77777777" w:rsidR="002A612D" w:rsidRPr="00051002" w:rsidRDefault="002A612D" w:rsidP="002A612D">
      <w:pPr>
        <w:widowControl w:val="0"/>
        <w:tabs>
          <w:tab w:val="left" w:pos="540"/>
        </w:tabs>
        <w:spacing w:after="0" w:line="240" w:lineRule="auto"/>
        <w:ind w:left="567" w:hanging="1"/>
        <w:jc w:val="both"/>
        <w:rPr>
          <w:rFonts w:ascii="Arial" w:hAnsi="Arial" w:cs="Arial"/>
          <w:sz w:val="16"/>
          <w:szCs w:val="16"/>
        </w:rPr>
      </w:pPr>
    </w:p>
  </w:footnote>
  <w:footnote w:id="4">
    <w:p w14:paraId="3524E018"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LEY 29571, CÓDIGO DE PROTECCIÓN Y DEFENSA DEL CONSUMIDOR, publicada el 2 de setiembre de 2010</w:t>
      </w:r>
    </w:p>
    <w:p w14:paraId="62B5DA0C" w14:textId="77777777" w:rsidR="002A612D" w:rsidRPr="00051002" w:rsidRDefault="002A612D" w:rsidP="002A612D">
      <w:pPr>
        <w:widowControl w:val="0"/>
        <w:spacing w:after="0" w:line="240" w:lineRule="auto"/>
        <w:ind w:left="567" w:firstLine="6"/>
        <w:jc w:val="both"/>
        <w:rPr>
          <w:rFonts w:ascii="Arial" w:hAnsi="Arial" w:cs="Arial"/>
          <w:sz w:val="16"/>
          <w:szCs w:val="16"/>
        </w:rPr>
      </w:pPr>
      <w:r w:rsidRPr="00051002">
        <w:rPr>
          <w:rFonts w:ascii="Arial" w:eastAsia="Arial" w:hAnsi="Arial" w:cs="Arial"/>
          <w:b/>
          <w:sz w:val="16"/>
          <w:szCs w:val="16"/>
        </w:rPr>
        <w:t>TÍTULO PRELIMINAR</w:t>
      </w:r>
    </w:p>
    <w:p w14:paraId="757AFCAF" w14:textId="77777777" w:rsidR="002A612D" w:rsidRPr="00051002" w:rsidRDefault="002A612D" w:rsidP="002A612D">
      <w:pPr>
        <w:widowControl w:val="0"/>
        <w:spacing w:after="0" w:line="240" w:lineRule="auto"/>
        <w:ind w:left="573"/>
        <w:jc w:val="both"/>
        <w:rPr>
          <w:rFonts w:ascii="Arial" w:hAnsi="Arial" w:cs="Arial"/>
          <w:sz w:val="16"/>
          <w:szCs w:val="16"/>
        </w:rPr>
      </w:pPr>
      <w:r w:rsidRPr="00051002">
        <w:rPr>
          <w:rFonts w:ascii="Arial" w:eastAsia="Arial" w:hAnsi="Arial" w:cs="Arial"/>
          <w:b/>
          <w:sz w:val="16"/>
          <w:szCs w:val="16"/>
        </w:rPr>
        <w:t>Artículo IV.- Definiciones</w:t>
      </w:r>
    </w:p>
    <w:p w14:paraId="0A3CCF39"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 xml:space="preserve">Para los efectos del presente Código, se entiende por: </w:t>
      </w:r>
    </w:p>
    <w:p w14:paraId="59E664BE"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w:t>
      </w:r>
    </w:p>
    <w:p w14:paraId="76B3BF36" w14:textId="77777777" w:rsidR="002A612D" w:rsidRPr="00853135" w:rsidRDefault="002A612D" w:rsidP="002A612D">
      <w:pPr>
        <w:widowControl w:val="0"/>
        <w:spacing w:after="0" w:line="240" w:lineRule="auto"/>
        <w:ind w:left="567"/>
        <w:jc w:val="both"/>
        <w:rPr>
          <w:rFonts w:ascii="Arial" w:eastAsia="Arial" w:hAnsi="Arial" w:cs="Arial"/>
          <w:sz w:val="16"/>
          <w:szCs w:val="16"/>
        </w:rPr>
      </w:pPr>
      <w:r w:rsidRPr="00051002">
        <w:rPr>
          <w:rFonts w:ascii="Arial" w:eastAsia="Arial" w:hAnsi="Arial" w:cs="Arial"/>
          <w:b/>
          <w:sz w:val="16"/>
          <w:szCs w:val="16"/>
        </w:rPr>
        <w:t xml:space="preserve">7. Asimetría informativa.- </w:t>
      </w:r>
      <w:r w:rsidRPr="00051002">
        <w:rPr>
          <w:rFonts w:ascii="Arial" w:eastAsia="Arial" w:hAnsi="Arial" w:cs="Arial"/>
          <w:sz w:val="16"/>
          <w:szCs w:val="16"/>
        </w:rPr>
        <w:t>Característica de la transacción comercial por la cual uno de los agentes, el proveedor, suele tener mayor y mejor información sobre los productos y servicios que ofrece en el mercado a los consumidores.</w:t>
      </w:r>
    </w:p>
  </w:footnote>
  <w:footnote w:id="5">
    <w:p w14:paraId="68BB73ED" w14:textId="77777777" w:rsidR="002A612D" w:rsidRPr="00051002" w:rsidRDefault="002A612D" w:rsidP="002A612D">
      <w:pPr>
        <w:widowControl w:val="0"/>
        <w:spacing w:after="0" w:line="240" w:lineRule="auto"/>
        <w:ind w:left="56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7A5B27EE"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b/>
          <w:sz w:val="16"/>
          <w:szCs w:val="16"/>
        </w:rPr>
        <w:t>Artículo 4.- Definición de la Micro y Pequeña Empresa</w:t>
      </w:r>
    </w:p>
    <w:p w14:paraId="1617D7B0"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La Micro y Pequeña Empresa es la unidad económica constituida por una persona natural o jurídica, bajo cualquier forma de organización o gestión empresarial contemplada en la legislación vigente, que tiene como objeto desarrollar actividades de extracción, transformación, producción, comercialización de bienes o prestación de servicios.</w:t>
      </w:r>
    </w:p>
    <w:p w14:paraId="2BBA4917"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w:t>
      </w:r>
    </w:p>
    <w:p w14:paraId="2492BC24" w14:textId="77777777" w:rsidR="002A612D" w:rsidRPr="00051002" w:rsidRDefault="002A612D" w:rsidP="002A612D">
      <w:pPr>
        <w:widowControl w:val="0"/>
        <w:spacing w:after="0" w:line="240" w:lineRule="auto"/>
        <w:ind w:left="565"/>
        <w:jc w:val="both"/>
        <w:rPr>
          <w:rFonts w:ascii="Arial" w:eastAsia="Arial" w:hAnsi="Arial" w:cs="Arial"/>
          <w:b/>
          <w:sz w:val="16"/>
          <w:szCs w:val="16"/>
        </w:rPr>
      </w:pPr>
    </w:p>
    <w:p w14:paraId="2C48812E"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74907BDA"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Las micro, pequeñas y medianas empresas deben ubicarse en alguna de las siguientes categorías empresariales, establecidas en función de sus niveles de ventas anuales:</w:t>
      </w:r>
    </w:p>
    <w:p w14:paraId="65EC5899"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 Microempresa: ventas anuales hasta el monto máximo de 150 Unidades Impositivas Tributarias (UIT).</w:t>
      </w:r>
    </w:p>
    <w:p w14:paraId="370FCFE8" w14:textId="77777777" w:rsidR="002A612D" w:rsidRDefault="002A612D" w:rsidP="002A612D">
      <w:pPr>
        <w:widowControl w:val="0"/>
        <w:spacing w:after="0" w:line="240" w:lineRule="auto"/>
        <w:ind w:left="565"/>
        <w:jc w:val="both"/>
        <w:rPr>
          <w:rFonts w:ascii="Arial" w:eastAsia="Arial" w:hAnsi="Arial" w:cs="Arial"/>
          <w:sz w:val="16"/>
          <w:szCs w:val="16"/>
        </w:rPr>
      </w:pPr>
      <w:r w:rsidRPr="00051002">
        <w:rPr>
          <w:rFonts w:ascii="Arial" w:eastAsia="Arial" w:hAnsi="Arial" w:cs="Arial"/>
          <w:sz w:val="16"/>
          <w:szCs w:val="16"/>
        </w:rPr>
        <w:t>(...)</w:t>
      </w:r>
    </w:p>
    <w:p w14:paraId="253EDC40" w14:textId="77777777" w:rsidR="004B47FB" w:rsidRPr="00853135" w:rsidRDefault="004B47FB" w:rsidP="002A612D">
      <w:pPr>
        <w:widowControl w:val="0"/>
        <w:spacing w:after="0" w:line="240" w:lineRule="auto"/>
        <w:ind w:left="565"/>
        <w:jc w:val="both"/>
        <w:rPr>
          <w:rFonts w:ascii="Arial" w:eastAsia="Arial" w:hAnsi="Arial" w:cs="Arial"/>
          <w:sz w:val="16"/>
          <w:szCs w:val="16"/>
        </w:rPr>
      </w:pPr>
    </w:p>
  </w:footnote>
  <w:footnote w:id="6">
    <w:p w14:paraId="74A7C77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DIRECTIVA N° 001-2021/DIR-COD-INDECOPI, DIRECTIVA ÚNICA QUE REGULA LOS PROCEDIMIENTOS DE PROTECCIÓN AL CONSUMIDOR PREVISTOS EN EL CÓDIGO DE PROTECCIÓN AL CONSUMIDOR, aprobada por Resolución N° 00044-2021/COD-INDECOPI y publicada el 30 de abril de 2021.</w:t>
      </w:r>
    </w:p>
    <w:p w14:paraId="639B949D"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Artículo 11.- Requisitos de la denuncia</w:t>
      </w:r>
    </w:p>
    <w:p w14:paraId="62A1456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w:t>
      </w:r>
    </w:p>
    <w:p w14:paraId="5FEFFEEB"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El denunciante deberá acreditar que ostenta, a la fecha de la presentación de la denuncia, la condición de microempresario.</w:t>
      </w:r>
    </w:p>
    <w:p w14:paraId="1513654D"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7">
    <w:p w14:paraId="2421EBFA" w14:textId="77777777" w:rsidR="002A612D" w:rsidRPr="00051002" w:rsidRDefault="002A612D" w:rsidP="002A612D">
      <w:pPr>
        <w:widowControl w:val="0"/>
        <w:spacing w:after="0" w:line="240" w:lineRule="auto"/>
        <w:ind w:left="565" w:hanging="56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4B47FB">
        <w:rPr>
          <w:rFonts w:ascii="Arial" w:hAnsi="Arial" w:cs="Arial"/>
          <w:sz w:val="16"/>
          <w:szCs w:val="16"/>
        </w:rPr>
        <w:tab/>
        <w:t>Por tanto, los efectos constitutivos de dicho ejercicio gravable continuarán durante el siguiente año hasta la fecha en que se determine nuevamente sus ingresos. Por ejemplo, si al finalizar el ejercicio gravable el contribuyente era microempresario, entonces, dicha calificación continuará hasta la culminación del siguiente periodo, fecha en la cual se volverá a verificar su condición en función de los ingresos generados durante ese periodo.</w:t>
      </w:r>
    </w:p>
    <w:p w14:paraId="4466A7B8" w14:textId="77777777" w:rsidR="002A612D" w:rsidRPr="00051002" w:rsidRDefault="002A612D" w:rsidP="002A612D">
      <w:pPr>
        <w:widowControl w:val="0"/>
        <w:spacing w:after="0" w:line="240" w:lineRule="auto"/>
        <w:ind w:left="565" w:hanging="3"/>
        <w:jc w:val="both"/>
        <w:rPr>
          <w:rFonts w:ascii="Arial" w:hAnsi="Arial" w:cs="Arial"/>
          <w:sz w:val="16"/>
          <w:szCs w:val="16"/>
        </w:rPr>
      </w:pPr>
    </w:p>
  </w:footnote>
  <w:footnote w:id="8">
    <w:p w14:paraId="313D05C7"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DIRECTIVA N° 001-2021/DIR-COD-INDECOPI, DIRECTIVA ÚNICA QUE REGULA LOS PROCEDIMIENTOS DE PROTECCIÓN AL CONSUMIDOR PREVISTOS EN EL CÓDIGO DE PROTECCIÓN AL CONSUMIDOR, aprobada por Resolución N° 00044-2021/COD-INDECOPI y publicada el 30 de abril de 2021.</w:t>
      </w:r>
    </w:p>
    <w:p w14:paraId="0D136529"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Artículo 11.- Requisitos de la denuncia</w:t>
      </w:r>
    </w:p>
    <w:p w14:paraId="3C1C7C69"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w:t>
      </w:r>
    </w:p>
    <w:p w14:paraId="2BDD898F"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11.4. En caso de que el denunciante ostente la condición de Microempresa, debe adjuntar a su denuncia:</w:t>
      </w:r>
    </w:p>
    <w:p w14:paraId="6CF2FC60"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a) Copia simple de los documentos que acrediten su existencia y representación, o la identificación del expediente administrativo, trámite o reclamo ante el INDECOPI en el cual fueron presentados. Estos documentos pueden ser sustituidos por la declaración jurada del administrado sobre la existencia de la persona jurídica, la designación de su representante legal y la vigencia del poder, y la identificación de la partida y oficina registral donde conste su inscripción.</w:t>
      </w:r>
    </w:p>
    <w:p w14:paraId="40C8EF61"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b) Copia simple de la documentación que acredite su condición de microempresa, de acuerdo con los requisitos exigidos por la legislación sobre la materia.</w:t>
      </w:r>
    </w:p>
    <w:p w14:paraId="7794237E" w14:textId="77777777" w:rsidR="002A612D" w:rsidRPr="00853135"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El denunciante deberá acreditar que ostenta, a la fecha de la presentación de la denuncia, la condición de microempresario.</w:t>
      </w:r>
    </w:p>
  </w:footnote>
  <w:footnote w:id="9">
    <w:p w14:paraId="09228F0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DIRECTIVA N° 001-2021/DIR-COD-INDECOPI, DIRECTIVA ÚNICA QUE REGULA LOS PROCEDIMIENTOS DE PROTECCIÓN AL CONSUMIDOR PREVISTOS EN EL CÓDIGO DE PROTECCIÓN AL CONSUMIDOR, aprobada por Resolución N° 00044-2021/COD-INDECOPI y publicada el 30 de abril de 2021.</w:t>
      </w:r>
    </w:p>
    <w:p w14:paraId="0DD531D9"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PRIMERA DISPOSICIÓN FINAL.- VIGENCIA</w:t>
      </w:r>
    </w:p>
    <w:p w14:paraId="46E5F772" w14:textId="77777777" w:rsidR="002A612D" w:rsidRPr="00051002" w:rsidRDefault="002A612D" w:rsidP="002A612D">
      <w:pPr>
        <w:widowControl w:val="0"/>
        <w:spacing w:after="0" w:line="240" w:lineRule="auto"/>
        <w:ind w:left="555"/>
        <w:jc w:val="both"/>
        <w:rPr>
          <w:rFonts w:ascii="Arial" w:eastAsia="Arial" w:hAnsi="Arial" w:cs="Arial"/>
          <w:sz w:val="16"/>
          <w:szCs w:val="16"/>
        </w:rPr>
      </w:pPr>
      <w:r w:rsidRPr="00051002">
        <w:rPr>
          <w:rFonts w:ascii="Arial" w:eastAsia="Arial" w:hAnsi="Arial" w:cs="Arial"/>
          <w:sz w:val="16"/>
          <w:szCs w:val="16"/>
        </w:rPr>
        <w:t>La presente Directiva entra en vigencia al día siguiente de su publicación y es de aplicación inmediata a todos los procedimientos que se encuentren en trámite.</w:t>
      </w:r>
    </w:p>
    <w:p w14:paraId="7F52B14B"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10">
    <w:p w14:paraId="22688521" w14:textId="77777777" w:rsidR="002A612D" w:rsidRDefault="002A612D" w:rsidP="002A612D">
      <w:pPr>
        <w:widowControl w:val="0"/>
        <w:spacing w:after="0" w:line="240" w:lineRule="auto"/>
        <w:ind w:left="55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t>Reglamento del Texto Único Ordenado de la Ley de Promoción de la Competitividad, Formalización y Desarrollo de la Micro y Pequeña Empresa y del Acceso al Empleo Decente, aprobado por Decreto Supremo Nº 008-2008-TR.</w:t>
      </w:r>
    </w:p>
    <w:p w14:paraId="1EC818A2"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11">
    <w:p w14:paraId="7D65C9ED" w14:textId="77777777" w:rsidR="002A612D" w:rsidRPr="00051002" w:rsidRDefault="002A612D" w:rsidP="002A612D">
      <w:pPr>
        <w:widowControl w:val="0"/>
        <w:spacing w:after="0" w:line="240" w:lineRule="auto"/>
        <w:ind w:left="55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45008973" w14:textId="77777777" w:rsidR="002A612D" w:rsidRPr="00051002" w:rsidRDefault="002A612D" w:rsidP="002A612D">
      <w:pPr>
        <w:widowControl w:val="0"/>
        <w:spacing w:after="0" w:line="240" w:lineRule="auto"/>
        <w:ind w:left="1275" w:hanging="701"/>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40A5E076" w14:textId="77777777" w:rsidR="002A612D" w:rsidRPr="00051002" w:rsidRDefault="002A612D" w:rsidP="002A612D">
      <w:pPr>
        <w:widowControl w:val="0"/>
        <w:spacing w:after="0" w:line="240" w:lineRule="auto"/>
        <w:ind w:left="555" w:hanging="570"/>
        <w:jc w:val="both"/>
        <w:rPr>
          <w:rFonts w:ascii="Arial" w:hAnsi="Arial" w:cs="Arial"/>
          <w:sz w:val="16"/>
          <w:szCs w:val="16"/>
        </w:rPr>
      </w:pPr>
      <w:r w:rsidRPr="00051002">
        <w:rPr>
          <w:rFonts w:ascii="Arial" w:eastAsia="Arial" w:hAnsi="Arial" w:cs="Arial"/>
          <w:sz w:val="16"/>
          <w:szCs w:val="16"/>
        </w:rPr>
        <w:tab/>
        <w:t>Las micro, pequeñas y medianas empresas deben ubicarse en alguna de las siguientes categorías empresariales, establecidas en función de sus niveles de ventas anuales:</w:t>
      </w:r>
    </w:p>
    <w:p w14:paraId="36A0E6FC" w14:textId="77777777" w:rsidR="002A612D" w:rsidRPr="00051002" w:rsidRDefault="002A612D" w:rsidP="002A612D">
      <w:pPr>
        <w:widowControl w:val="0"/>
        <w:numPr>
          <w:ilvl w:val="0"/>
          <w:numId w:val="6"/>
        </w:numPr>
        <w:spacing w:after="0" w:line="240" w:lineRule="auto"/>
        <w:ind w:left="855" w:hanging="277"/>
        <w:contextualSpacing/>
        <w:jc w:val="both"/>
        <w:rPr>
          <w:rFonts w:ascii="Arial" w:hAnsi="Arial" w:cs="Arial"/>
          <w:sz w:val="16"/>
          <w:szCs w:val="16"/>
        </w:rPr>
      </w:pPr>
      <w:r w:rsidRPr="00051002">
        <w:rPr>
          <w:rFonts w:ascii="Arial" w:eastAsia="Arial" w:hAnsi="Arial" w:cs="Arial"/>
          <w:sz w:val="16"/>
          <w:szCs w:val="16"/>
        </w:rPr>
        <w:t>Microempresa: ventas anuales hasta el monto máximo de 150 Unidades Impositivas Tributarias (UIT).</w:t>
      </w:r>
    </w:p>
    <w:p w14:paraId="55CA1C66" w14:textId="77777777" w:rsidR="002A612D" w:rsidRPr="00051002" w:rsidRDefault="002A612D" w:rsidP="002A612D">
      <w:pPr>
        <w:widowControl w:val="0"/>
        <w:spacing w:after="0" w:line="240" w:lineRule="auto"/>
        <w:ind w:left="1275" w:hanging="720"/>
        <w:jc w:val="both"/>
        <w:rPr>
          <w:rFonts w:ascii="Arial" w:hAnsi="Arial" w:cs="Arial"/>
          <w:sz w:val="16"/>
          <w:szCs w:val="16"/>
        </w:rPr>
      </w:pPr>
      <w:r w:rsidRPr="00051002">
        <w:rPr>
          <w:rFonts w:ascii="Arial" w:eastAsia="Arial" w:hAnsi="Arial" w:cs="Arial"/>
          <w:sz w:val="16"/>
          <w:szCs w:val="16"/>
        </w:rPr>
        <w:t xml:space="preserve">(...)  </w:t>
      </w:r>
    </w:p>
    <w:p w14:paraId="45B06080" w14:textId="77777777" w:rsidR="002A612D" w:rsidRPr="00051002" w:rsidRDefault="002A612D" w:rsidP="002A612D">
      <w:pPr>
        <w:widowControl w:val="0"/>
        <w:spacing w:after="0" w:line="240" w:lineRule="auto"/>
        <w:ind w:left="1275" w:hanging="720"/>
        <w:jc w:val="both"/>
        <w:rPr>
          <w:rFonts w:ascii="Arial" w:hAnsi="Arial" w:cs="Arial"/>
          <w:sz w:val="16"/>
          <w:szCs w:val="16"/>
        </w:rPr>
      </w:pPr>
    </w:p>
  </w:footnote>
  <w:footnote w:id="12">
    <w:p w14:paraId="1A72FA79"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REGLAMENTO DEL TEXTO ÚNICO ORDENADO DE LA LEY DE PROMOCIÓN DE LA COMPETITIVIDAD, FORMALIZACIÓN Y DESARROLLO DE LA MICRO Y PEQUEÑA EMPRESA Y DEL ACCESO AL EMPLEO DECENTE, APROBADO POR DECRETO SUPREMO 008-2008-TR y publicado el 30 de setiembre de 2008</w:t>
      </w:r>
    </w:p>
    <w:p w14:paraId="47FFC3FB" w14:textId="77777777" w:rsidR="002A612D" w:rsidRPr="00051002" w:rsidRDefault="002A612D" w:rsidP="002A612D">
      <w:pPr>
        <w:widowControl w:val="0"/>
        <w:spacing w:after="0" w:line="240" w:lineRule="auto"/>
        <w:ind w:left="1290" w:hanging="716"/>
        <w:jc w:val="both"/>
        <w:rPr>
          <w:rFonts w:ascii="Arial" w:hAnsi="Arial" w:cs="Arial"/>
          <w:sz w:val="16"/>
          <w:szCs w:val="16"/>
        </w:rPr>
      </w:pPr>
      <w:r w:rsidRPr="00051002">
        <w:rPr>
          <w:rFonts w:ascii="Arial" w:eastAsia="Arial" w:hAnsi="Arial" w:cs="Arial"/>
          <w:b/>
          <w:sz w:val="16"/>
          <w:szCs w:val="16"/>
        </w:rPr>
        <w:t>Artículo 2.- Características de la Mype</w:t>
      </w:r>
    </w:p>
    <w:p w14:paraId="3A0E4DB9"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Las características establecidas en el artículo 5 de la Ley definen, según corresponda, a una microempresa o a una pequeña empresa, sin perjuicio de los regímenes laborales o tributarios que les resulten aplicables por ley. </w:t>
      </w:r>
    </w:p>
    <w:p w14:paraId="51C88E5E"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Para los fines del artículo 5 de la Ley, entiéndase por niveles de ventas anuales lo siguiente: </w:t>
      </w:r>
    </w:p>
    <w:p w14:paraId="160A9606"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1. </w:t>
      </w:r>
      <w:r w:rsidRPr="00051002">
        <w:rPr>
          <w:rFonts w:ascii="Arial" w:eastAsia="Arial" w:hAnsi="Arial" w:cs="Arial"/>
          <w:sz w:val="16"/>
          <w:szCs w:val="16"/>
        </w:rPr>
        <w:tab/>
        <w:t xml:space="preserve">Los ingresos netos anuales gravados con el Impuesto a la Renta que resultan de la sumatoria de los montos de tales ingresos consignados en las declaraciones juradas mensuales de los pagos a cuenta del Impuesto a la Renta, tratándose de contribuyentes comprendidos en el Régimen General del Impuesto a la Renta. </w:t>
      </w:r>
    </w:p>
    <w:p w14:paraId="2F2A30E8"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2. </w:t>
      </w:r>
      <w:r w:rsidRPr="00051002">
        <w:rPr>
          <w:rFonts w:ascii="Arial" w:eastAsia="Arial" w:hAnsi="Arial" w:cs="Arial"/>
          <w:sz w:val="16"/>
          <w:szCs w:val="16"/>
        </w:rPr>
        <w:tab/>
        <w:t xml:space="preserve">Los ingresos netos anuales que resultan de la sumatoria de los montos de tales ingresos consignados en las declaraciones juradas mensuales del Régimen Especial del Impuesto a la Renta, tratándose de contribuyentes de este Régimen. </w:t>
      </w:r>
    </w:p>
    <w:p w14:paraId="00A30E20"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3. </w:t>
      </w:r>
      <w:r w:rsidRPr="00051002">
        <w:rPr>
          <w:rFonts w:ascii="Arial" w:eastAsia="Arial" w:hAnsi="Arial" w:cs="Arial"/>
          <w:sz w:val="16"/>
          <w:szCs w:val="16"/>
        </w:rPr>
        <w:tab/>
        <w:t xml:space="preserve">Los ingresos brutos anuales que resultan de la sumatoria de los montos de tales ingresos consignados en las declaraciones juradas mensuales del Nuevo RUS, tratándose de contribuyentes de este Régimen. </w:t>
      </w:r>
    </w:p>
    <w:p w14:paraId="0A618CF0"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En caso el contribuyente o la SUNAT variara los ingresos inicialmente declarados, determinándose mayores ingresos, se considerarán estos últimos. </w:t>
      </w:r>
    </w:p>
    <w:p w14:paraId="5B688637"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Se considerarán las ventas de los doce (12) meses anteriores al momento en que la MYPE se registra y la UIT correspondiente al año respectivo.</w:t>
      </w:r>
    </w:p>
    <w:p w14:paraId="53F1C5B5" w14:textId="77777777" w:rsidR="002A612D" w:rsidRPr="00051002" w:rsidRDefault="002A612D" w:rsidP="002A612D">
      <w:pPr>
        <w:widowControl w:val="0"/>
        <w:spacing w:after="0" w:line="240" w:lineRule="auto"/>
        <w:ind w:left="570"/>
        <w:jc w:val="both"/>
        <w:rPr>
          <w:rFonts w:ascii="Arial" w:hAnsi="Arial" w:cs="Arial"/>
          <w:sz w:val="16"/>
          <w:szCs w:val="16"/>
        </w:rPr>
      </w:pPr>
    </w:p>
  </w:footnote>
  <w:footnote w:id="13">
    <w:p w14:paraId="7D3A8B1D"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 xml:space="preserve">TEXTO ÚNICO ORDENADO DE LA LEY DEL IMPUESTO A LA RENTA, aprobado por DECRETO SUPREMO 179-2004-EF y publicado el 8 de diciembre de 2004 </w:t>
      </w:r>
    </w:p>
    <w:p w14:paraId="49F7D9FC"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b/>
          <w:sz w:val="16"/>
          <w:szCs w:val="16"/>
        </w:rPr>
        <w:t xml:space="preserve">Artículo 85.- </w:t>
      </w:r>
      <w:r w:rsidRPr="00051002">
        <w:rPr>
          <w:rFonts w:ascii="Arial" w:eastAsia="Arial" w:hAnsi="Arial" w:cs="Arial"/>
          <w:sz w:val="16"/>
          <w:szCs w:val="16"/>
        </w:rPr>
        <w:t>Los contribuyentes que obtengan de tercera categoría abonarán con carácter de pago a cuenta del Impuesto a la Renta que en definitiva, les corresponda por el ejercicio gravable, dentro de los plazos previstos por el Código Tributario, el monto que resulte mayor de comparar las cuotas mensuales determinadas con arreglo a lo siguiente:</w:t>
      </w:r>
    </w:p>
    <w:p w14:paraId="44727B87"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a) </w:t>
      </w:r>
      <w:r w:rsidRPr="00051002">
        <w:rPr>
          <w:rFonts w:ascii="Arial" w:eastAsia="Arial" w:hAnsi="Arial" w:cs="Arial"/>
          <w:sz w:val="16"/>
          <w:szCs w:val="16"/>
        </w:rPr>
        <w:tab/>
        <w:t>La cuota que resulte de aplicar a los ingresos netos obtenidos en el mes el coeficiente resultante de dividir el monto del impuesto calculado correspondiente al ejercicio gravable anterior entre el total de los ingresos netos del mismo ejercicio. En el caso de los pagos a cuenta de los meses de enero y febrero, se utilizará el coeficiente determinado sobre la base del impuesto calculado e ingresos netos correspondiente al ejercicio preferente al anterior.</w:t>
      </w:r>
    </w:p>
    <w:p w14:paraId="76F9C1DB"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w:t>
      </w:r>
    </w:p>
    <w:p w14:paraId="668EEA43" w14:textId="77777777" w:rsidR="002A612D" w:rsidRDefault="002A612D" w:rsidP="002A612D">
      <w:pPr>
        <w:widowControl w:val="0"/>
        <w:spacing w:after="0" w:line="240" w:lineRule="auto"/>
        <w:ind w:left="570"/>
        <w:jc w:val="both"/>
        <w:rPr>
          <w:rFonts w:ascii="Arial" w:eastAsia="Arial" w:hAnsi="Arial" w:cs="Arial"/>
          <w:sz w:val="16"/>
          <w:szCs w:val="16"/>
        </w:rPr>
      </w:pPr>
      <w:r w:rsidRPr="00051002">
        <w:rPr>
          <w:rFonts w:ascii="Arial" w:eastAsia="Arial" w:hAnsi="Arial" w:cs="Arial"/>
          <w:sz w:val="16"/>
          <w:szCs w:val="16"/>
        </w:rPr>
        <w:t>Para efecto de lo dispuesto en este artículo, se consideran ingresos netos el total de ingresos gravables de la tercera categoría, devengados en cada mes, menos las devoluciones, bonificaciones, descuentos y demás conceptos de naturaleza similar que respondan a la costumbre de la plaza. e impuesto calculado al importe determinado aplicando la tasa a que se refiere el primer párrafo del artículo 55 de esta Ley.”</w:t>
      </w:r>
    </w:p>
    <w:p w14:paraId="0AB19B9D" w14:textId="77777777" w:rsidR="004B47FB" w:rsidRPr="00051002" w:rsidRDefault="004B47FB" w:rsidP="002A612D">
      <w:pPr>
        <w:widowControl w:val="0"/>
        <w:spacing w:after="0" w:line="240" w:lineRule="auto"/>
        <w:ind w:left="570"/>
        <w:jc w:val="both"/>
        <w:rPr>
          <w:rFonts w:ascii="Arial" w:hAnsi="Arial" w:cs="Arial"/>
          <w:sz w:val="16"/>
          <w:szCs w:val="16"/>
        </w:rPr>
      </w:pPr>
    </w:p>
  </w:footnote>
  <w:footnote w:id="14">
    <w:p w14:paraId="13BE0859"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RESOLUCIÓN DEL TRIBUNAL FISCAL 02760-5-2006</w:t>
      </w:r>
    </w:p>
    <w:p w14:paraId="7C530968"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w:t>
      </w:r>
    </w:p>
    <w:p w14:paraId="189CDB23"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En nuestra legislación, el artículo 85 de la Ley del Impuesto a la Renta, Decreto Legislativo 774 modificado por la Ley 27034, establece que sobre la base de ingresos netos obtenidos en el mes se calcula el pago a cuenta mensual del Impuesto a la Renta de tercera categoría.</w:t>
      </w:r>
    </w:p>
    <w:p w14:paraId="548F8709"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El tercer párrafo del citado artículo considera ingresos netos al total de los ingresos gravables de la tercera categoría, devengados en cada mes menos las devoluciones, bonificaciones, descuentos y demás conceptos de naturaleza similar que respondan a las costumbres de la plaza.</w:t>
      </w:r>
    </w:p>
    <w:p w14:paraId="213C3C63"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Efectuando un análisis de la citada definición, entendemos que los ingresos netos están referidos a lo siguiente:</w:t>
      </w:r>
    </w:p>
    <w:p w14:paraId="1EE56CD2" w14:textId="77777777" w:rsidR="002A612D" w:rsidRPr="00051002" w:rsidRDefault="002A612D" w:rsidP="002A612D">
      <w:pPr>
        <w:widowControl w:val="0"/>
        <w:numPr>
          <w:ilvl w:val="0"/>
          <w:numId w:val="7"/>
        </w:numPr>
        <w:spacing w:after="0" w:line="240" w:lineRule="auto"/>
        <w:ind w:left="855" w:hanging="277"/>
        <w:contextualSpacing/>
        <w:jc w:val="both"/>
        <w:rPr>
          <w:rFonts w:ascii="Arial" w:eastAsia="Arial" w:hAnsi="Arial" w:cs="Arial"/>
          <w:sz w:val="16"/>
          <w:szCs w:val="16"/>
        </w:rPr>
      </w:pPr>
      <w:r w:rsidRPr="00051002">
        <w:rPr>
          <w:rFonts w:ascii="Arial" w:eastAsia="Arial" w:hAnsi="Arial" w:cs="Arial"/>
          <w:sz w:val="16"/>
          <w:szCs w:val="16"/>
        </w:rPr>
        <w:t>Ingresos devengados en cada mes, es decir ingresos mensuales sobre los cuales se tienen derecho a obtenerlos, es decir ingresos mensuales sobre los cuales se tienen derecho a obtenerlos, es decir una acreencia sobre ellos.</w:t>
      </w:r>
    </w:p>
    <w:p w14:paraId="628C795F" w14:textId="77777777" w:rsidR="002A612D" w:rsidRPr="00051002" w:rsidRDefault="002A612D" w:rsidP="002A612D">
      <w:pPr>
        <w:widowControl w:val="0"/>
        <w:numPr>
          <w:ilvl w:val="0"/>
          <w:numId w:val="7"/>
        </w:numPr>
        <w:spacing w:after="0" w:line="240" w:lineRule="auto"/>
        <w:ind w:left="855" w:hanging="277"/>
        <w:contextualSpacing/>
        <w:jc w:val="both"/>
        <w:rPr>
          <w:rFonts w:ascii="Arial" w:eastAsia="Arial" w:hAnsi="Arial" w:cs="Arial"/>
          <w:sz w:val="16"/>
          <w:szCs w:val="16"/>
        </w:rPr>
      </w:pPr>
      <w:r w:rsidRPr="00051002">
        <w:rPr>
          <w:rFonts w:ascii="Arial" w:eastAsia="Arial" w:hAnsi="Arial" w:cs="Arial"/>
          <w:sz w:val="16"/>
          <w:szCs w:val="16"/>
        </w:rPr>
        <w:t>Netos de devoluciones, bonificaciones, descuentos y demás conceptos de naturaleza similar que respondan a las costumbres de la plaza, es decir neto de aquello que responde a costumbres del mercado, propio de operaciones que realizan las empresas con terceros y por los cuales obtienen un ingreso gravable.</w:t>
      </w:r>
    </w:p>
    <w:p w14:paraId="42191D7C"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Del análisis efectuado se aprecia que esta definición no podría comprender la ganancia por diferencia de cambio producto de las operaciones a que se refieren los incisos b) al f) del artículo 61 de la Ley del Impuesto a la Renta, en tanto constituye un ajuste contable y no un ingreso en el sentido del artículo 85º de la ley, la que resulta luego de compensarse las devaluaciones o revaluaciones de la moneda a lo largo del ejercicio, para obtener al cierre de dicho ejercicio (31 de diciembre) una diferencia neta de cambio.</w:t>
      </w:r>
    </w:p>
    <w:p w14:paraId="588CEE12" w14:textId="77777777" w:rsidR="002A612D" w:rsidRDefault="002A612D" w:rsidP="002A612D">
      <w:pPr>
        <w:widowControl w:val="0"/>
        <w:spacing w:after="0" w:line="240" w:lineRule="auto"/>
        <w:ind w:left="570"/>
        <w:jc w:val="both"/>
        <w:rPr>
          <w:rFonts w:ascii="Arial" w:eastAsia="Arial" w:hAnsi="Arial" w:cs="Arial"/>
          <w:sz w:val="16"/>
          <w:szCs w:val="16"/>
        </w:rPr>
      </w:pPr>
      <w:r w:rsidRPr="00051002">
        <w:rPr>
          <w:rFonts w:ascii="Arial" w:eastAsia="Arial" w:hAnsi="Arial" w:cs="Arial"/>
          <w:sz w:val="16"/>
          <w:szCs w:val="16"/>
        </w:rPr>
        <w:t>En efecto, bajo lo señalado en las Normas Internacionales de Contabilidad las diferencias de cambio no constituyen ingresos entendidos éstos como los provenientes de la venta de productos, la prestación de servicios, el uso por terceros de los activos de la empresas que generen intereses, regalías y dividendos (NIC 18: Ingresos), la disposición de activos como: inmuebles, maquinaria y equipos (NIC 16), inversiones (NIC 25), etc. y cuyo monto pueda ser usualmente determinado por un acuerdo entre la empresa y el comprador o usuario.”</w:t>
      </w:r>
    </w:p>
    <w:p w14:paraId="008266E1" w14:textId="77777777" w:rsidR="004B47FB" w:rsidRPr="00853135" w:rsidRDefault="004B47FB" w:rsidP="002A612D">
      <w:pPr>
        <w:widowControl w:val="0"/>
        <w:spacing w:after="0" w:line="240" w:lineRule="auto"/>
        <w:ind w:left="570"/>
        <w:jc w:val="both"/>
        <w:rPr>
          <w:rFonts w:ascii="Arial" w:eastAsia="Arial" w:hAnsi="Arial" w:cs="Arial"/>
          <w:sz w:val="16"/>
          <w:szCs w:val="16"/>
        </w:rPr>
      </w:pPr>
    </w:p>
  </w:footnote>
  <w:footnote w:id="15">
    <w:p w14:paraId="31960214" w14:textId="77777777" w:rsidR="002A612D" w:rsidRPr="00051002" w:rsidRDefault="002A612D" w:rsidP="002A612D">
      <w:pPr>
        <w:spacing w:after="0" w:line="240" w:lineRule="auto"/>
        <w:ind w:left="567" w:hanging="582"/>
        <w:jc w:val="both"/>
        <w:rPr>
          <w:rFonts w:ascii="Arial" w:hAnsi="Arial" w:cs="Arial"/>
          <w:sz w:val="16"/>
          <w:szCs w:val="16"/>
        </w:rPr>
      </w:pPr>
      <w:r w:rsidRPr="00051002">
        <w:rPr>
          <w:rStyle w:val="Refdenotaalpie"/>
          <w:rFonts w:ascii="Arial" w:eastAsia="Times New Roman" w:hAnsi="Arial" w:cs="Arial"/>
          <w:sz w:val="16"/>
          <w:szCs w:val="16"/>
        </w:rPr>
        <w:footnoteRef/>
      </w:r>
      <w:r w:rsidRPr="00051002">
        <w:rPr>
          <w:rFonts w:ascii="Arial" w:hAnsi="Arial" w:cs="Arial"/>
          <w:sz w:val="16"/>
          <w:szCs w:val="16"/>
        </w:rPr>
        <w:t xml:space="preserve"> </w:t>
      </w:r>
      <w:r w:rsidRPr="00051002">
        <w:rPr>
          <w:rFonts w:ascii="Arial" w:hAnsi="Arial" w:cs="Arial"/>
          <w:sz w:val="16"/>
          <w:szCs w:val="16"/>
        </w:rPr>
        <w:tab/>
      </w:r>
      <w:r w:rsidRPr="00051002">
        <w:rPr>
          <w:rFonts w:ascii="Arial" w:hAnsi="Arial" w:cs="Arial"/>
          <w:bCs/>
          <w:sz w:val="16"/>
          <w:szCs w:val="16"/>
        </w:rPr>
        <w:t>Ver:</w:t>
      </w:r>
      <w:r w:rsidRPr="00051002">
        <w:rPr>
          <w:rFonts w:ascii="Arial" w:hAnsi="Arial" w:cs="Arial"/>
          <w:b/>
          <w:sz w:val="16"/>
          <w:szCs w:val="16"/>
        </w:rPr>
        <w:t xml:space="preserve"> </w:t>
      </w:r>
      <w:hyperlink r:id="rId1" w:history="1">
        <w:r w:rsidRPr="00051002">
          <w:rPr>
            <w:rStyle w:val="Hipervnculo1"/>
            <w:rFonts w:ascii="Arial" w:hAnsi="Arial" w:cs="Arial"/>
            <w:sz w:val="16"/>
            <w:szCs w:val="16"/>
          </w:rPr>
          <w:t>https://e-consultaruc.sunat.gob.pe/cl-ti-itmrconsruc/jcrS00Alias</w:t>
        </w:r>
      </w:hyperlink>
      <w:r w:rsidRPr="00051002">
        <w:rPr>
          <w:rFonts w:ascii="Arial" w:hAnsi="Arial" w:cs="Arial"/>
          <w:sz w:val="16"/>
          <w:szCs w:val="16"/>
        </w:rPr>
        <w:t xml:space="preserve">. </w:t>
      </w:r>
    </w:p>
  </w:footnote>
  <w:footnote w:id="16">
    <w:p w14:paraId="7C48789A" w14:textId="77777777" w:rsidR="00534C94" w:rsidRPr="00C936FE" w:rsidRDefault="00534C94" w:rsidP="00534C94">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0347AD0D"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6FC67DFF"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2CDC9B46"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63D8BBF"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2226E486" w14:textId="77777777" w:rsidR="00534C94" w:rsidRPr="00C936FE" w:rsidRDefault="00534C94" w:rsidP="00534C94">
      <w:pPr>
        <w:widowControl w:val="0"/>
        <w:spacing w:after="0" w:line="240" w:lineRule="auto"/>
        <w:jc w:val="both"/>
        <w:rPr>
          <w:rFonts w:ascii="Arial" w:hAnsi="Arial" w:cs="Arial"/>
          <w:sz w:val="16"/>
          <w:szCs w:val="16"/>
        </w:rPr>
      </w:pPr>
    </w:p>
  </w:footnote>
  <w:footnote w:id="17">
    <w:p w14:paraId="49199CC1" w14:textId="77777777" w:rsidR="00534C94" w:rsidRPr="00C936FE" w:rsidRDefault="00534C94" w:rsidP="00534C94">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769F7B2A" w14:textId="77777777" w:rsidR="00534C94" w:rsidRPr="00C936FE" w:rsidRDefault="00534C94" w:rsidP="00534C94">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5F44FF67" w14:textId="77777777" w:rsidR="00534C94" w:rsidRPr="00C936FE" w:rsidRDefault="00534C94" w:rsidP="00534C94">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75070A13" w14:textId="77777777" w:rsidR="00534C94" w:rsidRPr="00C936FE" w:rsidRDefault="00534C94" w:rsidP="00534C94">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A1A7E2E" w14:textId="77777777" w:rsidR="00534C94" w:rsidRPr="00C936FE" w:rsidRDefault="00534C94" w:rsidP="00534C94">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5567672D" w14:textId="77777777" w:rsidR="00534C94" w:rsidRPr="00C936FE" w:rsidRDefault="00534C94" w:rsidP="00534C94">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AEE1996" w14:textId="77777777" w:rsidR="00534C94" w:rsidRPr="00C936FE" w:rsidRDefault="00534C94" w:rsidP="00534C94">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B589372" w14:textId="77777777" w:rsidR="00534C94" w:rsidRPr="00C936FE" w:rsidRDefault="00534C94" w:rsidP="00534C94">
      <w:pPr>
        <w:spacing w:after="0" w:line="240" w:lineRule="auto"/>
        <w:ind w:left="1134" w:hanging="567"/>
        <w:jc w:val="both"/>
        <w:rPr>
          <w:rFonts w:ascii="Arial" w:hAnsi="Arial" w:cs="Arial"/>
          <w:sz w:val="16"/>
          <w:szCs w:val="16"/>
        </w:rPr>
      </w:pPr>
    </w:p>
  </w:footnote>
  <w:footnote w:id="18">
    <w:p w14:paraId="301D2AF2" w14:textId="77777777" w:rsidR="00534C94" w:rsidRPr="00C936FE" w:rsidRDefault="00534C94" w:rsidP="00534C94">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N°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6A055809" w14:textId="77777777" w:rsidR="00534C94" w:rsidRPr="00C936FE" w:rsidRDefault="00534C94" w:rsidP="00534C94">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6A0F2E1A" w14:textId="77777777" w:rsidR="00534C94" w:rsidRDefault="00534C94" w:rsidP="00534C94">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585F" w14:textId="77777777" w:rsidR="009A5D23" w:rsidRPr="00D63CCE" w:rsidRDefault="009A5D23" w:rsidP="0043010F">
    <w:pPr>
      <w:pStyle w:val="Ttulo3"/>
      <w:spacing w:before="720"/>
      <w:ind w:left="5664"/>
      <w:rPr>
        <w:sz w:val="15"/>
        <w:szCs w:val="15"/>
      </w:rPr>
    </w:pPr>
    <w:r>
      <w:rPr>
        <w:noProof/>
        <w:sz w:val="16"/>
        <w:szCs w:val="16"/>
      </w:rPr>
      <w:drawing>
        <wp:anchor distT="0" distB="0" distL="114300" distR="114300" simplePos="0" relativeHeight="251659264" behindDoc="0" locked="0" layoutInCell="1" allowOverlap="1" wp14:anchorId="3DBCD395" wp14:editId="100DBECB">
          <wp:simplePos x="0" y="0"/>
          <wp:positionH relativeFrom="margin">
            <wp:align>left</wp:align>
          </wp:positionH>
          <wp:positionV relativeFrom="paragraph">
            <wp:posOffset>466725</wp:posOffset>
          </wp:positionV>
          <wp:extent cx="3432810" cy="577850"/>
          <wp:effectExtent l="0" t="0" r="0" b="0"/>
          <wp:wrapSquare wrapText="bothSides"/>
          <wp:docPr id="80065742" name="Imagen 80065742"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3281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3801101D">
      <w:rPr>
        <w:rFonts w:ascii="Arial Narrow" w:eastAsia="Arial Narrow" w:hAnsi="Arial Narrow" w:cs="Arial Narrow"/>
        <w:i/>
        <w:iCs/>
        <w:color w:val="000000"/>
        <w:sz w:val="15"/>
        <w:szCs w:val="15"/>
      </w:rPr>
      <w:t xml:space="preserve">               COMISIÓN DE PROTECCIÓN AL CONSUMIDOR 1 </w:t>
    </w:r>
  </w:p>
  <w:p w14:paraId="52A1049C" w14:textId="77777777" w:rsidR="009A5D23" w:rsidRDefault="009A5D23" w:rsidP="0052659B">
    <w:pPr>
      <w:jc w:val="right"/>
      <w:rPr>
        <w:sz w:val="15"/>
        <w:szCs w:val="15"/>
      </w:rPr>
    </w:pPr>
    <w:r w:rsidRPr="00D63CCE">
      <w:rPr>
        <w:rFonts w:ascii="Arial Narrow" w:eastAsia="Arial Narrow" w:hAnsi="Arial Narrow" w:cs="Arial Narrow"/>
        <w:b/>
        <w:i/>
        <w:sz w:val="15"/>
        <w:szCs w:val="15"/>
      </w:rPr>
      <w:t>SEDE CENTRAL</w:t>
    </w:r>
  </w:p>
  <w:p w14:paraId="063AB52F" w14:textId="70C6D953" w:rsidR="009A5D23" w:rsidRPr="0052659B" w:rsidRDefault="009A5D23" w:rsidP="0052659B">
    <w:pPr>
      <w:jc w:val="right"/>
      <w:rPr>
        <w:sz w:val="15"/>
        <w:szCs w:val="15"/>
      </w:rPr>
    </w:pPr>
    <w:r w:rsidRPr="00D63CCE">
      <w:rPr>
        <w:rFonts w:ascii="Arial Narrow" w:eastAsia="Arial Narrow" w:hAnsi="Arial Narrow" w:cs="Arial Narrow"/>
        <w:b/>
        <w:i/>
        <w:sz w:val="15"/>
        <w:szCs w:val="15"/>
      </w:rPr>
      <w:tab/>
    </w:r>
    <w:r w:rsidRPr="00D63CCE">
      <w:rPr>
        <w:rFonts w:ascii="Arial Narrow" w:eastAsia="Arial Narrow" w:hAnsi="Arial Narrow" w:cs="Arial Narrow"/>
        <w:b/>
        <w:i/>
        <w:sz w:val="15"/>
        <w:szCs w:val="15"/>
      </w:rPr>
      <w:tab/>
      <w:t xml:space="preserve">EXPEDIENTE  </w:t>
    </w:r>
    <w:r w:rsidR="00975ED0" w:rsidRPr="00975ED0">
      <w:rPr>
        <w:rFonts w:ascii="Arial Narrow" w:eastAsia="Arial Narrow" w:hAnsi="Arial Narrow" w:cs="Arial Narrow"/>
        <w:b/>
        <w:i/>
        <w:sz w:val="15"/>
        <w:szCs w:val="15"/>
      </w:rPr>
      <w:t>2437-2026/CC1</w:t>
    </w:r>
  </w:p>
  <w:p w14:paraId="15457DC1" w14:textId="77777777" w:rsidR="009A5D23" w:rsidRDefault="009A5D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498"/>
    <w:multiLevelType w:val="multilevel"/>
    <w:tmpl w:val="D6DEA580"/>
    <w:lvl w:ilvl="0">
      <w:start w:val="1"/>
      <w:numFmt w:val="lowerLetter"/>
      <w:lvlText w:val="%1."/>
      <w:lvlJc w:val="left"/>
      <w:pPr>
        <w:ind w:left="720" w:firstLine="1080"/>
      </w:pPr>
      <w:rPr>
        <w:u w:val="none"/>
      </w:rPr>
    </w:lvl>
    <w:lvl w:ilvl="1">
      <w:start w:val="1"/>
      <w:numFmt w:val="lowerRoman"/>
      <w:lvlText w:val="%2."/>
      <w:lvlJc w:val="left"/>
      <w:pPr>
        <w:ind w:left="1440" w:firstLine="2520"/>
      </w:pPr>
      <w:rPr>
        <w:u w:val="none"/>
      </w:rPr>
    </w:lvl>
    <w:lvl w:ilvl="2">
      <w:start w:val="1"/>
      <w:numFmt w:val="decimal"/>
      <w:lvlText w:val="%3."/>
      <w:lvlJc w:val="right"/>
      <w:pPr>
        <w:ind w:left="2160" w:firstLine="3960"/>
      </w:pPr>
      <w:rPr>
        <w:u w:val="none"/>
      </w:rPr>
    </w:lvl>
    <w:lvl w:ilvl="3">
      <w:start w:val="1"/>
      <w:numFmt w:val="lowerLetter"/>
      <w:lvlText w:val="%4."/>
      <w:lvlJc w:val="left"/>
      <w:pPr>
        <w:ind w:left="2880" w:firstLine="5400"/>
      </w:pPr>
      <w:rPr>
        <w:u w:val="none"/>
      </w:rPr>
    </w:lvl>
    <w:lvl w:ilvl="4">
      <w:start w:val="1"/>
      <w:numFmt w:val="lowerRoman"/>
      <w:lvlText w:val="%5."/>
      <w:lvlJc w:val="left"/>
      <w:pPr>
        <w:ind w:left="3600" w:firstLine="6840"/>
      </w:pPr>
      <w:rPr>
        <w:u w:val="none"/>
      </w:rPr>
    </w:lvl>
    <w:lvl w:ilvl="5">
      <w:start w:val="1"/>
      <w:numFmt w:val="decimal"/>
      <w:lvlText w:val="%6."/>
      <w:lvlJc w:val="right"/>
      <w:pPr>
        <w:ind w:left="4320" w:firstLine="8280"/>
      </w:pPr>
      <w:rPr>
        <w:u w:val="none"/>
      </w:rPr>
    </w:lvl>
    <w:lvl w:ilvl="6">
      <w:start w:val="1"/>
      <w:numFmt w:val="lowerLetter"/>
      <w:lvlText w:val="%7."/>
      <w:lvlJc w:val="left"/>
      <w:pPr>
        <w:ind w:left="5040" w:firstLine="9720"/>
      </w:pPr>
      <w:rPr>
        <w:u w:val="none"/>
      </w:rPr>
    </w:lvl>
    <w:lvl w:ilvl="7">
      <w:start w:val="1"/>
      <w:numFmt w:val="lowerRoman"/>
      <w:lvlText w:val="%8."/>
      <w:lvlJc w:val="left"/>
      <w:pPr>
        <w:ind w:left="5760" w:firstLine="11160"/>
      </w:pPr>
      <w:rPr>
        <w:u w:val="none"/>
      </w:rPr>
    </w:lvl>
    <w:lvl w:ilvl="8">
      <w:start w:val="1"/>
      <w:numFmt w:val="decimal"/>
      <w:lvlText w:val="%9."/>
      <w:lvlJc w:val="right"/>
      <w:pPr>
        <w:ind w:left="6480" w:firstLine="12600"/>
      </w:pPr>
      <w:rPr>
        <w:u w:val="none"/>
      </w:rPr>
    </w:lvl>
  </w:abstractNum>
  <w:abstractNum w:abstractNumId="1"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FC6742"/>
    <w:multiLevelType w:val="hybridMultilevel"/>
    <w:tmpl w:val="F574E6C6"/>
    <w:lvl w:ilvl="0" w:tplc="73305C1C">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43777D64"/>
    <w:multiLevelType w:val="hybridMultilevel"/>
    <w:tmpl w:val="6CA2F77C"/>
    <w:lvl w:ilvl="0" w:tplc="5844BE98">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5" w15:restartNumberingAfterBreak="0">
    <w:nsid w:val="4446701A"/>
    <w:multiLevelType w:val="multilevel"/>
    <w:tmpl w:val="A53C6636"/>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 w15:restartNumberingAfterBreak="0">
    <w:nsid w:val="45115A6F"/>
    <w:multiLevelType w:val="multilevel"/>
    <w:tmpl w:val="1D7A3A1C"/>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7" w15:restartNumberingAfterBreak="0">
    <w:nsid w:val="481F1E53"/>
    <w:multiLevelType w:val="multilevel"/>
    <w:tmpl w:val="00CE1BFA"/>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8"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9" w15:restartNumberingAfterBreak="0">
    <w:nsid w:val="546B5846"/>
    <w:multiLevelType w:val="multilevel"/>
    <w:tmpl w:val="7BBC771A"/>
    <w:lvl w:ilvl="0">
      <w:start w:val="1"/>
      <w:numFmt w:val="decimal"/>
      <w:lvlText w:val="%1."/>
      <w:lvlJc w:val="left"/>
      <w:pPr>
        <w:ind w:left="720" w:firstLine="1080"/>
      </w:pPr>
    </w:lvl>
    <w:lvl w:ilvl="1">
      <w:start w:val="1"/>
      <w:numFmt w:val="lowerRoman"/>
      <w:lvlText w:val="(%2)"/>
      <w:lvlJc w:val="left"/>
      <w:pPr>
        <w:ind w:left="1800" w:firstLine="288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0" w15:restartNumberingAfterBreak="0">
    <w:nsid w:val="5AA82DD3"/>
    <w:multiLevelType w:val="multilevel"/>
    <w:tmpl w:val="6F2EBDE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1" w15:restartNumberingAfterBreak="0">
    <w:nsid w:val="5C1C64DA"/>
    <w:multiLevelType w:val="multilevel"/>
    <w:tmpl w:val="BFBE8E3E"/>
    <w:lvl w:ilvl="0">
      <w:start w:val="1"/>
      <w:numFmt w:val="decimal"/>
      <w:lvlText w:val="%1."/>
      <w:lvlJc w:val="left"/>
      <w:pPr>
        <w:ind w:left="502" w:firstLine="644"/>
      </w:pPr>
      <w:rPr>
        <w:rFonts w:ascii="Arial" w:eastAsia="Arial" w:hAnsi="Arial" w:cs="Arial" w:hint="default"/>
        <w:b w:val="0"/>
        <w:i w:val="0"/>
        <w:sz w:val="22"/>
        <w:szCs w:val="22"/>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2" w15:restartNumberingAfterBreak="0">
    <w:nsid w:val="621502B3"/>
    <w:multiLevelType w:val="multilevel"/>
    <w:tmpl w:val="6E10E7AE"/>
    <w:lvl w:ilvl="0">
      <w:start w:val="1"/>
      <w:numFmt w:val="decimal"/>
      <w:lvlText w:val="%1."/>
      <w:lvlJc w:val="left"/>
      <w:pPr>
        <w:ind w:left="900" w:firstLine="1440"/>
      </w:pPr>
    </w:lvl>
    <w:lvl w:ilvl="1">
      <w:start w:val="1"/>
      <w:numFmt w:val="decimal"/>
      <w:lvlText w:val="%1.%2"/>
      <w:lvlJc w:val="left"/>
      <w:pPr>
        <w:ind w:left="900" w:firstLine="1440"/>
      </w:pPr>
    </w:lvl>
    <w:lvl w:ilvl="2">
      <w:start w:val="1"/>
      <w:numFmt w:val="decimal"/>
      <w:lvlText w:val="%1.%2.%3"/>
      <w:lvlJc w:val="left"/>
      <w:pPr>
        <w:ind w:left="900" w:firstLine="1440"/>
      </w:pPr>
    </w:lvl>
    <w:lvl w:ilvl="3">
      <w:start w:val="1"/>
      <w:numFmt w:val="decimal"/>
      <w:lvlText w:val="%1.%2.%3.%4"/>
      <w:lvlJc w:val="left"/>
      <w:pPr>
        <w:ind w:left="1260" w:firstLine="1800"/>
      </w:pPr>
    </w:lvl>
    <w:lvl w:ilvl="4">
      <w:start w:val="1"/>
      <w:numFmt w:val="decimal"/>
      <w:lvlText w:val="%1.%2.%3.%4.%5"/>
      <w:lvlJc w:val="left"/>
      <w:pPr>
        <w:ind w:left="1260" w:firstLine="1800"/>
      </w:pPr>
    </w:lvl>
    <w:lvl w:ilvl="5">
      <w:start w:val="1"/>
      <w:numFmt w:val="decimal"/>
      <w:lvlText w:val="%1.%2.%3.%4.%5.%6"/>
      <w:lvlJc w:val="left"/>
      <w:pPr>
        <w:ind w:left="1620" w:firstLine="2160"/>
      </w:pPr>
    </w:lvl>
    <w:lvl w:ilvl="6">
      <w:start w:val="1"/>
      <w:numFmt w:val="decimal"/>
      <w:lvlText w:val="%1.%2.%3.%4.%5.%6.%7"/>
      <w:lvlJc w:val="left"/>
      <w:pPr>
        <w:ind w:left="1620" w:firstLine="2160"/>
      </w:pPr>
    </w:lvl>
    <w:lvl w:ilvl="7">
      <w:start w:val="1"/>
      <w:numFmt w:val="decimal"/>
      <w:lvlText w:val="%1.%2.%3.%4.%5.%6.%7.%8"/>
      <w:lvlJc w:val="left"/>
      <w:pPr>
        <w:ind w:left="1620" w:firstLine="2160"/>
      </w:pPr>
    </w:lvl>
    <w:lvl w:ilvl="8">
      <w:start w:val="1"/>
      <w:numFmt w:val="decimal"/>
      <w:lvlText w:val="%1.%2.%3.%4.%5.%6.%7.%8.%9"/>
      <w:lvlJc w:val="left"/>
      <w:pPr>
        <w:ind w:left="1980" w:firstLine="2520"/>
      </w:pPr>
    </w:lvl>
  </w:abstractNum>
  <w:abstractNum w:abstractNumId="13" w15:restartNumberingAfterBreak="0">
    <w:nsid w:val="669B12E7"/>
    <w:multiLevelType w:val="multilevel"/>
    <w:tmpl w:val="BA4C6C9C"/>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14" w15:restartNumberingAfterBreak="0">
    <w:nsid w:val="68A42048"/>
    <w:multiLevelType w:val="hybridMultilevel"/>
    <w:tmpl w:val="DBBA05BE"/>
    <w:lvl w:ilvl="0" w:tplc="10481EDA">
      <w:start w:val="33"/>
      <w:numFmt w:val="bullet"/>
      <w:lvlText w:val=""/>
      <w:lvlJc w:val="left"/>
      <w:pPr>
        <w:ind w:left="720" w:hanging="360"/>
      </w:pPr>
      <w:rPr>
        <w:rFonts w:ascii="Symbol" w:eastAsia="Calibri"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BE45011"/>
    <w:multiLevelType w:val="multilevel"/>
    <w:tmpl w:val="9B324D60"/>
    <w:lvl w:ilvl="0">
      <w:start w:val="1"/>
      <w:numFmt w:val="decimal"/>
      <w:lvlText w:val="%1."/>
      <w:lvlJc w:val="left"/>
      <w:pPr>
        <w:ind w:left="720" w:firstLine="1080"/>
      </w:pPr>
      <w:rPr>
        <w:rFonts w:hint="default"/>
      </w:rPr>
    </w:lvl>
    <w:lvl w:ilvl="1">
      <w:start w:val="3"/>
      <w:numFmt w:val="lowerRoman"/>
      <w:lvlText w:val="(%2)"/>
      <w:lvlJc w:val="left"/>
      <w:pPr>
        <w:ind w:left="1800" w:firstLine="288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num w:numId="1" w16cid:durableId="2126653741">
    <w:abstractNumId w:val="11"/>
  </w:num>
  <w:num w:numId="2" w16cid:durableId="735012625">
    <w:abstractNumId w:val="12"/>
  </w:num>
  <w:num w:numId="3" w16cid:durableId="489642157">
    <w:abstractNumId w:val="9"/>
  </w:num>
  <w:num w:numId="4" w16cid:durableId="1349871669">
    <w:abstractNumId w:val="5"/>
  </w:num>
  <w:num w:numId="5" w16cid:durableId="1004475783">
    <w:abstractNumId w:val="6"/>
  </w:num>
  <w:num w:numId="6" w16cid:durableId="189031116">
    <w:abstractNumId w:val="13"/>
  </w:num>
  <w:num w:numId="7" w16cid:durableId="1106196949">
    <w:abstractNumId w:val="0"/>
  </w:num>
  <w:num w:numId="8" w16cid:durableId="515730892">
    <w:abstractNumId w:val="8"/>
  </w:num>
  <w:num w:numId="9" w16cid:durableId="1433089435">
    <w:abstractNumId w:val="10"/>
  </w:num>
  <w:num w:numId="10" w16cid:durableId="1661544382">
    <w:abstractNumId w:val="7"/>
  </w:num>
  <w:num w:numId="11" w16cid:durableId="16932661">
    <w:abstractNumId w:val="15"/>
  </w:num>
  <w:num w:numId="12" w16cid:durableId="745498567">
    <w:abstractNumId w:val="14"/>
  </w:num>
  <w:num w:numId="13" w16cid:durableId="1013564">
    <w:abstractNumId w:val="2"/>
  </w:num>
  <w:num w:numId="14" w16cid:durableId="1919250163">
    <w:abstractNumId w:val="4"/>
  </w:num>
  <w:num w:numId="15" w16cid:durableId="1121462889">
    <w:abstractNumId w:val="3"/>
  </w:num>
  <w:num w:numId="16" w16cid:durableId="1040321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12D"/>
    <w:rsid w:val="00025D1B"/>
    <w:rsid w:val="000510B1"/>
    <w:rsid w:val="000843F1"/>
    <w:rsid w:val="000A06E3"/>
    <w:rsid w:val="000B3413"/>
    <w:rsid w:val="000E35A2"/>
    <w:rsid w:val="000F4361"/>
    <w:rsid w:val="000F62D4"/>
    <w:rsid w:val="00147027"/>
    <w:rsid w:val="00165E91"/>
    <w:rsid w:val="00174643"/>
    <w:rsid w:val="001A2425"/>
    <w:rsid w:val="001B461C"/>
    <w:rsid w:val="001B5674"/>
    <w:rsid w:val="001B6FB2"/>
    <w:rsid w:val="001D0FB3"/>
    <w:rsid w:val="001E6D4C"/>
    <w:rsid w:val="0021001B"/>
    <w:rsid w:val="002436B6"/>
    <w:rsid w:val="00271629"/>
    <w:rsid w:val="00271C1B"/>
    <w:rsid w:val="002A612D"/>
    <w:rsid w:val="002C5700"/>
    <w:rsid w:val="002E3A6F"/>
    <w:rsid w:val="00302247"/>
    <w:rsid w:val="00356519"/>
    <w:rsid w:val="00414C1E"/>
    <w:rsid w:val="00422C7D"/>
    <w:rsid w:val="00443E27"/>
    <w:rsid w:val="004442B4"/>
    <w:rsid w:val="00444E96"/>
    <w:rsid w:val="00473204"/>
    <w:rsid w:val="004B47FB"/>
    <w:rsid w:val="004C266A"/>
    <w:rsid w:val="00516867"/>
    <w:rsid w:val="00534C94"/>
    <w:rsid w:val="005377AC"/>
    <w:rsid w:val="0055433C"/>
    <w:rsid w:val="00567D29"/>
    <w:rsid w:val="00590F73"/>
    <w:rsid w:val="005B0DC0"/>
    <w:rsid w:val="005B6AC3"/>
    <w:rsid w:val="005F427B"/>
    <w:rsid w:val="00642CE0"/>
    <w:rsid w:val="00646139"/>
    <w:rsid w:val="006C1F73"/>
    <w:rsid w:val="007355E9"/>
    <w:rsid w:val="0076546F"/>
    <w:rsid w:val="0076700A"/>
    <w:rsid w:val="00783B80"/>
    <w:rsid w:val="007876EB"/>
    <w:rsid w:val="00790418"/>
    <w:rsid w:val="007A16EE"/>
    <w:rsid w:val="007B01C3"/>
    <w:rsid w:val="007E60F3"/>
    <w:rsid w:val="007F5A2D"/>
    <w:rsid w:val="008147E2"/>
    <w:rsid w:val="00820424"/>
    <w:rsid w:val="0082557C"/>
    <w:rsid w:val="00827578"/>
    <w:rsid w:val="008727CA"/>
    <w:rsid w:val="008867FB"/>
    <w:rsid w:val="008A1D54"/>
    <w:rsid w:val="008A2426"/>
    <w:rsid w:val="008C36A5"/>
    <w:rsid w:val="008C55EE"/>
    <w:rsid w:val="008C7EB3"/>
    <w:rsid w:val="008E293F"/>
    <w:rsid w:val="008F3D99"/>
    <w:rsid w:val="009355A7"/>
    <w:rsid w:val="0094540B"/>
    <w:rsid w:val="00975ED0"/>
    <w:rsid w:val="009A5456"/>
    <w:rsid w:val="009A5D23"/>
    <w:rsid w:val="009B0B29"/>
    <w:rsid w:val="009C4EE6"/>
    <w:rsid w:val="009E063D"/>
    <w:rsid w:val="009F43D6"/>
    <w:rsid w:val="00A05235"/>
    <w:rsid w:val="00A114DE"/>
    <w:rsid w:val="00A74D3B"/>
    <w:rsid w:val="00AA6F9A"/>
    <w:rsid w:val="00B054EE"/>
    <w:rsid w:val="00B45293"/>
    <w:rsid w:val="00B52688"/>
    <w:rsid w:val="00B8275F"/>
    <w:rsid w:val="00B84C24"/>
    <w:rsid w:val="00BC2DD1"/>
    <w:rsid w:val="00BD2BAA"/>
    <w:rsid w:val="00BD7310"/>
    <w:rsid w:val="00BE090A"/>
    <w:rsid w:val="00C03B29"/>
    <w:rsid w:val="00C26D4F"/>
    <w:rsid w:val="00C42245"/>
    <w:rsid w:val="00C4316C"/>
    <w:rsid w:val="00C70073"/>
    <w:rsid w:val="00C72AEC"/>
    <w:rsid w:val="00C73E65"/>
    <w:rsid w:val="00C874BF"/>
    <w:rsid w:val="00CA0294"/>
    <w:rsid w:val="00CD0C8E"/>
    <w:rsid w:val="00CE4CFF"/>
    <w:rsid w:val="00D1170E"/>
    <w:rsid w:val="00D26011"/>
    <w:rsid w:val="00D353CF"/>
    <w:rsid w:val="00D40312"/>
    <w:rsid w:val="00D417A9"/>
    <w:rsid w:val="00D4786B"/>
    <w:rsid w:val="00D6640B"/>
    <w:rsid w:val="00D83D94"/>
    <w:rsid w:val="00DC2BC6"/>
    <w:rsid w:val="00DD1351"/>
    <w:rsid w:val="00DD79DE"/>
    <w:rsid w:val="00DF7C3E"/>
    <w:rsid w:val="00E216A9"/>
    <w:rsid w:val="00E6440E"/>
    <w:rsid w:val="00E70B7A"/>
    <w:rsid w:val="00E963B6"/>
    <w:rsid w:val="00EA75C7"/>
    <w:rsid w:val="00EC2178"/>
    <w:rsid w:val="00FC3B52"/>
    <w:rsid w:val="00FC6D73"/>
    <w:rsid w:val="00FD5CD9"/>
    <w:rsid w:val="00FF7E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134D"/>
  <w15:chartTrackingRefBased/>
  <w15:docId w15:val="{E3C68DDB-F48C-4D87-9E9B-34169A924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6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6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61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61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61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61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61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61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61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61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61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61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61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61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61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61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61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612D"/>
    <w:rPr>
      <w:rFonts w:eastAsiaTheme="majorEastAsia" w:cstheme="majorBidi"/>
      <w:color w:val="272727" w:themeColor="text1" w:themeTint="D8"/>
    </w:rPr>
  </w:style>
  <w:style w:type="paragraph" w:styleId="Ttulo">
    <w:name w:val="Title"/>
    <w:basedOn w:val="Normal"/>
    <w:next w:val="Normal"/>
    <w:link w:val="TtuloCar"/>
    <w:uiPriority w:val="10"/>
    <w:qFormat/>
    <w:rsid w:val="002A6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61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61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61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612D"/>
    <w:pPr>
      <w:spacing w:before="160"/>
      <w:jc w:val="center"/>
    </w:pPr>
    <w:rPr>
      <w:i/>
      <w:iCs/>
      <w:color w:val="404040" w:themeColor="text1" w:themeTint="BF"/>
    </w:rPr>
  </w:style>
  <w:style w:type="character" w:customStyle="1" w:styleId="CitaCar">
    <w:name w:val="Cita Car"/>
    <w:basedOn w:val="Fuentedeprrafopredeter"/>
    <w:link w:val="Cita"/>
    <w:uiPriority w:val="29"/>
    <w:rsid w:val="002A612D"/>
    <w:rPr>
      <w:i/>
      <w:iCs/>
      <w:color w:val="404040" w:themeColor="text1" w:themeTint="BF"/>
    </w:rPr>
  </w:style>
  <w:style w:type="paragraph" w:styleId="Prrafodelista">
    <w:name w:val="List Paragraph"/>
    <w:basedOn w:val="Normal"/>
    <w:uiPriority w:val="34"/>
    <w:qFormat/>
    <w:rsid w:val="002A612D"/>
    <w:pPr>
      <w:ind w:left="720"/>
      <w:contextualSpacing/>
    </w:pPr>
  </w:style>
  <w:style w:type="character" w:styleId="nfasisintenso">
    <w:name w:val="Intense Emphasis"/>
    <w:basedOn w:val="Fuentedeprrafopredeter"/>
    <w:uiPriority w:val="21"/>
    <w:qFormat/>
    <w:rsid w:val="002A612D"/>
    <w:rPr>
      <w:i/>
      <w:iCs/>
      <w:color w:val="0F4761" w:themeColor="accent1" w:themeShade="BF"/>
    </w:rPr>
  </w:style>
  <w:style w:type="paragraph" w:styleId="Citadestacada">
    <w:name w:val="Intense Quote"/>
    <w:basedOn w:val="Normal"/>
    <w:next w:val="Normal"/>
    <w:link w:val="CitadestacadaCar"/>
    <w:uiPriority w:val="30"/>
    <w:qFormat/>
    <w:rsid w:val="002A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612D"/>
    <w:rPr>
      <w:i/>
      <w:iCs/>
      <w:color w:val="0F4761" w:themeColor="accent1" w:themeShade="BF"/>
    </w:rPr>
  </w:style>
  <w:style w:type="character" w:styleId="Referenciaintensa">
    <w:name w:val="Intense Reference"/>
    <w:basedOn w:val="Fuentedeprrafopredeter"/>
    <w:uiPriority w:val="32"/>
    <w:qFormat/>
    <w:rsid w:val="002A612D"/>
    <w:rPr>
      <w:b/>
      <w:bCs/>
      <w:smallCaps/>
      <w:color w:val="0F4761" w:themeColor="accent1" w:themeShade="BF"/>
      <w:spacing w:val="5"/>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2A612D"/>
    <w:pPr>
      <w:spacing w:after="0" w:line="240" w:lineRule="auto"/>
    </w:pPr>
    <w:rPr>
      <w:rFonts w:ascii="Times New Roman" w:eastAsia="Times New Roman" w:hAnsi="Times New Roman" w:cs="Times New Roman"/>
      <w:color w:val="000000"/>
      <w:kern w:val="0"/>
      <w:sz w:val="20"/>
      <w:szCs w:val="20"/>
      <w:lang w:eastAsia="es-PE"/>
      <w14:ligatures w14:val="none"/>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2A612D"/>
    <w:rPr>
      <w:rFonts w:ascii="Times New Roman" w:eastAsia="Times New Roman" w:hAnsi="Times New Roman" w:cs="Times New Roman"/>
      <w:color w:val="000000"/>
      <w:kern w:val="0"/>
      <w:sz w:val="20"/>
      <w:szCs w:val="20"/>
      <w:lang w:eastAsia="es-PE"/>
      <w14:ligatures w14:val="non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2A612D"/>
    <w:rPr>
      <w:vertAlign w:val="superscript"/>
    </w:rPr>
  </w:style>
  <w:style w:type="character" w:customStyle="1" w:styleId="Hipervnculo1">
    <w:name w:val="Hipervínculo1"/>
    <w:basedOn w:val="Fuentedeprrafopredeter"/>
    <w:uiPriority w:val="99"/>
    <w:unhideWhenUsed/>
    <w:rsid w:val="002A612D"/>
    <w:rPr>
      <w:color w:val="0563C1"/>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2A612D"/>
    <w:pPr>
      <w:spacing w:after="200" w:line="276" w:lineRule="auto"/>
    </w:pPr>
    <w:rPr>
      <w:vertAlign w:val="superscript"/>
    </w:rPr>
  </w:style>
  <w:style w:type="paragraph" w:styleId="Encabezado">
    <w:name w:val="header"/>
    <w:basedOn w:val="Normal"/>
    <w:link w:val="EncabezadoCar"/>
    <w:uiPriority w:val="99"/>
    <w:unhideWhenUsed/>
    <w:rsid w:val="002A612D"/>
    <w:pPr>
      <w:tabs>
        <w:tab w:val="center" w:pos="4252"/>
        <w:tab w:val="right" w:pos="8504"/>
      </w:tabs>
      <w:spacing w:after="0" w:line="240" w:lineRule="auto"/>
    </w:pPr>
    <w:rPr>
      <w:rFonts w:ascii="Calibri" w:eastAsia="Calibri" w:hAnsi="Calibri" w:cs="Calibri"/>
      <w:color w:val="000000"/>
      <w:kern w:val="0"/>
      <w:lang w:eastAsia="es-PE"/>
      <w14:ligatures w14:val="none"/>
    </w:rPr>
  </w:style>
  <w:style w:type="character" w:customStyle="1" w:styleId="EncabezadoCar">
    <w:name w:val="Encabezado Car"/>
    <w:basedOn w:val="Fuentedeprrafopredeter"/>
    <w:link w:val="Encabezado"/>
    <w:uiPriority w:val="99"/>
    <w:rsid w:val="002A612D"/>
    <w:rPr>
      <w:rFonts w:ascii="Calibri" w:eastAsia="Calibri" w:hAnsi="Calibri" w:cs="Calibri"/>
      <w:color w:val="000000"/>
      <w:kern w:val="0"/>
      <w:lang w:eastAsia="es-PE"/>
      <w14:ligatures w14:val="none"/>
    </w:rPr>
  </w:style>
  <w:style w:type="paragraph" w:styleId="Piedepgina">
    <w:name w:val="footer"/>
    <w:basedOn w:val="Normal"/>
    <w:link w:val="PiedepginaCar"/>
    <w:uiPriority w:val="99"/>
    <w:unhideWhenUsed/>
    <w:rsid w:val="002A612D"/>
    <w:pPr>
      <w:tabs>
        <w:tab w:val="center" w:pos="4252"/>
        <w:tab w:val="right" w:pos="8504"/>
      </w:tabs>
      <w:spacing w:after="0" w:line="240" w:lineRule="auto"/>
    </w:pPr>
    <w:rPr>
      <w:rFonts w:ascii="Calibri" w:eastAsia="Calibri" w:hAnsi="Calibri" w:cs="Calibri"/>
      <w:color w:val="000000"/>
      <w:kern w:val="0"/>
      <w:lang w:eastAsia="es-PE"/>
      <w14:ligatures w14:val="none"/>
    </w:rPr>
  </w:style>
  <w:style w:type="character" w:customStyle="1" w:styleId="PiedepginaCar">
    <w:name w:val="Pie de página Car"/>
    <w:basedOn w:val="Fuentedeprrafopredeter"/>
    <w:link w:val="Piedepgina"/>
    <w:uiPriority w:val="99"/>
    <w:rsid w:val="002A612D"/>
    <w:rPr>
      <w:rFonts w:ascii="Calibri" w:eastAsia="Calibri" w:hAnsi="Calibri" w:cs="Calibri"/>
      <w:color w:val="000000"/>
      <w:kern w:val="0"/>
      <w:lang w:eastAsia="es-PE"/>
      <w14:ligatures w14:val="none"/>
    </w:rPr>
  </w:style>
  <w:style w:type="paragraph" w:styleId="Sinespaciado">
    <w:name w:val="No Spacing"/>
    <w:link w:val="SinespaciadoCar"/>
    <w:uiPriority w:val="1"/>
    <w:qFormat/>
    <w:rsid w:val="002A612D"/>
    <w:pPr>
      <w:spacing w:after="0" w:line="240" w:lineRule="auto"/>
    </w:pPr>
    <w:rPr>
      <w:rFonts w:ascii="Arial" w:eastAsia="Arial" w:hAnsi="Arial" w:cs="Arial"/>
      <w:color w:val="000000"/>
      <w:kern w:val="0"/>
      <w:lang w:eastAsia="es-PE"/>
      <w14:ligatures w14:val="none"/>
    </w:rPr>
  </w:style>
  <w:style w:type="character" w:customStyle="1" w:styleId="SinespaciadoCar">
    <w:name w:val="Sin espaciado Car"/>
    <w:link w:val="Sinespaciado"/>
    <w:uiPriority w:val="1"/>
    <w:locked/>
    <w:rsid w:val="002A612D"/>
    <w:rPr>
      <w:rFonts w:ascii="Arial" w:eastAsia="Arial" w:hAnsi="Arial" w:cs="Arial"/>
      <w:color w:val="000000"/>
      <w:kern w:val="0"/>
      <w:lang w:eastAsia="es-PE"/>
      <w14:ligatures w14:val="none"/>
    </w:rPr>
  </w:style>
  <w:style w:type="character" w:styleId="Hipervnculo">
    <w:name w:val="Hyperlink"/>
    <w:basedOn w:val="Fuentedeprrafopredeter"/>
    <w:uiPriority w:val="99"/>
    <w:semiHidden/>
    <w:unhideWhenUsed/>
    <w:rsid w:val="002A612D"/>
    <w:rPr>
      <w:color w:val="467886" w:themeColor="hyperlink"/>
      <w:u w:val="single"/>
    </w:rPr>
  </w:style>
  <w:style w:type="character" w:styleId="Refdecomentario">
    <w:name w:val="annotation reference"/>
    <w:basedOn w:val="Fuentedeprrafopredeter"/>
    <w:uiPriority w:val="99"/>
    <w:semiHidden/>
    <w:unhideWhenUsed/>
    <w:rsid w:val="00FD5CD9"/>
    <w:rPr>
      <w:sz w:val="16"/>
      <w:szCs w:val="16"/>
    </w:rPr>
  </w:style>
  <w:style w:type="paragraph" w:styleId="Textocomentario">
    <w:name w:val="annotation text"/>
    <w:basedOn w:val="Normal"/>
    <w:link w:val="TextocomentarioCar"/>
    <w:uiPriority w:val="99"/>
    <w:unhideWhenUsed/>
    <w:rsid w:val="00FD5CD9"/>
    <w:pPr>
      <w:spacing w:line="240" w:lineRule="auto"/>
    </w:pPr>
    <w:rPr>
      <w:sz w:val="20"/>
      <w:szCs w:val="20"/>
    </w:rPr>
  </w:style>
  <w:style w:type="character" w:customStyle="1" w:styleId="TextocomentarioCar">
    <w:name w:val="Texto comentario Car"/>
    <w:basedOn w:val="Fuentedeprrafopredeter"/>
    <w:link w:val="Textocomentario"/>
    <w:uiPriority w:val="99"/>
    <w:rsid w:val="00FD5CD9"/>
    <w:rPr>
      <w:sz w:val="20"/>
      <w:szCs w:val="20"/>
    </w:rPr>
  </w:style>
  <w:style w:type="paragraph" w:styleId="Asuntodelcomentario">
    <w:name w:val="annotation subject"/>
    <w:basedOn w:val="Textocomentario"/>
    <w:next w:val="Textocomentario"/>
    <w:link w:val="AsuntodelcomentarioCar"/>
    <w:uiPriority w:val="99"/>
    <w:semiHidden/>
    <w:unhideWhenUsed/>
    <w:rsid w:val="00FD5CD9"/>
    <w:rPr>
      <w:b/>
      <w:bCs/>
    </w:rPr>
  </w:style>
  <w:style w:type="character" w:customStyle="1" w:styleId="AsuntodelcomentarioCar">
    <w:name w:val="Asunto del comentario Car"/>
    <w:basedOn w:val="TextocomentarioCar"/>
    <w:link w:val="Asuntodelcomentario"/>
    <w:uiPriority w:val="99"/>
    <w:semiHidden/>
    <w:rsid w:val="00FD5C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consultaruc.sunat.gob.pe/cl-ti-itmrconsruc/jcrS00Ali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581E5-855D-4186-ADBB-3238631E1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12</Pages>
  <Words>3430</Words>
  <Characters>18870</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45</cp:revision>
  <dcterms:created xsi:type="dcterms:W3CDTF">2024-07-31T17:23:00Z</dcterms:created>
  <dcterms:modified xsi:type="dcterms:W3CDTF">2026-08-13T17:08:00Z</dcterms:modified>
</cp:coreProperties>
</file>