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1E70C">
      <w:pPr>
        <w:jc w:val="center"/>
        <w:rPr>
          <w:rFonts w:hint="eastAsia"/>
          <w:b/>
          <w:bCs/>
          <w:sz w:val="52"/>
        </w:rPr>
      </w:pPr>
    </w:p>
    <w:p w14:paraId="1C8B2630">
      <w:pPr>
        <w:jc w:val="center"/>
        <w:rPr>
          <w:rFonts w:hint="eastAsia"/>
          <w:b/>
          <w:bCs/>
          <w:sz w:val="52"/>
        </w:rPr>
      </w:pPr>
    </w:p>
    <w:p w14:paraId="7679F868">
      <w:pPr>
        <w:jc w:val="center"/>
        <w:rPr>
          <w:rFonts w:hint="eastAsia"/>
          <w:b/>
          <w:bCs/>
          <w:sz w:val="52"/>
        </w:rPr>
      </w:pPr>
    </w:p>
    <w:p w14:paraId="48DF7921">
      <w:pPr>
        <w:rPr>
          <w:rFonts w:hint="eastAsia"/>
        </w:rPr>
      </w:pPr>
    </w:p>
    <w:p w14:paraId="55D4AF87">
      <w:pPr>
        <w:spacing w:before="0" w:after="200" w:line="240" w:lineRule="auto"/>
        <w:ind w:firstLine="0"/>
        <w:jc w:val="center"/>
        <w:rPr>
          <w:b/>
          <w:sz w:val="52"/>
          <w:szCs w:val="52"/>
        </w:rPr>
      </w:pPr>
      <w:r>
        <w:rPr>
          <w:rFonts w:ascii="Heiti SC" w:hAnsi="Heiti SC" w:eastAsia="Heiti SC"/>
          <w:b/>
          <w:i w:val="0"/>
          <w:color w:val="000000"/>
          <w:sz w:val="48"/>
        </w:rPr>
        <w:t>机器学习课程大作业报告</w:t>
      </w:r>
    </w:p>
    <w:p w14:paraId="6EFDE448">
      <w:pPr>
        <w:jc w:val="center"/>
        <w:rPr>
          <w:rFonts w:hint="eastAsia"/>
          <w:sz w:val="52"/>
          <w:szCs w:val="52"/>
        </w:rPr>
      </w:pPr>
    </w:p>
    <w:p w14:paraId="4A193BDD">
      <w:pPr>
        <w:jc w:val="center"/>
        <w:rPr>
          <w:rFonts w:hint="eastAsia"/>
          <w:sz w:val="52"/>
          <w:szCs w:val="52"/>
        </w:rPr>
      </w:pPr>
    </w:p>
    <w:p w14:paraId="1FC51DD6">
      <w:pPr>
        <w:jc w:val="center"/>
        <w:rPr>
          <w:rFonts w:hint="eastAsia"/>
          <w:sz w:val="52"/>
          <w:szCs w:val="52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 w14:paraId="23222222">
        <w:trPr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44C3DB92">
            <w:pPr>
              <w:spacing w:before="0"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题    目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0B8B2B43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22"/>
              </w:rPr>
              <w:t>基于机器学习的红酒质量预测研究</w:t>
            </w:r>
          </w:p>
        </w:tc>
      </w:tr>
      <w:tr w14:paraId="7F71E799">
        <w:trPr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649EFE35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学    院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43E642E6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14:paraId="1FC20686">
        <w:trPr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02F7B7D2">
            <w:pPr>
              <w:spacing w:before="0" w:after="0" w:line="276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专    业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211AE359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14:paraId="09CB8BFF">
        <w:trPr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51F830A4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姓    名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26078879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  <w:tr w14:paraId="00FCFAD6">
        <w:trPr>
          <w:trHeight w:val="315" w:hRule="atLeast"/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783FE525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学    号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5849A26A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color w:val="FF0000"/>
                <w:sz w:val="28"/>
                <w:szCs w:val="28"/>
              </w:rPr>
            </w:pPr>
          </w:p>
        </w:tc>
      </w:tr>
      <w:tr w14:paraId="68CCC019">
        <w:trPr>
          <w:trHeight w:val="315" w:hRule="atLeast"/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79A45A12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任课教师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22A474E6">
            <w:pPr>
              <w:spacing w:before="0" w:after="0" w:line="276" w:lineRule="auto"/>
              <w:ind w:firstLine="0"/>
              <w:jc w:val="center"/>
              <w:rPr>
                <w:rFonts w:hint="eastAsia" w:eastAsia="宋体"/>
                <w:b/>
                <w:sz w:val="28"/>
                <w:szCs w:val="28"/>
                <w:lang w:eastAsia="zh-CN"/>
              </w:rPr>
            </w:pPr>
          </w:p>
        </w:tc>
      </w:tr>
      <w:tr w14:paraId="6556DA24">
        <w:trPr>
          <w:trHeight w:val="315" w:hRule="atLeast"/>
          <w:jc w:val="center"/>
        </w:trPr>
        <w:tc>
          <w:tcPr>
            <w:tcW w:w="152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4C220BF8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成    绩</w:t>
            </w:r>
          </w:p>
        </w:tc>
        <w:tc>
          <w:tcPr>
            <w:tcW w:w="3765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 w14:paraId="4831117F">
            <w:pPr>
              <w:spacing w:before="0" w:after="0" w:line="276" w:lineRule="auto"/>
              <w:ind w:firstLine="0"/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471BC14C">
      <w:pPr>
        <w:spacing w:before="0" w:after="0" w:line="240" w:lineRule="auto"/>
        <w:ind w:firstLine="0"/>
        <w:rPr>
          <w:rFonts w:hint="eastAsia"/>
          <w:bCs/>
          <w:szCs w:val="21"/>
        </w:rPr>
      </w:pPr>
    </w:p>
    <w:p w14:paraId="676FC7F9">
      <w:pPr>
        <w:pStyle w:val="4"/>
        <w:spacing w:before="0" w:after="0" w:line="240" w:lineRule="auto"/>
        <w:ind w:firstLine="881" w:firstLineChars="200"/>
        <w:jc w:val="center"/>
        <w:rPr>
          <w:rFonts w:hint="eastAsia"/>
          <w:b/>
          <w:bCs/>
          <w:sz w:val="44"/>
        </w:rPr>
      </w:pPr>
    </w:p>
    <w:p w14:paraId="54DDBE42">
      <w:pPr>
        <w:pStyle w:val="4"/>
        <w:spacing w:before="0" w:after="0" w:line="240" w:lineRule="auto"/>
        <w:ind w:firstLine="881" w:firstLineChars="200"/>
        <w:jc w:val="center"/>
        <w:rPr>
          <w:rFonts w:hint="eastAsia"/>
          <w:b/>
          <w:bCs/>
          <w:sz w:val="44"/>
        </w:rPr>
      </w:pPr>
    </w:p>
    <w:p w14:paraId="4B5EE73C">
      <w:pPr>
        <w:pStyle w:val="4"/>
        <w:spacing w:before="0" w:after="0" w:line="240" w:lineRule="auto"/>
        <w:ind w:firstLine="881" w:firstLineChars="200"/>
        <w:jc w:val="center"/>
        <w:rPr>
          <w:rFonts w:hint="eastAsia"/>
          <w:b/>
          <w:bCs/>
          <w:sz w:val="44"/>
        </w:rPr>
      </w:pPr>
    </w:p>
    <w:p w14:paraId="65D743DF">
      <w:pPr>
        <w:pStyle w:val="4"/>
        <w:spacing w:before="0" w:after="0" w:line="240" w:lineRule="auto"/>
        <w:ind w:firstLine="881" w:firstLineChars="200"/>
        <w:jc w:val="center"/>
        <w:rPr>
          <w:rFonts w:hint="eastAsia"/>
          <w:b/>
          <w:bCs/>
          <w:sz w:val="44"/>
        </w:rPr>
      </w:pPr>
    </w:p>
    <w:p w14:paraId="0232F93F">
      <w:pPr>
        <w:pStyle w:val="4"/>
        <w:spacing w:before="0" w:after="0" w:line="240" w:lineRule="auto"/>
        <w:ind w:firstLine="0"/>
        <w:rPr>
          <w:rFonts w:hint="eastAsia"/>
          <w:b/>
          <w:bCs/>
          <w:sz w:val="44"/>
        </w:rPr>
      </w:pPr>
    </w:p>
    <w:p w14:paraId="3407A259">
      <w:pPr>
        <w:pStyle w:val="4"/>
        <w:spacing w:before="0" w:after="0"/>
        <w:jc w:val="center"/>
        <w:rPr>
          <w:rFonts w:hint="eastAsia"/>
          <w:b/>
          <w:bCs/>
          <w:sz w:val="44"/>
        </w:rPr>
      </w:pPr>
    </w:p>
    <w:p w14:paraId="77AE3966">
      <w:pPr>
        <w:rPr>
          <w:rFonts w:hint="eastAsia"/>
        </w:rPr>
      </w:pPr>
    </w:p>
    <w:p w14:paraId="1AA086EF">
      <w:pPr>
        <w:rPr>
          <w:rFonts w:hint="eastAsia"/>
        </w:rPr>
      </w:pPr>
    </w:p>
    <w:p w14:paraId="3D47A84B">
      <w:pPr>
        <w:rPr>
          <w:rFonts w:hint="eastAsia"/>
        </w:rPr>
      </w:pPr>
    </w:p>
    <w:p w14:paraId="28AEA3CC">
      <w:pPr>
        <w:rPr>
          <w:rFonts w:hint="eastAsia"/>
        </w:rPr>
      </w:pPr>
    </w:p>
    <w:p w14:paraId="76DCCBD3">
      <w:pPr>
        <w:rPr>
          <w:rFonts w:hint="eastAsia"/>
        </w:rPr>
      </w:pPr>
    </w:p>
    <w:p w14:paraId="020387C8">
      <w:pPr>
        <w:rPr>
          <w:rFonts w:hint="eastAsia"/>
        </w:rPr>
      </w:pPr>
    </w:p>
    <w:p w14:paraId="599EC29F">
      <w:pPr>
        <w:rPr>
          <w:rFonts w:hint="eastAsia"/>
        </w:rPr>
      </w:pPr>
    </w:p>
    <w:p w14:paraId="401BDAD0">
      <w:pPr>
        <w:rPr>
          <w:rFonts w:hint="eastAsia"/>
        </w:rPr>
      </w:pPr>
    </w:p>
    <w:p w14:paraId="466B7F2C">
      <w:pPr>
        <w:rPr>
          <w:rFonts w:hint="eastAsia"/>
        </w:rPr>
      </w:pPr>
    </w:p>
    <w:p w14:paraId="28F360B5">
      <w:pPr>
        <w:rPr>
          <w:rFonts w:hint="eastAsia"/>
        </w:rPr>
      </w:pPr>
    </w:p>
    <w:p w14:paraId="1EA17166">
      <w:pPr>
        <w:rPr>
          <w:rFonts w:hint="eastAsia"/>
        </w:rPr>
      </w:pPr>
    </w:p>
    <w:p w14:paraId="3DC529AA">
      <w:pPr>
        <w:rPr>
          <w:rFonts w:hint="eastAsia"/>
        </w:rPr>
      </w:pPr>
    </w:p>
    <w:p w14:paraId="6348B13D">
      <w:pPr>
        <w:rPr>
          <w:rFonts w:hint="eastAsia"/>
        </w:rPr>
      </w:pPr>
    </w:p>
    <w:p w14:paraId="39882CC9">
      <w:pPr>
        <w:spacing w:before="0" w:after="360" w:line="240" w:lineRule="auto"/>
        <w:ind w:firstLine="0"/>
        <w:jc w:val="center"/>
        <w:rPr>
          <w:rFonts w:eastAsia="黑体"/>
          <w:b/>
          <w:bCs/>
          <w:sz w:val="32"/>
        </w:rPr>
      </w:pPr>
      <w:r>
        <w:rPr>
          <w:rFonts w:ascii="Heiti SC" w:hAnsi="Heiti SC" w:eastAsia="Heiti SC"/>
          <w:b/>
          <w:i w:val="0"/>
          <w:color w:val="000000"/>
          <w:sz w:val="32"/>
        </w:rPr>
        <w:t>目 录</w:t>
      </w:r>
    </w:p>
    <w:p w14:paraId="1C1F7D1C">
      <w:pPr>
        <w:spacing w:line="300" w:lineRule="auto"/>
        <w:jc w:val="center"/>
        <w:rPr>
          <w:sz w:val="24"/>
        </w:rPr>
      </w:pPr>
    </w:p>
    <w:p w14:paraId="38EA7690">
      <w:pPr>
        <w:spacing w:line="300" w:lineRule="auto"/>
        <w:jc w:val="center"/>
        <w:rPr>
          <w:sz w:val="24"/>
        </w:rPr>
      </w:pPr>
    </w:p>
    <w:p w14:paraId="6758D8ED">
      <w:pPr>
        <w:spacing w:before="0" w:after="60" w:line="324" w:lineRule="auto"/>
        <w:ind w:firstLine="0"/>
        <w:jc w:val="left"/>
        <w:rPr>
          <w:rFonts w:eastAsia="黑体"/>
          <w:sz w:val="30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摘 要……………………………………………………………………………3</w:t>
      </w:r>
    </w:p>
    <w:p w14:paraId="2DE0E10C">
      <w:pPr>
        <w:spacing w:before="0" w:after="60" w:line="324" w:lineRule="auto"/>
        <w:ind w:firstLine="0"/>
        <w:jc w:val="left"/>
        <w:rPr>
          <w:rFonts w:ascii="黑体" w:eastAsia="黑体"/>
          <w:sz w:val="30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ABSTRACT………………………………………………………………………4</w:t>
      </w:r>
    </w:p>
    <w:p w14:paraId="626F3077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第一章 绪论……………………………………………………………………5</w:t>
      </w:r>
    </w:p>
    <w:p w14:paraId="21D2EE4F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第二章 数据集与方法…………………………………………………………6</w:t>
      </w:r>
    </w:p>
    <w:p w14:paraId="2AC19AAC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第三章 实验设计与模型优化…………………………………………………8</w:t>
      </w:r>
    </w:p>
    <w:p w14:paraId="63407706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第四章 实验结果与分析………………………………………………………10</w:t>
      </w:r>
    </w:p>
    <w:p w14:paraId="2179C734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第五章 结论与展望……………………………………………………………12</w:t>
      </w:r>
    </w:p>
    <w:p w14:paraId="23280002">
      <w:pPr>
        <w:spacing w:before="0" w:after="60" w:line="324" w:lineRule="auto"/>
        <w:ind w:firstLine="0"/>
        <w:jc w:val="left"/>
        <w:rPr>
          <w:rFonts w:ascii="黑体" w:hAnsi="宋体" w:eastAsia="黑体"/>
          <w:sz w:val="28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附录A 关键源代码……………………………………………………………13</w:t>
      </w:r>
    </w:p>
    <w:p w14:paraId="6DB2B783">
      <w:pPr>
        <w:spacing w:before="0" w:after="60" w:line="324" w:lineRule="auto"/>
        <w:ind w:firstLine="0"/>
        <w:jc w:val="left"/>
        <w:rPr>
          <w:rFonts w:ascii="黑体" w:eastAsia="黑体"/>
          <w:sz w:val="30"/>
        </w:rPr>
      </w:pPr>
      <w:r>
        <w:rPr>
          <w:rFonts w:ascii="Heiti SC" w:hAnsi="Heiti SC" w:eastAsia="Heiti SC"/>
          <w:b w:val="0"/>
          <w:i w:val="0"/>
          <w:color w:val="000000"/>
          <w:sz w:val="22"/>
        </w:rPr>
        <w:t>参考文献………………………………………………………………………14</w:t>
      </w:r>
    </w:p>
    <w:p w14:paraId="66BDDC2D">
      <w:pPr>
        <w:spacing w:line="300" w:lineRule="auto"/>
        <w:rPr>
          <w:rFonts w:ascii="黑体" w:hAnsi="宋体" w:eastAsia="黑体"/>
          <w:sz w:val="28"/>
        </w:rPr>
      </w:pPr>
    </w:p>
    <w:p w14:paraId="5EC8EAF5">
      <w:pPr>
        <w:spacing w:line="300" w:lineRule="auto"/>
        <w:rPr>
          <w:rFonts w:ascii="黑体" w:hAnsi="宋体" w:eastAsia="黑体"/>
          <w:sz w:val="28"/>
        </w:rPr>
      </w:pPr>
    </w:p>
    <w:p w14:paraId="20B7E9C1">
      <w:pPr>
        <w:spacing w:line="300" w:lineRule="auto"/>
        <w:rPr>
          <w:rFonts w:ascii="黑体" w:hAnsi="宋体" w:eastAsia="黑体"/>
          <w:sz w:val="28"/>
        </w:rPr>
      </w:pPr>
    </w:p>
    <w:p w14:paraId="047FEAE5">
      <w:pPr>
        <w:spacing w:line="300" w:lineRule="auto"/>
        <w:rPr>
          <w:rFonts w:ascii="黑体" w:hAnsi="宋体" w:eastAsia="黑体"/>
          <w:sz w:val="28"/>
        </w:rPr>
      </w:pPr>
    </w:p>
    <w:p w14:paraId="271CE250">
      <w:pPr>
        <w:spacing w:line="300" w:lineRule="auto"/>
        <w:rPr>
          <w:rFonts w:ascii="宋体" w:hAnsi="宋体"/>
          <w:sz w:val="24"/>
        </w:rPr>
      </w:pPr>
    </w:p>
    <w:p w14:paraId="124155DE">
      <w:pPr>
        <w:spacing w:line="300" w:lineRule="auto"/>
        <w:rPr>
          <w:sz w:val="32"/>
        </w:rPr>
      </w:pPr>
    </w:p>
    <w:p w14:paraId="63621EDC">
      <w:pPr>
        <w:spacing w:line="300" w:lineRule="auto"/>
        <w:rPr>
          <w:b/>
          <w:bCs/>
          <w:sz w:val="32"/>
        </w:rPr>
      </w:pPr>
    </w:p>
    <w:p w14:paraId="4A458682"/>
    <w:p w14:paraId="3FA8A439"/>
    <w:p w14:paraId="5095BB06"/>
    <w:p w14:paraId="33B18ADA"/>
    <w:p w14:paraId="57C0C506"/>
    <w:p w14:paraId="12CD29BA"/>
    <w:p w14:paraId="44078F8E"/>
    <w:p w14:paraId="2F57548B"/>
    <w:p w14:paraId="587DE77A"/>
    <w:p w14:paraId="543B00A6"/>
    <w:p w14:paraId="1E3F77CE"/>
    <w:p w14:paraId="3C76B57D"/>
    <w:p w14:paraId="782563CD"/>
    <w:p w14:paraId="606592AC"/>
    <w:p w14:paraId="7D082D1B"/>
    <w:p w14:paraId="43E49BA7"/>
    <w:p w14:paraId="12386DCE"/>
    <w:p w14:paraId="1A81EBE4"/>
    <w:p w14:paraId="6935B9C6"/>
    <w:p w14:paraId="5F00AC67"/>
    <w:p w14:paraId="6D386C4A"/>
    <w:p w14:paraId="212CC4D1"/>
    <w:p w14:paraId="3FE754D6">
      <w:pPr>
        <w:spacing w:line="300" w:lineRule="auto"/>
        <w:rPr>
          <w:rFonts w:eastAsia="黑体"/>
          <w:b/>
          <w:bCs/>
        </w:rPr>
      </w:pPr>
    </w:p>
    <w:p w14:paraId="363F4922">
      <w:pPr>
        <w:keepNext/>
        <w:spacing w:before="0" w:after="200" w:line="300" w:lineRule="auto"/>
        <w:jc w:val="center"/>
        <w:rPr>
          <w:rFonts w:eastAsia="黑体"/>
          <w:sz w:val="32"/>
        </w:rPr>
      </w:pPr>
      <w:r>
        <w:rPr>
          <w:rFonts w:ascii="Heiti SC" w:hAnsi="Heiti SC" w:eastAsia="Heiti SC"/>
          <w:b/>
          <w:i w:val="0"/>
          <w:color w:val="000000"/>
          <w:sz w:val="32"/>
        </w:rPr>
        <w:t>摘  要</w:t>
      </w:r>
    </w:p>
    <w:p w14:paraId="2CB8BA8A">
      <w:pPr>
        <w:spacing w:line="360" w:lineRule="auto"/>
        <w:ind w:firstLine="240" w:firstLineChars="100"/>
        <w:rPr>
          <w:sz w:val="24"/>
        </w:rPr>
      </w:pPr>
    </w:p>
    <w:p w14:paraId="56A53FCB">
      <w:pPr>
        <w:spacing w:line="360" w:lineRule="auto"/>
        <w:ind w:firstLine="480" w:firstLineChars="200"/>
        <w:rPr>
          <w:sz w:val="24"/>
        </w:rPr>
      </w:pPr>
    </w:p>
    <w:p w14:paraId="1531F092">
      <w:pPr>
        <w:spacing w:before="0" w:after="160" w:line="360" w:lineRule="auto"/>
        <w:ind w:firstLine="420"/>
        <w:jc w:val="both"/>
        <w:rPr>
          <w:sz w:val="24"/>
        </w:rPr>
      </w:pPr>
      <w:r>
        <w:rPr>
          <w:rFonts w:ascii="Heiti SC" w:hAnsi="Heiti SC" w:eastAsia="Heiti SC"/>
          <w:b w:val="0"/>
          <w:i w:val="0"/>
          <w:color w:val="000000"/>
          <w:sz w:val="21"/>
        </w:rPr>
        <w:t>红酒质量评价通常依赖品酒师的感官评分，而理化指标能够在生产与质检环节较早获得。为探讨基于机器学习的自动预测方法，本文使用红酒质量数据集中的1599个样本，以11项理化指标为输入，以quality等级为输出，严格按题意将前1300条样本划分为训练集、后299条样本划分为测试集。实验在训练集内完成标准化、特征选择、主成分分析、多模型比较和5折分层交叉验证；比较逻辑回归、支持向量机、随机森林、极端随机树和直方图梯度提升等方法。针对类别不均衡问题，模型选择以macro-F1为主，并同时报告accuracy、balanced accuracy、weighted-F1和平均绝对误差。最终采用SelectKBest与ExtraTrees组成的流水线，在48组参数上进行网格搜索，最优交叉验证macro-F1为0.4529。最终模型在299个测试样本上的accuracy为0.5518、macro-F1为0.2776、MAE为0.5318。结果表明，模型对5级和6级这一主要样本区间具有较稳定的预测能力，但对数量极少的3级和8级样本识别仍受限。本文给出了从数据核验、特征工程到最终预测的可复现实验流程，并据此分析方法的适用边界。</w:t>
      </w:r>
    </w:p>
    <w:p w14:paraId="42D52436">
      <w:pPr>
        <w:spacing w:line="360" w:lineRule="auto"/>
        <w:rPr>
          <w:sz w:val="24"/>
        </w:rPr>
      </w:pPr>
    </w:p>
    <w:p w14:paraId="16AC7589">
      <w:pPr>
        <w:spacing w:line="360" w:lineRule="auto"/>
        <w:rPr>
          <w:sz w:val="24"/>
        </w:rPr>
      </w:pPr>
    </w:p>
    <w:p w14:paraId="7DDDE251">
      <w:pPr>
        <w:spacing w:line="360" w:lineRule="auto"/>
        <w:rPr>
          <w:sz w:val="24"/>
        </w:rPr>
      </w:pPr>
    </w:p>
    <w:p w14:paraId="569EDBED">
      <w:pPr>
        <w:spacing w:line="360" w:lineRule="auto"/>
        <w:rPr>
          <w:sz w:val="24"/>
        </w:rPr>
      </w:pPr>
    </w:p>
    <w:p w14:paraId="0AF6A81A">
      <w:pPr>
        <w:spacing w:line="360" w:lineRule="auto"/>
        <w:rPr>
          <w:sz w:val="24"/>
        </w:rPr>
      </w:pPr>
    </w:p>
    <w:p w14:paraId="45BEFA6F">
      <w:pPr>
        <w:spacing w:line="360" w:lineRule="auto"/>
        <w:rPr>
          <w:sz w:val="24"/>
        </w:rPr>
      </w:pPr>
    </w:p>
    <w:p w14:paraId="67EA153D">
      <w:pPr>
        <w:spacing w:before="0" w:after="0" w:line="360" w:lineRule="auto"/>
        <w:ind w:firstLine="0"/>
        <w:jc w:val="both"/>
        <w:rPr>
          <w:sz w:val="24"/>
        </w:rPr>
      </w:pPr>
      <w:r>
        <w:rPr>
          <w:rFonts w:ascii="Heiti SC" w:hAnsi="Heiti SC" w:eastAsia="Heiti SC"/>
          <w:b/>
          <w:i w:val="0"/>
          <w:color w:val="000000"/>
          <w:sz w:val="21"/>
        </w:rPr>
        <w:t>关键词：红酒质量预测  机器学习  特征选择  极端随机树  交叉验证</w:t>
      </w:r>
    </w:p>
    <w:p w14:paraId="52812864">
      <w:pPr>
        <w:spacing w:line="360" w:lineRule="auto"/>
        <w:rPr>
          <w:sz w:val="24"/>
        </w:rPr>
      </w:pPr>
    </w:p>
    <w:p w14:paraId="0B25F535">
      <w:pPr>
        <w:spacing w:line="360" w:lineRule="auto"/>
        <w:rPr>
          <w:sz w:val="24"/>
        </w:rPr>
      </w:pPr>
    </w:p>
    <w:p w14:paraId="2294B72C">
      <w:pPr>
        <w:spacing w:line="360" w:lineRule="auto"/>
        <w:rPr>
          <w:sz w:val="24"/>
        </w:rPr>
      </w:pPr>
    </w:p>
    <w:p w14:paraId="4E8DC703">
      <w:pPr>
        <w:spacing w:line="360" w:lineRule="auto"/>
        <w:rPr>
          <w:sz w:val="24"/>
        </w:rPr>
      </w:pPr>
    </w:p>
    <w:p w14:paraId="70F2FB41">
      <w:pPr>
        <w:tabs>
          <w:tab w:val="left" w:pos="7770"/>
        </w:tabs>
      </w:pPr>
    </w:p>
    <w:p w14:paraId="21162981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第一章 绪论</w:t>
      </w:r>
    </w:p>
    <w:p w14:paraId="1EB05FD3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1.1 研究背景与意义</w:t>
      </w:r>
    </w:p>
    <w:p w14:paraId="52FEE9CB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红酒的风味与品质受原料、发酵、储存等多种因素影响。传统质量评价主要依赖感官评定，具有直观有效的优点，但也会受到评价成本、人员经验和主观差异的影响。酒液的酸度、挥发酸、硫化物、密度、pH、硫酸盐和酒精度等理化指标则易于在生产检测中获取。若能从这些客观指标中学习质量等级与特征之间的关系，就可以为筛查、过程监控和辅助品控提供定量参考。</w:t>
      </w:r>
    </w:p>
    <w:p w14:paraId="5DF5026A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本题数据来自葡萄牙绿酒的红酒子集，quality由至少3位专家评分的中位数形成[1]。该任务既可以视作有序回归问题，也可以视作多分类问题。考虑到题目要求使用predict和argmax进行预测，本文将quality的离散等级3至8建模为六分类任务，并以类别概率最大的等级作为输出。</w:t>
      </w:r>
    </w:p>
    <w:p w14:paraId="7563A9DE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1.2 问题描述与研究目标</w:t>
      </w:r>
    </w:p>
    <w:p w14:paraId="1A6BCF39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研究目标是在不改变样本顺序的前提下，使用前1300条记录训练模型，并对后299条记录进行独立测试。实验首先核验数据的维度、字段类型和缺失情况；随后使用训练集完成模型选择和超参数优化；最后仅在测试集上给出一次性预测与评价。该设置避免测试集信息进入建模过程，使最终指标能够反映模型面对未参与训练样本时的表现。</w:t>
      </w:r>
    </w:p>
    <w:p w14:paraId="243B7D65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1.3 研究路线</w:t>
      </w:r>
    </w:p>
    <w:p w14:paraId="668BBB90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本文遵循“数据核验—探索分析—特征处理—交叉验证—参数优化—测试评估”的路线。其中，所有会从数据学习参数的步骤均放入Pipeline或交叉验证折内执行，防止在训练集内部产生数据泄漏；同时保留多数类基线，以判断复杂模型是否真正优于简单的类别频率预测。</w:t>
      </w:r>
    </w:p>
    <w:p w14:paraId="3B31A7A2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第二章 数据集与方法</w:t>
      </w:r>
    </w:p>
    <w:p w14:paraId="1F7E04E5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2.1 数据集构成与质量核验</w:t>
      </w:r>
    </w:p>
    <w:p w14:paraId="450ABDDF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数据文件采用分号分隔，共1599条样本和12列字段，其中11列为连续型理化指标，quality为0至10分制中的离散感官等级。本次数据实际出现的quality等级为3、4、5、6、7和8。读取后检验未发现缺失值；数据中有240条重复记录，但为严格维持题目规定的1599条样本与固定前后切分，实验未删除或合并重复记录。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0AA31EA1">
        <w:trPr>
          <w:trHeight w:val="0" w:hRule="atLeast"/>
          <w:tblHeader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386E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356B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实际结果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F9DD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处理方式</w:t>
            </w:r>
          </w:p>
        </w:tc>
      </w:tr>
      <w:tr w14:paraId="4A09E93B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F1E5E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样本总数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03AC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1599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FE2F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保留全部样本</w:t>
            </w:r>
          </w:p>
        </w:tc>
      </w:tr>
      <w:tr w14:paraId="756B441B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245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输入特征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7101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11项理化指标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813E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连续数值变量</w:t>
            </w:r>
          </w:p>
        </w:tc>
      </w:tr>
      <w:tr w14:paraId="03C46524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5F5E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标签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F462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quality，取值3至8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FD9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六分类建模</w:t>
            </w:r>
          </w:p>
        </w:tc>
      </w:tr>
      <w:tr w14:paraId="56A55411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0FD5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缺失值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C0D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0C98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无需插补</w:t>
            </w:r>
          </w:p>
        </w:tc>
      </w:tr>
      <w:tr w14:paraId="56CE2CB5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DF97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重复记录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08151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240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E627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保留以符合固定切分</w:t>
            </w:r>
          </w:p>
        </w:tc>
      </w:tr>
      <w:tr w14:paraId="5BAD1CAF">
        <w:trPr>
          <w:trHeight w:val="0" w:hRule="atLeast"/>
          <w:jc w:val="center"/>
        </w:trPr>
        <w:tc>
          <w:tcPr>
            <w:tcW w:w="204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E79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训练集/测试集</w:t>
            </w:r>
          </w:p>
        </w:tc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01C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1300 / 299</w:t>
            </w:r>
          </w:p>
        </w:tc>
        <w:tc>
          <w:tcPr>
            <w:tcW w:w="39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45F2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按原始顺序切分</w:t>
            </w:r>
          </w:p>
        </w:tc>
      </w:tr>
    </w:tbl>
    <w:p w14:paraId="6560723F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表2-1 数据集核验与处理结果</w:t>
      </w:r>
    </w:p>
    <w:p w14:paraId="49FA7E1E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2.2 标签分布与类别不均衡</w:t>
      </w:r>
    </w:p>
    <w:p w14:paraId="3FF319C0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质量等级分布高度集中在5级和6级：两类合计1319条，占全部样本的82.49%。3级和8级分别只有10条和18条。因此，单独使用accuracy容易掩盖少数类别的误判。本文采用分层交叉验证保持每折的类别比例，并把macro-F1作为超参数选择主指标，使每一个质量等级的F1分数都具有相同权重。</w:t>
      </w:r>
    </w:p>
    <w:p w14:paraId="778B3347">
      <w:pPr>
        <w:keepLines/>
        <w:spacing w:before="40" w:after="0"/>
        <w:jc w:val="center"/>
      </w:pPr>
      <w:r>
        <w:drawing>
          <wp:inline distT="0" distB="0" distL="114300" distR="114300">
            <wp:extent cx="3779520" cy="2139950"/>
            <wp:effectExtent l="0" t="0" r="508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A84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图2-1 红酒质量等级分布</w:t>
      </w:r>
    </w:p>
    <w:p w14:paraId="2E552587">
      <w:pPr>
        <w:keepNext/>
        <w:pageBreakBefore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2.3 特征选择、特征提取与候选模型</w:t>
      </w:r>
    </w:p>
    <w:p w14:paraId="396E0874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特征选择使用ANOVA F检验，对每个理化指标与多分类标签之间的组间差异进行打分。F分数越高，说明该指标在不同质量等级之间的均值差异越明显。训练集上的结果显示，alcohol和volatile acidity最具区分度；残糖residual sugar的p值为0.0620，在当前训练集上未达到0.05显著性水平。最终网格搜索选择10个特征，仅排除residual sugar。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1E229E82">
        <w:trPr>
          <w:trHeight w:val="0" w:hRule="atLeast"/>
          <w:tblHeader/>
          <w:jc w:val="center"/>
        </w:trPr>
        <w:tc>
          <w:tcPr>
            <w:tcW w:w="170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22EC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w="680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15E1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7"/>
              </w:rPr>
              <w:t>特征</w:t>
            </w:r>
          </w:p>
        </w:tc>
      </w:tr>
      <w:tr w14:paraId="1BBB1680">
        <w:trPr>
          <w:trHeight w:val="0" w:hRule="atLeast"/>
          <w:jc w:val="center"/>
        </w:trPr>
        <w:tc>
          <w:tcPr>
            <w:tcW w:w="170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5E05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最终保留</w:t>
            </w:r>
          </w:p>
        </w:tc>
        <w:tc>
          <w:tcPr>
            <w:tcW w:w="680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5ED0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fixed acidity，volatile acidity，citric acid，chlorides</w:t>
            </w:r>
          </w:p>
        </w:tc>
      </w:tr>
      <w:tr w14:paraId="4D907EB1">
        <w:trPr>
          <w:trHeight w:val="0" w:hRule="atLeast"/>
          <w:jc w:val="center"/>
        </w:trPr>
        <w:tc>
          <w:tcPr>
            <w:tcW w:w="170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247C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最终保留</w:t>
            </w:r>
          </w:p>
        </w:tc>
        <w:tc>
          <w:tcPr>
            <w:tcW w:w="680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C668E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free sulfur dioxide，total sulfur dioxide，density，pH</w:t>
            </w:r>
          </w:p>
        </w:tc>
      </w:tr>
      <w:tr w14:paraId="210E7DBF">
        <w:trPr>
          <w:trHeight w:val="0" w:hRule="atLeast"/>
          <w:jc w:val="center"/>
        </w:trPr>
        <w:tc>
          <w:tcPr>
            <w:tcW w:w="170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C29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最终保留</w:t>
            </w:r>
          </w:p>
        </w:tc>
        <w:tc>
          <w:tcPr>
            <w:tcW w:w="680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16BF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sulphates，alcohol</w:t>
            </w:r>
          </w:p>
        </w:tc>
      </w:tr>
      <w:tr w14:paraId="2703DCB4">
        <w:trPr>
          <w:trHeight w:val="0" w:hRule="atLeast"/>
          <w:jc w:val="center"/>
        </w:trPr>
        <w:tc>
          <w:tcPr>
            <w:tcW w:w="170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CC5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最终排除</w:t>
            </w:r>
          </w:p>
        </w:tc>
        <w:tc>
          <w:tcPr>
            <w:tcW w:w="6803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A946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7"/>
              </w:rPr>
              <w:t>residual sugar</w:t>
            </w:r>
          </w:p>
        </w:tc>
      </w:tr>
    </w:tbl>
    <w:p w14:paraId="02A592B3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表2-2 SelectKBest最终特征集合</w:t>
      </w:r>
    </w:p>
    <w:p w14:paraId="30652996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作为特征提取对照，本文还对标准化后的特征进行主成分分析（PCA）。训练集上保留95%累计解释方差需要9个主成分。PCA+逻辑回归被纳入模型比较，但最终没有作为最优方案；原因是PCA压缩后的成分可解释性较弱，且其macro-F1低于树模型。</w:t>
      </w:r>
    </w:p>
    <w:p w14:paraId="3EEB4E68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2.4 评价指标与验证方式</w:t>
      </w:r>
    </w:p>
    <w:p w14:paraId="21FDD2F5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设测试或验证样本总数为N，真实标签为yᵢ，预测标签为ŷᵢ。accuracy用于衡量整体正确率；macro-F1先分别计算每个类别的F1后再求平均，更适合观察不均衡类别的总体识别效果；MAE则衡量预测等级与真实等级之间的平均绝对偏差。</w:t>
      </w:r>
    </w:p>
    <w:p w14:paraId="77116A19">
      <w:pPr>
        <w:spacing w:before="60" w:after="120"/>
        <w:jc w:val="center"/>
      </w:pPr>
      <m:oMathPara>
        <m:oMath>
          <m:r>
            <m:rPr/>
            <m:t>Accuracy = (1 / N) Σ I(yᵢ = ŷᵢ)</m:t>
          </m:r>
        </m:oMath>
      </m:oMathPara>
    </w:p>
    <w:p w14:paraId="2C5939CA">
      <w:pPr>
        <w:spacing w:before="60" w:after="120"/>
        <w:jc w:val="center"/>
      </w:pPr>
      <m:oMathPara>
        <m:oMath>
          <m:r>
            <m:rPr/>
            <m:t>F₁ = 2PR / (P + R)      MAE = (1 / N) Σ |yᵢ − ŷᵢ|</m:t>
          </m:r>
        </m:oMath>
      </m:oMathPara>
    </w:p>
    <w:p w14:paraId="790979BB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交叉验证采用5折StratifiedKFold，并固定random_state为42。每一折都重新拟合标准化、SelectKBest和PCA等变换，再在验证部分评分。这样可避免将整套训练数据的统计特征提前暴露给某个验证折。</w:t>
      </w:r>
      <w:bookmarkStart w:id="0" w:name="_GoBack"/>
      <w:bookmarkEnd w:id="0"/>
    </w:p>
    <w:p w14:paraId="49D7A6AF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第三章 实验设计与模型优化</w:t>
      </w:r>
    </w:p>
    <w:p w14:paraId="42E081E3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3.1 实验环境与可复现设置</w:t>
      </w:r>
    </w:p>
    <w:p w14:paraId="1A83C19A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实验使用Python 3.11、pandas 3.0.5和scikit-learn 1.9.1完成。所有随机森林和ExtraTrees模型的random_state固定为42，并将n_jobs设为1，以避免并行环境差异影响实验记录。Notebook保留了数据读取、图表生成、模型训练、网格搜索和测试预测的原始输出。</w:t>
      </w:r>
    </w:p>
    <w:p w14:paraId="2257BED8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3.2 训练集内模型比较</w:t>
      </w:r>
    </w:p>
    <w:p w14:paraId="763BBF5A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候选模型包括多数类基线、逻辑回归、逻辑回归+SelectKBest、PCA+逻辑回归、RBF核SVC、随机森林、ExtraTrees和直方图梯度提升。下表列出训练集5折交叉验证均值。基线准确率为0.4200，说明仅预测多数类别会造成表面正确率；树模型在accuracy、weighted-F1和MAE方面具有优势，而直方图梯度提升在未调参模型中取得最高macro-F1。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98"/>
        <w:gridCol w:w="1398"/>
        <w:gridCol w:w="1398"/>
        <w:gridCol w:w="1398"/>
        <w:gridCol w:w="1398"/>
      </w:tblGrid>
      <w:tr w14:paraId="3A5C038D">
        <w:trPr>
          <w:trHeight w:val="0" w:hRule="atLeast"/>
          <w:tblHeader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352A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模型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4E5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Accuracy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E94C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Balanced Acc.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26C1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Macro-F1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C5CF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Weighted-F1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805F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6"/>
              </w:rPr>
              <w:t>MAE</w:t>
            </w:r>
          </w:p>
        </w:tc>
      </w:tr>
      <w:tr w14:paraId="2BB00419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E9CD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HistGradientBoosting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BE731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0.6862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83FC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0.3753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FDE1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0.3875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A601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0.6719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D82C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0.3523</w:t>
            </w:r>
          </w:p>
        </w:tc>
      </w:tr>
      <w:tr w14:paraId="712891B4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4D1C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ExtraTrees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0A33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0.7092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50FA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0.3754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A63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0.3839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0B48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0.6921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CEE3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0.3254</w:t>
            </w:r>
          </w:p>
        </w:tc>
      </w:tr>
      <w:tr w14:paraId="481A43B3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B66B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RandomForest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A4F3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0.7077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A868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0.3708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ADA3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0.3832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255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0.6891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3DD2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0.3238</w:t>
            </w:r>
          </w:p>
        </w:tc>
      </w:tr>
      <w:tr w14:paraId="53A4F1FD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754D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SVC (RBF)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FC65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0.5323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81D2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0.3647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86A2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0.3233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B2AB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0.5487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6D4D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0.5531</w:t>
            </w:r>
          </w:p>
        </w:tc>
      </w:tr>
      <w:tr w14:paraId="4A0C0DB8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E8241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LogisticRegression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615F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0.4277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C51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0.3897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2C4A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0.2827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4037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0.4696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458F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0.7685</w:t>
            </w:r>
          </w:p>
        </w:tc>
      </w:tr>
      <w:tr w14:paraId="01CEB1AB">
        <w:trPr>
          <w:trHeight w:val="0" w:hRule="atLeast"/>
          <w:jc w:val="center"/>
        </w:trPr>
        <w:tc>
          <w:tcPr>
            <w:tcW w:w="232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1C68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Majority baseline</w:t>
            </w:r>
          </w:p>
        </w:tc>
        <w:tc>
          <w:tcPr>
            <w:tcW w:w="119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47D6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0.4200</w:t>
            </w:r>
          </w:p>
        </w:tc>
        <w:tc>
          <w:tcPr>
            <w:tcW w:w="1531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A772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0.1667</w:t>
            </w:r>
          </w:p>
        </w:tc>
        <w:tc>
          <w:tcPr>
            <w:tcW w:w="113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36133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0.0986</w:t>
            </w:r>
          </w:p>
        </w:tc>
        <w:tc>
          <w:tcPr>
            <w:tcW w:w="130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0DCB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0.2485</w:t>
            </w:r>
          </w:p>
        </w:tc>
        <w:tc>
          <w:tcPr>
            <w:tcW w:w="907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D15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6"/>
              </w:rPr>
              <w:t>0.7446</w:t>
            </w:r>
          </w:p>
        </w:tc>
      </w:tr>
    </w:tbl>
    <w:p w14:paraId="312890BC">
      <w:pPr>
        <w:keepNext w:val="0"/>
        <w:spacing w:before="40" w:after="10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表3-1 候选模型的5折交叉验证结果</w:t>
      </w:r>
    </w:p>
    <w:p w14:paraId="1909E141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综合可解释性、特征选择能力和对不均衡指标的优化空间，后续选择ExtraTrees与SelectKBest的组合进行调参。这不是使用测试集做出的选择，而是基于训练集交叉验证的模型选择决策。</w:t>
      </w:r>
    </w:p>
    <w:p w14:paraId="4E7FFFCB">
      <w:pPr>
        <w:keepNext/>
        <w:pageBreakBefore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3.3 网格搜索与超参数选择</w:t>
      </w:r>
    </w:p>
    <w:p w14:paraId="54FB2A41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调参流水线由SelectKBest和ExtraTreesClassifier组成。搜索范围包括保留特征数k、树数量、最大深度、叶节点最小样本数、最大特征比例和类别权重，共形成48组配置。GridSearchCV以macro-F1为refit指标，仍使用前述5折分层划分。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2683"/>
        <w:gridCol w:w="2683"/>
      </w:tblGrid>
      <w:tr w14:paraId="63B4D108">
        <w:trPr>
          <w:trHeight w:val="0" w:hRule="atLeast"/>
          <w:tblHeader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9F82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4ADCC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搜索候选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1BEF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最终选择</w:t>
            </w:r>
          </w:p>
        </w:tc>
      </w:tr>
      <w:tr w14:paraId="42191729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8FE5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select__k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9CD4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8，10，11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0F8C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10</w:t>
            </w:r>
          </w:p>
        </w:tc>
      </w:tr>
      <w:tr w14:paraId="0FFC3EEA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EDFD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n_estimators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88C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C256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200</w:t>
            </w:r>
          </w:p>
        </w:tc>
      </w:tr>
      <w:tr w14:paraId="35966584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7D74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max_depth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75C3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None，16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DF3E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16</w:t>
            </w:r>
          </w:p>
        </w:tc>
      </w:tr>
      <w:tr w14:paraId="4BADA2E0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CC0F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min_samples_leaf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6586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2，4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34EF8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4</w:t>
            </w:r>
          </w:p>
        </w:tc>
      </w:tr>
      <w:tr w14:paraId="52C5A4B3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222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max_features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C61A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sqrt，0.8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95FE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0.8</w:t>
            </w:r>
          </w:p>
        </w:tc>
      </w:tr>
      <w:tr w14:paraId="1DA52D62">
        <w:trPr>
          <w:trHeight w:val="0" w:hRule="atLeast"/>
          <w:jc w:val="center"/>
        </w:trPr>
        <w:tc>
          <w:tcPr>
            <w:tcW w:w="243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5811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class_weight</w:t>
            </w:r>
          </w:p>
        </w:tc>
        <w:tc>
          <w:tcPr>
            <w:tcW w:w="294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80AB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None，balanced</w:t>
            </w:r>
          </w:p>
        </w:tc>
        <w:tc>
          <w:tcPr>
            <w:tcW w:w="26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605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balanced</w:t>
            </w:r>
          </w:p>
        </w:tc>
      </w:tr>
    </w:tbl>
    <w:p w14:paraId="6ECC09EC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表3-2 ExtraTrees网格搜索范围与最优参数</w:t>
      </w:r>
    </w:p>
    <w:p w14:paraId="352F052F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最优配置的5折macro-F1为0.4529，balanced accuracy为0.4874，accuracy为0.6600，weighted-F1为0.6634，交叉验证MAE为0.3985。与未调参ExtraTrees的macro-F1 0.3839相比，调参后的流水线提升0.0690，说明在类别权重、树深度和叶节点规模上进行约束有助于兼顾多数类与少数类。</w:t>
      </w:r>
    </w:p>
    <w:p w14:paraId="48B15F58">
      <w:pPr>
        <w:keepLines/>
        <w:spacing w:before="40" w:after="0"/>
        <w:jc w:val="center"/>
      </w:pPr>
      <w:r>
        <w:drawing>
          <wp:inline distT="0" distB="0" distL="114300" distR="114300">
            <wp:extent cx="4751705" cy="215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01D1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图3-1 候选模型在训练集上的交叉验证比较</w:t>
      </w:r>
    </w:p>
    <w:p w14:paraId="22CCB147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第四章 实验结果与分析</w:t>
      </w:r>
    </w:p>
    <w:p w14:paraId="0DBFD8F1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4.1 特征区分度与主成分分析</w:t>
      </w:r>
    </w:p>
    <w:p w14:paraId="6034427A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ANOVA F检验显示，alcohol的F分数为103.1595，明显高于其他变量；volatile acidity的F分数为49.1978，total sulfur dioxide为23.1780。该排序表明酒精度、挥发酸和总二氧化硫在训练样本不同质量等级之间具有较强区分度。但F检验只刻画单变量与标签的关系，最终模型仍需要通过树的分裂组合刻画多个指标之间的非线性关系。</w:t>
      </w:r>
    </w:p>
    <w:p w14:paraId="2038FD14">
      <w:pPr>
        <w:keepLines/>
        <w:spacing w:before="40" w:after="0"/>
        <w:jc w:val="center"/>
      </w:pPr>
      <w:r>
        <w:drawing>
          <wp:inline distT="0" distB="0" distL="114300" distR="114300">
            <wp:extent cx="4247515" cy="2630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C727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图4-1 训练集上各理化指标的ANOVA F分数</w:t>
      </w:r>
    </w:p>
    <w:p w14:paraId="15837F03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标准化后的PCA结果表明，9个主成分可达到95%的累计解释方差。PCA有助于降低维度和缓解相关性，但在本实验中PCA+逻辑回归的5折macro-F1为0.2775，低于树模型；因此最终模型保留原始可解释特征。</w:t>
      </w:r>
    </w:p>
    <w:p w14:paraId="35B3F6D3">
      <w:pPr>
        <w:keepLines/>
        <w:spacing w:before="40" w:after="0"/>
        <w:jc w:val="center"/>
      </w:pPr>
      <w:r>
        <w:drawing>
          <wp:inline distT="0" distB="0" distL="114300" distR="114300">
            <wp:extent cx="3887470" cy="2199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37C2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图4-2 训练集PCA累计解释方差</w:t>
      </w:r>
    </w:p>
    <w:p w14:paraId="6F4212F4">
      <w:pPr>
        <w:keepNext/>
        <w:pageBreakBefore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4.2 最终测试集预测结果</w:t>
      </w:r>
    </w:p>
    <w:p w14:paraId="28374841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确定最优参数后，使用完整的1300条训练数据重新拟合Pipeline，并对299条测试数据调用predict。同时调用predict_proba得到各等级概率，并以argmax选择概率最大的类别；两种方式得到的标签已在Notebook中通过断言核对一致。测试集在调参和模型选择过程中从未使用，因此以下结果是独立测试结果。</w:t>
      </w: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2683"/>
        <w:gridCol w:w="2683"/>
      </w:tblGrid>
      <w:tr w14:paraId="6570A464">
        <w:trPr>
          <w:trHeight w:val="0" w:hRule="atLeast"/>
          <w:tblHeader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FBDE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1B15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测试集结果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16E3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8"/>
              </w:rPr>
              <w:t>解释</w:t>
            </w:r>
          </w:p>
        </w:tc>
      </w:tr>
      <w:tr w14:paraId="33EA6C87">
        <w:trPr>
          <w:trHeight w:val="0" w:hRule="atLeast"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02F92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Accuracy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5C97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0.5518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F25C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299条样本中整体正确率</w:t>
            </w:r>
          </w:p>
        </w:tc>
      </w:tr>
      <w:tr w14:paraId="5E7B0B80">
        <w:trPr>
          <w:trHeight w:val="0" w:hRule="atLeast"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D3FC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Balanced accuracy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646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0.3006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BEDF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各类别召回率的平均值</w:t>
            </w:r>
          </w:p>
        </w:tc>
      </w:tr>
      <w:tr w14:paraId="369B49CF">
        <w:trPr>
          <w:trHeight w:val="0" w:hRule="atLeast"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C144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Macro-F1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8EDA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0.2776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32286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各类别F1的等权平均</w:t>
            </w:r>
          </w:p>
        </w:tc>
      </w:tr>
      <w:tr w14:paraId="68251E11">
        <w:trPr>
          <w:trHeight w:val="0" w:hRule="atLeast"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92B39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Weighted-F1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320C3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0.5634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664B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按类别样本数加权的F1</w:t>
            </w:r>
          </w:p>
        </w:tc>
      </w:tr>
      <w:tr w14:paraId="334C07DC">
        <w:trPr>
          <w:trHeight w:val="0" w:hRule="atLeast"/>
          <w:jc w:val="center"/>
        </w:trPr>
        <w:tc>
          <w:tcPr>
            <w:tcW w:w="249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B0840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MAE</w:t>
            </w:r>
          </w:p>
        </w:tc>
        <w:tc>
          <w:tcPr>
            <w:tcW w:w="181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CB33C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0.5318</w:t>
            </w:r>
          </w:p>
        </w:tc>
        <w:tc>
          <w:tcPr>
            <w:tcW w:w="3742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F1C0D">
            <w:pPr>
              <w:spacing w:before="0" w:after="0" w:line="264" w:lineRule="auto"/>
              <w:ind w:firstLine="0"/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000000"/>
                <w:sz w:val="18"/>
              </w:rPr>
              <w:t>预测等级与真实等级的平均绝对偏差</w:t>
            </w:r>
          </w:p>
        </w:tc>
      </w:tr>
    </w:tbl>
    <w:p w14:paraId="3472262C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表4-1 最优模型在独立测试集上的评价指标</w:t>
      </w:r>
    </w:p>
    <w:p w14:paraId="2E77590F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从逐类结果看，5级的F1为0.6768、6级的F1为0.5508，是模型主要有效的等级区间；7级样本的召回率为0.4286，但精确率为0.2308。3级和8级在测试集中分别只有4条和3条，最终未被正确识别。该现象与训练集中极端等级样本稀少相一致，也解释了accuracy高于macro-F1的原因。</w:t>
      </w:r>
    </w:p>
    <w:p w14:paraId="72EC580F">
      <w:pPr>
        <w:keepLines/>
        <w:spacing w:before="40" w:after="0"/>
        <w:jc w:val="center"/>
      </w:pPr>
      <w:r>
        <w:drawing>
          <wp:inline distT="0" distB="0" distL="114300" distR="114300">
            <wp:extent cx="4139565" cy="3803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4541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图4-3 最优模型在测试集上的混淆矩阵</w:t>
      </w:r>
    </w:p>
    <w:p w14:paraId="561443CA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第五章 结论与展望</w:t>
      </w:r>
    </w:p>
    <w:p w14:paraId="3A6CDAD9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5.1 主要结论</w:t>
      </w:r>
    </w:p>
    <w:p w14:paraId="2F8138A5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第一，按题目规定的固定样本顺序完成了1300/299训练测试划分，并将特征选择、标准化、PCA和参数搜索严格限制在训练集内。第二，在多种候选模型中，树模型总体优于逻辑回归和多数类基线；经训练集5折调参后，SelectKBest+ExtraTrees获得0.4529的交叉验证macro-F1。第三，最终测试集accuracy为0.5518、MAE为0.5318，模型对主流质量等级5和6具有一定识别能力，但无法可靠区分稀有的极端等级。</w:t>
      </w:r>
    </w:p>
    <w:p w14:paraId="795D66D3">
      <w:pPr>
        <w:keepNext/>
        <w:spacing w:before="160" w:after="100" w:line="300" w:lineRule="auto"/>
        <w:jc w:val="left"/>
      </w:pPr>
      <w:r>
        <w:rPr>
          <w:rFonts w:ascii="Heiti SC" w:hAnsi="Heiti SC" w:eastAsia="Heiti SC"/>
          <w:b/>
          <w:i w:val="0"/>
          <w:color w:val="000000"/>
          <w:sz w:val="28"/>
        </w:rPr>
        <w:t>5.2 特征重要性与局限性</w:t>
      </w:r>
    </w:p>
    <w:p w14:paraId="1E943875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最终ExtraTrees模型的特征重要性显示，alcohol、volatile acidity和sulphates位列前三。该结果与单变量F检验并不完全相同，说明树模型还利用了变量之间的组合关系。需要注意的是，基于不纯度的特征重要性主要用于模型解释，不等价于因果结论。</w:t>
      </w:r>
    </w:p>
    <w:p w14:paraId="6C42B450">
      <w:pPr>
        <w:keepLines/>
        <w:spacing w:before="40" w:after="0"/>
        <w:jc w:val="center"/>
      </w:pPr>
      <w:r>
        <w:drawing>
          <wp:inline distT="0" distB="0" distL="114300" distR="114300">
            <wp:extent cx="4247515" cy="2630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1977">
      <w:pPr>
        <w:keepNext w:val="0"/>
        <w:spacing w:before="40" w:after="140" w:line="264" w:lineRule="auto"/>
        <w:ind w:firstLine="0"/>
        <w:jc w:val="center"/>
      </w:pPr>
      <w:r>
        <w:rPr>
          <w:rFonts w:ascii="Heiti SC" w:hAnsi="Heiti SC" w:eastAsia="Heiti SC"/>
          <w:b w:val="0"/>
          <w:i w:val="0"/>
          <w:color w:val="000000"/>
          <w:sz w:val="18"/>
        </w:rPr>
        <w:t>图5-1 最终模型的特征重要性</w:t>
      </w:r>
    </w:p>
    <w:p w14:paraId="22607267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本研究的局限主要有三点：其一，固定顺序切分可能使训练集和测试集的分布存在差异；其二，质量等级严重不均衡，导致少数类的估计方差较大；其三，理化指标不能覆盖葡萄品种、品牌、价格和储存条件等信息。后续可在保证独立测试集不泄漏的前提下，尝试有序分类、代价敏感学习、重采样或校准概率，并收集更多高低质量等级样本。</w:t>
      </w:r>
    </w:p>
    <w:p w14:paraId="50AA511A">
      <w:pPr>
        <w:keepNext/>
        <w:pageBreakBefore/>
        <w:spacing w:before="0" w:after="200" w:line="300" w:lineRule="auto"/>
        <w:jc w:val="center"/>
      </w:pPr>
      <w:r>
        <w:rPr>
          <w:rFonts w:ascii="Heiti SC" w:hAnsi="Heiti SC" w:eastAsia="Heiti SC"/>
          <w:b/>
          <w:i w:val="0"/>
          <w:color w:val="000000"/>
          <w:sz w:val="32"/>
        </w:rPr>
        <w:t>附录A 关键源代码</w:t>
      </w:r>
    </w:p>
    <w:p w14:paraId="2C7D104D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以下代码为Notebook中的关键实现片段，完整可运行代码及其原始输出保存在B_red_wine_quality_prediction.ipynb中。</w:t>
      </w:r>
    </w:p>
    <w:p w14:paraId="4E5A9BED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df = pd.read_csv(DATA_PATH, sep=';')</w:t>
      </w:r>
    </w:p>
    <w:p w14:paraId="1152331D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train_df = df.iloc[:1300].copy()</w:t>
      </w:r>
    </w:p>
    <w:p w14:paraId="6736217F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test_df = df.iloc[1300:1599].copy()</w:t>
      </w:r>
    </w:p>
    <w:p w14:paraId="044A953E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X_train, y_train = train_df[FEATURE_NAMES], train_df['quality']</w:t>
      </w:r>
    </w:p>
    <w:p w14:paraId="2B836848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X_test, y_test = test_df[FEATURE_NAMES], test_df['quality']</w:t>
      </w:r>
    </w:p>
    <w:p w14:paraId="0BA6D611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</w:t>
      </w:r>
    </w:p>
    <w:p w14:paraId="1074B70E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pipeline = Pipeline([</w:t>
      </w:r>
    </w:p>
    <w:p w14:paraId="7E87C5DA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('select', SelectKBest(score_func=f_classif)),</w:t>
      </w:r>
    </w:p>
    <w:p w14:paraId="23905AAA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('clf', ExtraTreesClassifier(random_state=42, n_jobs=1)),</w:t>
      </w:r>
    </w:p>
    <w:p w14:paraId="3E3E8F23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])</w:t>
      </w:r>
    </w:p>
    <w:p w14:paraId="0633BF68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param_grid = {</w:t>
      </w:r>
    </w:p>
    <w:p w14:paraId="2423C903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'select__k': [8, 10, 11],</w:t>
      </w:r>
    </w:p>
    <w:p w14:paraId="2EEB7453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'clf__n_estimators': [200],</w:t>
      </w:r>
    </w:p>
    <w:p w14:paraId="6972A4F2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'clf__max_depth': [None, 16],</w:t>
      </w:r>
    </w:p>
    <w:p w14:paraId="64459EBE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'clf__min_samples_leaf': [2, 4],</w:t>
      </w:r>
    </w:p>
    <w:p w14:paraId="39D836FA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'clf__max_features': ['sqrt', 0.8],</w:t>
      </w:r>
    </w:p>
    <w:p w14:paraId="5DCEF4EE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'clf__class_weight': [None, 'balanced'],</w:t>
      </w:r>
    </w:p>
    <w:p w14:paraId="1CFB0B97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}</w:t>
      </w:r>
    </w:p>
    <w:p w14:paraId="0E19D527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search = GridSearchCV(pipeline, param_grid, scoring=SCORING,</w:t>
      </w:r>
    </w:p>
    <w:p w14:paraId="5FACAEDB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 xml:space="preserve">                      refit='macro_f1', cv=CV, n_jobs=1)</w:t>
      </w:r>
    </w:p>
    <w:p w14:paraId="3D4BF34D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search.fit(X_train, y_train)</w:t>
      </w:r>
    </w:p>
    <w:p w14:paraId="43A664DB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best_model = search.best_estimator_</w:t>
      </w:r>
    </w:p>
    <w:p w14:paraId="347A6FC5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y_pred = best_model.predict(X_test)</w:t>
      </w:r>
    </w:p>
    <w:p w14:paraId="5969C21E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proba = best_model.predict_proba(X_test)</w:t>
      </w:r>
    </w:p>
    <w:p w14:paraId="75AC7A3C">
      <w:pPr>
        <w:spacing w:before="0" w:after="0" w:line="240" w:lineRule="auto"/>
        <w:ind w:firstLine="0"/>
        <w:jc w:val="left"/>
      </w:pPr>
      <w:r>
        <w:rPr>
          <w:rFonts w:ascii="Menlo" w:hAnsi="Menlo" w:eastAsia="Menlo"/>
          <w:b w:val="0"/>
          <w:i w:val="0"/>
          <w:color w:val="000000"/>
          <w:sz w:val="16"/>
        </w:rPr>
        <w:t>assert np.array_equal(y_pred, classes[np.argmax(proba, axis=1)])</w:t>
      </w:r>
    </w:p>
    <w:p w14:paraId="196111E6">
      <w:pPr>
        <w:pageBreakBefore w:val="0"/>
        <w:spacing w:before="0" w:after="100" w:line="360" w:lineRule="auto"/>
        <w:ind w:firstLine="420"/>
        <w:jc w:val="both"/>
      </w:pPr>
      <w:r>
        <w:rPr>
          <w:rFonts w:ascii="Heiti SC" w:hAnsi="Heiti SC" w:eastAsia="Heiti SC"/>
          <w:b w:val="0"/>
          <w:i w:val="0"/>
          <w:color w:val="000000"/>
          <w:sz w:val="21"/>
        </w:rPr>
        <w:t>代码采用n_jobs=1以保证本地执行稳定，并在最终预测阶段同时保留predict与predict_proba + argmax的一致性核验。</w:t>
      </w:r>
    </w:p>
    <w:p w14:paraId="361DD6F2">
      <w:pPr>
        <w:spacing w:line="360" w:lineRule="auto"/>
        <w:rPr>
          <w:rFonts w:eastAsia="黑体"/>
          <w:b/>
          <w:bCs/>
          <w:sz w:val="28"/>
        </w:rPr>
        <w:sectPr>
          <w:headerReference r:id="rId4" w:type="first"/>
          <w:headerReference r:id="rId3" w:type="default"/>
          <w:footerReference r:id="rId5" w:type="default"/>
          <w:pgSz w:w="11907" w:h="16840"/>
          <w:pgMar w:top="1440" w:right="1474" w:bottom="1440" w:left="1474" w:header="709" w:footer="709" w:gutter="0"/>
          <w:cols w:space="708" w:num="1"/>
          <w:docGrid w:linePitch="360" w:charSpace="0"/>
        </w:sectPr>
      </w:pPr>
    </w:p>
    <w:p w14:paraId="7DF47205">
      <w:pPr>
        <w:keepNext/>
        <w:spacing w:before="0" w:after="200" w:line="300" w:lineRule="auto"/>
        <w:jc w:val="center"/>
        <w:rPr>
          <w:sz w:val="24"/>
        </w:rPr>
      </w:pPr>
      <w:r>
        <w:rPr>
          <w:rFonts w:ascii="Heiti SC" w:hAnsi="Heiti SC" w:eastAsia="Heiti SC"/>
          <w:b/>
          <w:i w:val="0"/>
          <w:color w:val="000000"/>
          <w:sz w:val="32"/>
        </w:rPr>
        <w:t>参考文献</w:t>
      </w:r>
    </w:p>
    <w:p w14:paraId="5E3DEADB">
      <w:pPr>
        <w:widowControl/>
        <w:spacing w:before="0" w:after="100" w:line="312" w:lineRule="auto"/>
        <w:ind w:left="420" w:firstLine="360" w:firstLineChars="200"/>
        <w:jc w:val="both"/>
        <w:rPr>
          <w:rFonts w:ascii="宋体"/>
          <w:kern w:val="0"/>
          <w:sz w:val="24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[1] Cortez P, Cerdeira A, Almeida F, Matos T, Reis J. Modeling wine preferences by data mining from physicochemical properties[J]. Decision Support Systems, 2009, 47(4): 547-553.</w:t>
      </w:r>
    </w:p>
    <w:p w14:paraId="45D2AC0D">
      <w:pPr>
        <w:spacing w:before="0" w:after="100" w:line="312" w:lineRule="auto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[2] Pedregosa F, Varoquaux G, Gramfort A, et al. Scikit-learn: Machine learning in Python[J]. Journal of Machine Learning Research, 2011, 12: 2825-2830.</w:t>
      </w:r>
    </w:p>
    <w:p w14:paraId="578238C0">
      <w:pPr>
        <w:spacing w:before="0" w:after="100" w:line="312" w:lineRule="auto"/>
        <w:ind w:left="420" w:hanging="540" w:hangingChars="3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[3] Geurts P, Ernst D, Wehenkel L. Extremely randomized trees[J]. Machine Learning, 2006, 63(1): 3-42.</w:t>
      </w:r>
    </w:p>
    <w:p w14:paraId="3795083E">
      <w:pPr>
        <w:spacing w:before="0" w:after="100" w:line="312" w:lineRule="auto"/>
        <w:ind w:left="420" w:hanging="540" w:hangingChars="3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[4] Breiman L. Random forests[J]. Machine Learning, 2001, 45(1): 5-32.</w:t>
      </w:r>
    </w:p>
    <w:p w14:paraId="417C1212">
      <w:pPr>
        <w:spacing w:before="0" w:after="100" w:line="312" w:lineRule="auto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[5] Bishop C M. Pattern Recognition and Machine Learning[M]. New York: Springer, 2006.</w:t>
      </w:r>
    </w:p>
    <w:p w14:paraId="1FD3EB49">
      <w:pPr>
        <w:spacing w:before="0" w:after="100" w:line="312" w:lineRule="auto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[6] Scikit-learn Developers. Scikit-learn User Guide[EB/OL]. https://scikit-learn.org/stable/user_guide.html, 2026-09-15.</w:t>
      </w:r>
    </w:p>
    <w:p w14:paraId="351E7753">
      <w:pPr>
        <w:spacing w:line="360" w:lineRule="auto"/>
      </w:pPr>
    </w:p>
    <w:p w14:paraId="4CF09FA2">
      <w:pPr>
        <w:spacing w:line="360" w:lineRule="auto"/>
        <w:ind w:firstLine="210" w:firstLineChars="100"/>
      </w:pPr>
    </w:p>
    <w:p w14:paraId="05F7D307">
      <w:pPr>
        <w:spacing w:line="360" w:lineRule="auto"/>
        <w:ind w:firstLine="210" w:firstLineChars="100"/>
      </w:pPr>
    </w:p>
    <w:p w14:paraId="17AECF02">
      <w:pPr>
        <w:tabs>
          <w:tab w:val="left" w:pos="540"/>
          <w:tab w:val="left" w:pos="1140"/>
        </w:tabs>
        <w:spacing w:line="360" w:lineRule="auto"/>
        <w:ind w:left="180" w:firstLine="0"/>
      </w:pPr>
    </w:p>
    <w:p w14:paraId="44D26C7B">
      <w:pPr>
        <w:spacing w:line="360" w:lineRule="auto"/>
        <w:ind w:left="178" w:leftChars="85"/>
      </w:pPr>
    </w:p>
    <w:p w14:paraId="129EA352">
      <w:pPr>
        <w:spacing w:line="360" w:lineRule="auto"/>
        <w:sectPr>
          <w:pgSz w:w="11907" w:h="16840"/>
          <w:pgMar w:top="1440" w:right="1474" w:bottom="1440" w:left="1474" w:header="709" w:footer="709" w:gutter="0"/>
          <w:cols w:space="708" w:num="1"/>
          <w:docGrid w:linePitch="360" w:charSpace="0"/>
        </w:sectPr>
      </w:pPr>
    </w:p>
    <w:p w14:paraId="5246D5B7">
      <w:pPr>
        <w:rPr>
          <w:rFonts w:hint="eastAsia"/>
          <w:sz w:val="28"/>
          <w:szCs w:val="28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7111"/>
      </w:tblGrid>
      <w:tr w14:paraId="0E008F16">
        <w:trPr>
          <w:trHeight w:val="6520" w:hRule="atLeast"/>
          <w:jc w:val="center"/>
        </w:trPr>
        <w:tc>
          <w:tcPr>
            <w:tcW w:w="61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textDirection w:val="tbRlV"/>
            <w:vAlign w:val="center"/>
          </w:tcPr>
          <w:p w14:paraId="433667FA">
            <w:pPr>
              <w:spacing w:before="0" w:after="0" w:line="276" w:lineRule="auto"/>
              <w:ind w:left="113" w:right="113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任课教师评语</w:t>
            </w:r>
          </w:p>
        </w:tc>
        <w:tc>
          <w:tcPr>
            <w:tcW w:w="711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7DF091">
            <w:pPr>
              <w:rPr>
                <w:rFonts w:hint="eastAsia"/>
                <w:sz w:val="28"/>
                <w:szCs w:val="28"/>
              </w:rPr>
            </w:pPr>
          </w:p>
          <w:p w14:paraId="73A979D2">
            <w:pPr>
              <w:rPr>
                <w:rFonts w:hint="eastAsia"/>
              </w:rPr>
            </w:pPr>
          </w:p>
          <w:p w14:paraId="5EC5DBA8">
            <w:pPr>
              <w:rPr>
                <w:rFonts w:hint="eastAsia"/>
              </w:rPr>
            </w:pPr>
          </w:p>
          <w:p w14:paraId="325001CA">
            <w:pPr>
              <w:rPr>
                <w:rFonts w:hint="eastAsia"/>
              </w:rPr>
            </w:pPr>
          </w:p>
          <w:p w14:paraId="2ADABD40">
            <w:pPr>
              <w:rPr>
                <w:rFonts w:hint="eastAsia"/>
              </w:rPr>
            </w:pPr>
          </w:p>
          <w:p w14:paraId="712E6818">
            <w:pPr>
              <w:tabs>
                <w:tab w:val="left" w:pos="474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</w:p>
          <w:p w14:paraId="69F1D661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238B4BE4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52383B60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59FBB43E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65A68B1E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57A24768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5B75E73D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20BB60D7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78C7432E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25D3BC3E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0CC3B3A2">
            <w:pPr>
              <w:tabs>
                <w:tab w:val="left" w:pos="4741"/>
              </w:tabs>
              <w:jc w:val="left"/>
              <w:rPr>
                <w:rFonts w:hint="eastAsia"/>
              </w:rPr>
            </w:pPr>
          </w:p>
          <w:p w14:paraId="551653D3">
            <w:pPr>
              <w:tabs>
                <w:tab w:val="left" w:pos="4741"/>
              </w:tabs>
              <w:wordWrap w:val="0"/>
              <w:jc w:val="right"/>
              <w:rPr>
                <w:rFonts w:hint="eastAsia"/>
              </w:rPr>
            </w:pPr>
          </w:p>
          <w:p w14:paraId="25E7ACF0">
            <w:pPr>
              <w:tabs>
                <w:tab w:val="left" w:pos="4741"/>
              </w:tabs>
              <w:wordWrap w:val="0"/>
              <w:jc w:val="right"/>
              <w:rPr>
                <w:rFonts w:hint="eastAsia"/>
              </w:rPr>
            </w:pPr>
          </w:p>
          <w:p w14:paraId="26EE8625">
            <w:pPr>
              <w:tabs>
                <w:tab w:val="left" w:pos="4741"/>
              </w:tabs>
              <w:wordWrap w:val="0"/>
              <w:jc w:val="right"/>
              <w:rPr>
                <w:rFonts w:hint="eastAsia"/>
              </w:rPr>
            </w:pPr>
          </w:p>
          <w:p w14:paraId="79031577">
            <w:pPr>
              <w:tabs>
                <w:tab w:val="left" w:pos="4741"/>
              </w:tabs>
              <w:wordWrap w:val="0"/>
              <w:jc w:val="right"/>
              <w:rPr>
                <w:rFonts w:hint="eastAsia"/>
              </w:rPr>
            </w:pPr>
          </w:p>
          <w:p w14:paraId="6D246EE5">
            <w:pPr>
              <w:tabs>
                <w:tab w:val="left" w:pos="4741"/>
              </w:tabs>
              <w:wordWrap w:val="0"/>
              <w:jc w:val="right"/>
              <w:rPr>
                <w:rFonts w:hint="eastAsia"/>
              </w:rPr>
            </w:pPr>
          </w:p>
          <w:p w14:paraId="18C006C4">
            <w:pPr>
              <w:tabs>
                <w:tab w:val="left" w:pos="4741"/>
              </w:tabs>
              <w:wordWrap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任课教师签名：          </w:t>
            </w:r>
          </w:p>
        </w:tc>
      </w:tr>
      <w:tr w14:paraId="24FB72F2">
        <w:trPr>
          <w:trHeight w:val="567" w:hRule="atLeast"/>
          <w:jc w:val="center"/>
        </w:trPr>
        <w:tc>
          <w:tcPr>
            <w:tcW w:w="61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46C12">
            <w:pPr>
              <w:spacing w:before="0" w:after="0" w:line="276" w:lineRule="auto"/>
              <w:ind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成绩</w:t>
            </w:r>
          </w:p>
        </w:tc>
        <w:tc>
          <w:tcPr>
            <w:tcW w:w="711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98A7D0">
            <w:pPr>
              <w:rPr>
                <w:rFonts w:hint="eastAsia"/>
                <w:sz w:val="28"/>
                <w:szCs w:val="28"/>
              </w:rPr>
            </w:pPr>
          </w:p>
        </w:tc>
      </w:tr>
      <w:tr w14:paraId="6FB2AFA0">
        <w:trPr>
          <w:trHeight w:val="1417" w:hRule="atLeast"/>
          <w:jc w:val="center"/>
        </w:trPr>
        <w:tc>
          <w:tcPr>
            <w:tcW w:w="61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F2F2F2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2028E">
            <w:pPr>
              <w:spacing w:before="0" w:after="0" w:line="276" w:lineRule="auto"/>
              <w:ind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ascii="Heiti SC" w:hAnsi="Heiti SC" w:eastAsia="Heiti SC"/>
                <w:b/>
                <w:i w:val="0"/>
                <w:color w:val="000000"/>
                <w:sz w:val="22"/>
              </w:rPr>
              <w:t>备注</w:t>
            </w:r>
          </w:p>
        </w:tc>
        <w:tc>
          <w:tcPr>
            <w:tcW w:w="711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80F518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70E821DD"/>
    <w:sectPr>
      <w:headerReference r:id="rId6" w:type="default"/>
      <w:footerReference r:id="rId7" w:type="default"/>
      <w:footerReference r:id="rId8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F203F">
    <w:pPr>
      <w:spacing w:before="0" w:after="0"/>
      <w:jc w:val="center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E0A55">
    <w:pPr>
      <w:pStyle w:val="5"/>
      <w:framePr w:wrap="around" w:vAnchor="text" w:hAnchor="margin" w:xAlign="right" w:y="1"/>
      <w:spacing w:before="0" w:after="0"/>
      <w:jc w:val="center"/>
      <w:rPr>
        <w:rStyle w:val="9"/>
      </w:rPr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—</w:t>
    </w:r>
  </w:p>
  <w:p w14:paraId="25D716D0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005BE">
    <w:pPr>
      <w:pStyle w:val="5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fldChar w:fldCharType="end"/>
    </w:r>
  </w:p>
  <w:p w14:paraId="06A6FFC0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BCABB">
    <w:pPr>
      <w:pStyle w:val="6"/>
      <w:pBdr>
        <w:bottom w:val="single" w:color="auto" w:sz="6" w:space="3"/>
      </w:pBdr>
      <w:rPr>
        <w:sz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DF4A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6DFC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0MTcwOWE5NzIyOTBiMWZmNzk1OTIyN2M2YmI1YTQifQ=="/>
  </w:docVars>
  <w:rsids>
    <w:rsidRoot w:val="00055DE4"/>
    <w:rsid w:val="00055DE4"/>
    <w:rsid w:val="001D5FB4"/>
    <w:rsid w:val="02581525"/>
    <w:rsid w:val="06D26311"/>
    <w:rsid w:val="193C08EA"/>
    <w:rsid w:val="19D61256"/>
    <w:rsid w:val="1B8D1DE8"/>
    <w:rsid w:val="21FA08F6"/>
    <w:rsid w:val="29626662"/>
    <w:rsid w:val="30EE4C7F"/>
    <w:rsid w:val="38E075A3"/>
    <w:rsid w:val="3F0044FB"/>
    <w:rsid w:val="440E3758"/>
    <w:rsid w:val="5B5C08B4"/>
    <w:rsid w:val="5C6519EA"/>
    <w:rsid w:val="5DE12388"/>
    <w:rsid w:val="5F902835"/>
    <w:rsid w:val="772B0ADE"/>
    <w:rsid w:val="77F69E52"/>
    <w:rsid w:val="782075F0"/>
    <w:rsid w:val="7B9B0B2D"/>
    <w:rsid w:val="EABFF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b/>
      <w:bCs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ind w:firstLine="420" w:firstLineChars="200"/>
    </w:pPr>
    <w:rPr>
      <w:rFonts w:ascii="宋体" w:hAnsi="宋体"/>
      <w:szCs w:val="32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1663</Words>
  <Characters>1824</Characters>
  <Lines>0</Lines>
  <Paragraphs>0</Paragraphs>
  <TotalTime>3</TotalTime>
  <ScaleCrop>false</ScaleCrop>
  <LinksUpToDate>false</LinksUpToDate>
  <CharactersWithSpaces>2086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2022-05-25T11:01:00Z</dcterms:created>
  <dc:creator>颜</dc:creator>
  <cp:keywords>红酒质量预测, 机器学习, ExtraTrees</cp:keywords>
  <cp:lastModifiedBy>颜</cp:lastModifiedBy>
  <dcterms:modified xsi:type="dcterms:W3CDTF">2026-09-15T15:57:02Z</dcterms:modified>
  <dc:subject>机器学习课程大作业</dc:subject>
  <dc:title>基于机器学习的红酒质量预测研究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500B8D7A49F449CAAE6B7F752D2C06F1_13</vt:lpwstr>
  </property>
</Properties>
</file>