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6E2" w:rsidRPr="007008A5" w:rsidRDefault="002536E2" w:rsidP="002536E2">
      <w:pPr>
        <w:jc w:val="center"/>
        <w:rPr>
          <w:rFonts w:cstheme="minorHAnsi"/>
          <w:b/>
          <w:bCs/>
          <w:sz w:val="40"/>
          <w:szCs w:val="40"/>
        </w:rPr>
      </w:pPr>
      <w:r w:rsidRPr="007008A5">
        <w:rPr>
          <w:rFonts w:cstheme="minorHAnsi"/>
          <w:b/>
          <w:bCs/>
          <w:sz w:val="40"/>
          <w:szCs w:val="40"/>
        </w:rPr>
        <w:t>GYNOVAIRE</w:t>
      </w:r>
      <w:r w:rsidRPr="007008A5">
        <w:rPr>
          <w:rFonts w:eastAsia="Calibri" w:cstheme="minorHAnsi"/>
          <w:b/>
          <w:bCs/>
          <w:color w:val="000000"/>
          <w:sz w:val="40"/>
          <w:szCs w:val="40"/>
        </w:rPr>
        <w:t>®</w:t>
      </w:r>
      <w:r w:rsidRPr="007008A5">
        <w:rPr>
          <w:rFonts w:cstheme="minorHAnsi"/>
          <w:b/>
          <w:bCs/>
          <w:sz w:val="40"/>
          <w:szCs w:val="40"/>
        </w:rPr>
        <w:t xml:space="preserve"> </w:t>
      </w:r>
    </w:p>
    <w:p w:rsidR="002536E2" w:rsidRPr="007008A5" w:rsidRDefault="007008A5" w:rsidP="002536E2">
      <w:pPr>
        <w:rPr>
          <w:rFonts w:cstheme="minorHAnsi"/>
          <w:b/>
          <w:bCs/>
          <w:sz w:val="20"/>
          <w:szCs w:val="20"/>
          <w:u w:val="single"/>
        </w:rPr>
      </w:pPr>
      <w:r w:rsidRPr="007008A5">
        <w:rPr>
          <w:rFonts w:cstheme="minorHAnsi"/>
          <w:b/>
          <w:bCs/>
          <w:sz w:val="20"/>
          <w:szCs w:val="20"/>
          <w:u w:val="single"/>
        </w:rPr>
        <w:t>COMPOSITION</w:t>
      </w:r>
      <w:r w:rsidR="002536E2" w:rsidRPr="007008A5">
        <w:rPr>
          <w:rFonts w:cstheme="minorHAnsi"/>
          <w:b/>
          <w:bCs/>
          <w:sz w:val="20"/>
          <w:szCs w:val="20"/>
          <w:u w:val="single"/>
        </w:rPr>
        <w:t> :</w:t>
      </w:r>
    </w:p>
    <w:p w:rsidR="002536E2" w:rsidRPr="007008A5" w:rsidRDefault="002536E2" w:rsidP="00CB7261">
      <w:pPr>
        <w:tabs>
          <w:tab w:val="left" w:pos="567"/>
        </w:tabs>
        <w:rPr>
          <w:rFonts w:eastAsia="Calibri" w:cstheme="minorHAnsi"/>
          <w:sz w:val="20"/>
          <w:szCs w:val="20"/>
        </w:rPr>
      </w:pPr>
      <w:r w:rsidRPr="007008A5">
        <w:rPr>
          <w:rFonts w:eastAsia="Calibri" w:cstheme="minorHAnsi"/>
          <w:sz w:val="20"/>
          <w:szCs w:val="20"/>
        </w:rPr>
        <w:t xml:space="preserve">Chaque </w:t>
      </w:r>
      <w:r w:rsidR="00CB7261" w:rsidRPr="007008A5">
        <w:rPr>
          <w:rFonts w:eastAsia="Calibri" w:cstheme="minorHAnsi"/>
          <w:color w:val="0D0D0D"/>
          <w:sz w:val="20"/>
          <w:szCs w:val="20"/>
        </w:rPr>
        <w:t>gélule</w:t>
      </w:r>
      <w:r w:rsidRPr="007008A5">
        <w:rPr>
          <w:rFonts w:eastAsia="Calibri" w:cstheme="minorHAnsi"/>
          <w:color w:val="0D0D0D"/>
          <w:sz w:val="20"/>
          <w:szCs w:val="20"/>
        </w:rPr>
        <w:t xml:space="preserve"> de </w:t>
      </w:r>
      <w:r w:rsidR="00CB7261" w:rsidRPr="007008A5">
        <w:rPr>
          <w:rFonts w:eastAsia="Calibri" w:cstheme="minorHAnsi"/>
          <w:b/>
          <w:bCs/>
          <w:color w:val="0D0D0D"/>
          <w:sz w:val="20"/>
          <w:szCs w:val="20"/>
        </w:rPr>
        <w:t>GYNOVAIRE</w:t>
      </w:r>
      <w:r w:rsidRPr="007008A5">
        <w:rPr>
          <w:rFonts w:eastAsia="Calibri" w:cstheme="minorHAnsi"/>
          <w:b/>
          <w:bCs/>
          <w:color w:val="000000"/>
          <w:sz w:val="20"/>
          <w:szCs w:val="20"/>
        </w:rPr>
        <w:t xml:space="preserve">® </w:t>
      </w:r>
      <w:r w:rsidRPr="007008A5">
        <w:rPr>
          <w:rFonts w:eastAsia="Calibri" w:cstheme="minorHAnsi"/>
          <w:sz w:val="20"/>
          <w:szCs w:val="20"/>
        </w:rPr>
        <w:t>contient :</w:t>
      </w:r>
    </w:p>
    <w:tbl>
      <w:tblPr>
        <w:tblStyle w:val="Grilledutableau"/>
        <w:tblW w:w="0" w:type="auto"/>
        <w:tblLook w:val="04A0" w:firstRow="1" w:lastRow="0" w:firstColumn="1" w:lastColumn="0" w:noHBand="0" w:noVBand="1"/>
      </w:tblPr>
      <w:tblGrid>
        <w:gridCol w:w="2398"/>
        <w:gridCol w:w="2835"/>
      </w:tblGrid>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lang w:eastAsia="fr-FR"/>
              </w:rPr>
            </w:pPr>
            <w:r w:rsidRPr="007008A5">
              <w:rPr>
                <w:rFonts w:eastAsia="Times New Roman" w:cstheme="minorHAnsi"/>
                <w:b/>
                <w:bCs/>
                <w:color w:val="000000" w:themeColor="text1"/>
                <w:sz w:val="20"/>
                <w:szCs w:val="20"/>
                <w:lang w:eastAsia="fr-FR"/>
              </w:rPr>
              <w:t xml:space="preserve">Composant </w:t>
            </w:r>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b/>
                <w:bCs/>
                <w:color w:val="000000" w:themeColor="text1"/>
                <w:sz w:val="20"/>
                <w:szCs w:val="20"/>
                <w:rtl/>
                <w:lang w:eastAsia="fr-FR"/>
              </w:rPr>
              <w:t xml:space="preserve"> </w:t>
            </w:r>
            <w:r w:rsidRPr="007008A5">
              <w:rPr>
                <w:rFonts w:eastAsia="Times New Roman" w:cstheme="minorHAnsi"/>
                <w:b/>
                <w:bCs/>
                <w:color w:val="000000" w:themeColor="text1"/>
                <w:sz w:val="20"/>
                <w:szCs w:val="20"/>
                <w:lang w:eastAsia="fr-FR"/>
              </w:rPr>
              <w:t>Quantité</w:t>
            </w:r>
            <w:r w:rsidRPr="007008A5">
              <w:rPr>
                <w:rFonts w:eastAsia="Times New Roman" w:cstheme="minorHAnsi"/>
                <w:b/>
                <w:bCs/>
                <w:color w:val="000000" w:themeColor="text1"/>
                <w:sz w:val="20"/>
                <w:szCs w:val="20"/>
                <w:rtl/>
                <w:lang w:eastAsia="fr-FR"/>
              </w:rPr>
              <w:t xml:space="preserve"> </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rtl/>
                <w:lang w:eastAsia="fr-FR"/>
              </w:rPr>
            </w:pPr>
            <w:proofErr w:type="spellStart"/>
            <w:r w:rsidRPr="007008A5">
              <w:rPr>
                <w:rFonts w:eastAsia="Times New Roman" w:cstheme="minorHAnsi"/>
                <w:color w:val="000000" w:themeColor="text1"/>
                <w:sz w:val="20"/>
                <w:szCs w:val="20"/>
                <w:lang w:eastAsia="fr-FR"/>
              </w:rPr>
              <w:t>L-arginine</w:t>
            </w:r>
            <w:proofErr w:type="spellEnd"/>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50mg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rtl/>
                <w:lang w:eastAsia="fr-FR"/>
              </w:rPr>
            </w:pPr>
            <w:r w:rsidRPr="007008A5">
              <w:rPr>
                <w:rFonts w:eastAsia="Times New Roman" w:cstheme="minorHAnsi"/>
                <w:color w:val="000000" w:themeColor="text1"/>
                <w:sz w:val="20"/>
                <w:szCs w:val="20"/>
                <w:lang w:eastAsia="fr-FR"/>
              </w:rPr>
              <w:t>N-</w:t>
            </w:r>
            <w:proofErr w:type="spellStart"/>
            <w:r w:rsidRPr="007008A5">
              <w:rPr>
                <w:rFonts w:eastAsia="Times New Roman" w:cstheme="minorHAnsi"/>
                <w:color w:val="000000" w:themeColor="text1"/>
                <w:sz w:val="20"/>
                <w:szCs w:val="20"/>
                <w:lang w:eastAsia="fr-FR"/>
              </w:rPr>
              <w:t>acetylcysteine</w:t>
            </w:r>
            <w:proofErr w:type="spellEnd"/>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50mg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Extrait de Gattilier</w:t>
            </w:r>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25mg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Inositol</w:t>
            </w:r>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100mg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Extrait de thé vert</w:t>
            </w:r>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10mg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Extrait d’onagre</w:t>
            </w:r>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rtl/>
                <w:lang w:eastAsia="fr-FR"/>
              </w:rPr>
              <w:t xml:space="preserve"> </w:t>
            </w:r>
            <w:r w:rsidRPr="007008A5">
              <w:rPr>
                <w:rFonts w:eastAsia="Times New Roman" w:cstheme="minorHAnsi"/>
                <w:color w:val="000000" w:themeColor="text1"/>
                <w:sz w:val="20"/>
                <w:szCs w:val="20"/>
                <w:lang w:eastAsia="fr-FR"/>
              </w:rPr>
              <w:t>25mg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i/>
                <w:iCs/>
                <w:color w:val="000000" w:themeColor="text1"/>
                <w:sz w:val="20"/>
                <w:szCs w:val="20"/>
                <w:lang w:eastAsia="fr-FR"/>
              </w:rPr>
            </w:pPr>
            <w:proofErr w:type="spellStart"/>
            <w:r w:rsidRPr="007008A5">
              <w:rPr>
                <w:rFonts w:eastAsia="Times New Roman" w:cstheme="minorHAnsi"/>
                <w:i/>
                <w:iCs/>
                <w:color w:val="000000" w:themeColor="text1"/>
                <w:sz w:val="20"/>
                <w:szCs w:val="20"/>
                <w:lang w:eastAsia="fr-FR"/>
              </w:rPr>
              <w:t>TribulusTerrestis</w:t>
            </w:r>
            <w:proofErr w:type="spellEnd"/>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20mg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lang w:eastAsia="fr-FR"/>
              </w:rPr>
            </w:pPr>
            <w:proofErr w:type="spellStart"/>
            <w:r w:rsidRPr="007008A5">
              <w:rPr>
                <w:rFonts w:cstheme="minorHAnsi"/>
                <w:color w:val="000000" w:themeColor="text1"/>
                <w:sz w:val="20"/>
                <w:szCs w:val="20"/>
              </w:rPr>
              <w:t>Lycopène</w:t>
            </w:r>
            <w:proofErr w:type="spellEnd"/>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rtl/>
                <w:lang w:eastAsia="fr-FR"/>
              </w:rPr>
              <w:t xml:space="preserve"> </w:t>
            </w:r>
            <w:r w:rsidRPr="007008A5">
              <w:rPr>
                <w:rFonts w:eastAsia="Times New Roman" w:cstheme="minorHAnsi"/>
                <w:color w:val="000000" w:themeColor="text1"/>
                <w:sz w:val="20"/>
                <w:szCs w:val="20"/>
                <w:lang w:eastAsia="fr-FR"/>
              </w:rPr>
              <w:t>5mg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lang w:eastAsia="fr-FR"/>
              </w:rPr>
            </w:pPr>
            <w:proofErr w:type="spellStart"/>
            <w:r w:rsidRPr="007008A5">
              <w:rPr>
                <w:rFonts w:eastAsia="Times New Roman" w:cstheme="minorHAnsi"/>
                <w:color w:val="000000" w:themeColor="text1"/>
                <w:sz w:val="20"/>
                <w:szCs w:val="20"/>
                <w:lang w:eastAsia="fr-FR"/>
              </w:rPr>
              <w:t>Méthylcobalamine</w:t>
            </w:r>
            <w:proofErr w:type="spellEnd"/>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100mcg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Nicotinamide</w:t>
            </w:r>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20.5mg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Acide Para-amino-benzoïque (PABA)</w:t>
            </w:r>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10mg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lang w:eastAsia="fr-FR"/>
              </w:rPr>
            </w:pPr>
            <w:proofErr w:type="spellStart"/>
            <w:r w:rsidRPr="007008A5">
              <w:rPr>
                <w:rFonts w:eastAsia="Times New Roman" w:cstheme="minorHAnsi"/>
                <w:color w:val="000000" w:themeColor="text1"/>
                <w:sz w:val="20"/>
                <w:szCs w:val="20"/>
                <w:lang w:eastAsia="fr-FR"/>
              </w:rPr>
              <w:t>Iodine</w:t>
            </w:r>
            <w:proofErr w:type="spellEnd"/>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50mcg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hideMark/>
          </w:tcPr>
          <w:p w:rsidR="002536E2" w:rsidRPr="007008A5" w:rsidRDefault="002536E2" w:rsidP="007D6B03">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Acide folique</w:t>
            </w:r>
          </w:p>
        </w:tc>
        <w:tc>
          <w:tcPr>
            <w:tcW w:w="2835" w:type="dxa"/>
            <w:tcBorders>
              <w:top w:val="single" w:sz="4" w:space="0" w:color="auto"/>
              <w:left w:val="single" w:sz="4" w:space="0" w:color="auto"/>
              <w:bottom w:val="single" w:sz="4" w:space="0" w:color="auto"/>
              <w:right w:val="single" w:sz="4" w:space="0" w:color="auto"/>
            </w:tcBorders>
            <w:noWrap/>
            <w:hideMark/>
          </w:tcPr>
          <w:p w:rsidR="002536E2" w:rsidRPr="007008A5" w:rsidRDefault="002536E2" w:rsidP="007D6B03">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400mcg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Vitamine B1</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5mg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Vitamine B6</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10mg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Vitamine B2</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2.5mg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bidi="ar-DZ"/>
              </w:rPr>
            </w:pPr>
            <w:r w:rsidRPr="007008A5">
              <w:rPr>
                <w:rFonts w:eastAsia="Times New Roman" w:cstheme="minorHAnsi"/>
                <w:color w:val="000000" w:themeColor="text1"/>
                <w:sz w:val="20"/>
                <w:szCs w:val="20"/>
                <w:lang w:eastAsia="fr-FR"/>
              </w:rPr>
              <w:t>Vitamine D</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8869B4" w:rsidP="002536E2">
            <w:pPr>
              <w:spacing w:after="150"/>
              <w:jc w:val="center"/>
              <w:rPr>
                <w:rFonts w:eastAsia="Times New Roman" w:cstheme="minorHAnsi"/>
                <w:color w:val="000000" w:themeColor="text1"/>
                <w:sz w:val="20"/>
                <w:szCs w:val="20"/>
                <w:rtl/>
                <w:lang w:eastAsia="fr-FR"/>
              </w:rPr>
            </w:pPr>
            <w:r>
              <w:rPr>
                <w:rFonts w:eastAsia="Times New Roman" w:cstheme="minorHAnsi"/>
                <w:color w:val="000000" w:themeColor="text1"/>
                <w:sz w:val="20"/>
                <w:szCs w:val="20"/>
                <w:lang w:eastAsia="fr-FR"/>
              </w:rPr>
              <w:t xml:space="preserve">400 </w:t>
            </w:r>
            <w:r w:rsidR="002536E2" w:rsidRPr="007008A5">
              <w:rPr>
                <w:rFonts w:eastAsia="Times New Roman" w:cstheme="minorHAnsi"/>
                <w:color w:val="000000" w:themeColor="text1"/>
                <w:sz w:val="20"/>
                <w:szCs w:val="20"/>
                <w:lang w:eastAsia="fr-FR"/>
              </w:rPr>
              <w:t>IU</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Vitamine E</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rtl/>
                <w:lang w:eastAsia="fr-FR"/>
              </w:rPr>
              <w:t xml:space="preserve">12.5  </w:t>
            </w:r>
            <w:r w:rsidRPr="007008A5">
              <w:rPr>
                <w:rFonts w:eastAsia="Times New Roman" w:cstheme="minorHAnsi"/>
                <w:color w:val="000000" w:themeColor="text1"/>
                <w:sz w:val="20"/>
                <w:szCs w:val="20"/>
                <w:lang w:eastAsia="fr-FR"/>
              </w:rPr>
              <w:t>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Vitamine C</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rtl/>
                <w:lang w:eastAsia="fr-FR"/>
              </w:rPr>
              <w:t xml:space="preserve"> </w:t>
            </w:r>
            <w:r w:rsidRPr="007008A5">
              <w:rPr>
                <w:rFonts w:eastAsia="Times New Roman" w:cstheme="minorHAnsi"/>
                <w:color w:val="000000" w:themeColor="text1"/>
                <w:sz w:val="20"/>
                <w:szCs w:val="20"/>
                <w:lang w:eastAsia="fr-FR"/>
              </w:rPr>
              <w:t>40mg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Vitamine A</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1250 IU</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proofErr w:type="spellStart"/>
            <w:r w:rsidRPr="007008A5">
              <w:rPr>
                <w:rFonts w:eastAsia="Times New Roman" w:cstheme="minorHAnsi"/>
                <w:color w:val="000000" w:themeColor="text1"/>
                <w:sz w:val="20"/>
                <w:szCs w:val="20"/>
                <w:lang w:eastAsia="fr-FR"/>
              </w:rPr>
              <w:t>Sulphate</w:t>
            </w:r>
            <w:proofErr w:type="spellEnd"/>
            <w:r w:rsidRPr="007008A5">
              <w:rPr>
                <w:rFonts w:eastAsia="Times New Roman" w:cstheme="minorHAnsi"/>
                <w:color w:val="000000" w:themeColor="text1"/>
                <w:sz w:val="20"/>
                <w:szCs w:val="20"/>
                <w:lang w:eastAsia="fr-FR"/>
              </w:rPr>
              <w:t xml:space="preserve"> de Zinc</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5mg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proofErr w:type="spellStart"/>
            <w:r w:rsidRPr="007008A5">
              <w:rPr>
                <w:rFonts w:eastAsia="Times New Roman" w:cstheme="minorHAnsi"/>
                <w:color w:val="000000" w:themeColor="text1"/>
                <w:sz w:val="20"/>
                <w:szCs w:val="20"/>
                <w:lang w:eastAsia="fr-FR"/>
              </w:rPr>
              <w:t>Chromium</w:t>
            </w:r>
            <w:proofErr w:type="spellEnd"/>
            <w:r w:rsidRPr="007008A5">
              <w:rPr>
                <w:rFonts w:eastAsia="Times New Roman" w:cstheme="minorHAnsi"/>
                <w:color w:val="000000" w:themeColor="text1"/>
                <w:sz w:val="20"/>
                <w:szCs w:val="20"/>
                <w:lang w:eastAsia="fr-FR"/>
              </w:rPr>
              <w:t xml:space="preserve"> </w:t>
            </w:r>
            <w:proofErr w:type="spellStart"/>
            <w:r w:rsidRPr="007008A5">
              <w:rPr>
                <w:rFonts w:eastAsia="Times New Roman" w:cstheme="minorHAnsi"/>
                <w:color w:val="000000" w:themeColor="text1"/>
                <w:sz w:val="20"/>
                <w:szCs w:val="20"/>
                <w:lang w:eastAsia="fr-FR"/>
              </w:rPr>
              <w:t>picolinate</w:t>
            </w:r>
            <w:proofErr w:type="spellEnd"/>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100mcg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 xml:space="preserve">Sélénite de sodium </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80mcg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proofErr w:type="spellStart"/>
            <w:r w:rsidRPr="007008A5">
              <w:rPr>
                <w:rFonts w:eastAsia="Times New Roman" w:cstheme="minorHAnsi"/>
                <w:color w:val="000000" w:themeColor="text1"/>
                <w:sz w:val="20"/>
                <w:szCs w:val="20"/>
                <w:lang w:eastAsia="fr-FR"/>
              </w:rPr>
              <w:t>Fumerate</w:t>
            </w:r>
            <w:proofErr w:type="spellEnd"/>
            <w:r w:rsidRPr="007008A5">
              <w:rPr>
                <w:rFonts w:eastAsia="Times New Roman" w:cstheme="minorHAnsi"/>
                <w:color w:val="000000" w:themeColor="text1"/>
                <w:sz w:val="20"/>
                <w:szCs w:val="20"/>
                <w:lang w:eastAsia="fr-FR"/>
              </w:rPr>
              <w:t xml:space="preserve"> de fer </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25mg</w:t>
            </w:r>
          </w:p>
        </w:tc>
      </w:tr>
      <w:tr w:rsidR="002536E2" w:rsidRPr="007008A5" w:rsidTr="002536E2">
        <w:trPr>
          <w:trHeight w:val="70"/>
        </w:trPr>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proofErr w:type="spellStart"/>
            <w:r w:rsidRPr="007008A5">
              <w:rPr>
                <w:rFonts w:eastAsia="Times New Roman" w:cstheme="minorHAnsi"/>
                <w:color w:val="000000" w:themeColor="text1"/>
                <w:sz w:val="20"/>
                <w:szCs w:val="20"/>
                <w:lang w:eastAsia="fr-FR"/>
              </w:rPr>
              <w:t>Sulphate</w:t>
            </w:r>
            <w:proofErr w:type="spellEnd"/>
            <w:r w:rsidRPr="007008A5">
              <w:rPr>
                <w:rFonts w:eastAsia="Times New Roman" w:cstheme="minorHAnsi"/>
                <w:color w:val="000000" w:themeColor="text1"/>
                <w:sz w:val="20"/>
                <w:szCs w:val="20"/>
                <w:lang w:eastAsia="fr-FR"/>
              </w:rPr>
              <w:t xml:space="preserve"> de manganèse </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1.5mg</w:t>
            </w:r>
          </w:p>
        </w:tc>
      </w:tr>
      <w:tr w:rsidR="002536E2" w:rsidRPr="007008A5" w:rsidTr="002536E2">
        <w:tc>
          <w:tcPr>
            <w:tcW w:w="3655" w:type="dxa"/>
            <w:tcBorders>
              <w:top w:val="single" w:sz="4" w:space="0" w:color="auto"/>
              <w:left w:val="single" w:sz="4" w:space="0" w:color="auto"/>
              <w:bottom w:val="single" w:sz="4" w:space="0" w:color="auto"/>
              <w:right w:val="single" w:sz="4" w:space="0" w:color="auto"/>
            </w:tcBorders>
          </w:tcPr>
          <w:p w:rsidR="002536E2" w:rsidRPr="007008A5" w:rsidRDefault="002536E2" w:rsidP="002536E2">
            <w:pPr>
              <w:spacing w:after="150"/>
              <w:rPr>
                <w:rFonts w:eastAsia="Times New Roman" w:cstheme="minorHAnsi"/>
                <w:color w:val="000000" w:themeColor="text1"/>
                <w:sz w:val="20"/>
                <w:szCs w:val="20"/>
                <w:lang w:eastAsia="fr-FR"/>
              </w:rPr>
            </w:pPr>
            <w:proofErr w:type="spellStart"/>
            <w:r w:rsidRPr="007008A5">
              <w:rPr>
                <w:rFonts w:eastAsia="Times New Roman" w:cstheme="minorHAnsi"/>
                <w:color w:val="000000" w:themeColor="text1"/>
                <w:sz w:val="20"/>
                <w:szCs w:val="20"/>
                <w:lang w:eastAsia="fr-FR"/>
              </w:rPr>
              <w:t>Sulphate</w:t>
            </w:r>
            <w:proofErr w:type="spellEnd"/>
            <w:r w:rsidRPr="007008A5">
              <w:rPr>
                <w:rFonts w:eastAsia="Times New Roman" w:cstheme="minorHAnsi"/>
                <w:color w:val="000000" w:themeColor="text1"/>
                <w:sz w:val="20"/>
                <w:szCs w:val="20"/>
                <w:lang w:eastAsia="fr-FR"/>
              </w:rPr>
              <w:t xml:space="preserve"> de cuivre </w:t>
            </w:r>
          </w:p>
        </w:tc>
        <w:tc>
          <w:tcPr>
            <w:tcW w:w="2835" w:type="dxa"/>
            <w:tcBorders>
              <w:top w:val="single" w:sz="4" w:space="0" w:color="auto"/>
              <w:left w:val="single" w:sz="4" w:space="0" w:color="auto"/>
              <w:bottom w:val="single" w:sz="4" w:space="0" w:color="auto"/>
              <w:right w:val="single" w:sz="4" w:space="0" w:color="auto"/>
            </w:tcBorders>
            <w:noWrap/>
          </w:tcPr>
          <w:p w:rsidR="002536E2" w:rsidRPr="007008A5" w:rsidRDefault="002536E2" w:rsidP="002536E2">
            <w:pPr>
              <w:spacing w:after="150"/>
              <w:jc w:val="center"/>
              <w:rPr>
                <w:rFonts w:eastAsia="Times New Roman" w:cstheme="minorHAnsi"/>
                <w:color w:val="000000" w:themeColor="text1"/>
                <w:sz w:val="20"/>
                <w:szCs w:val="20"/>
                <w:lang w:eastAsia="fr-FR"/>
              </w:rPr>
            </w:pPr>
            <w:r w:rsidRPr="007008A5">
              <w:rPr>
                <w:rFonts w:eastAsia="Times New Roman" w:cstheme="minorHAnsi"/>
                <w:color w:val="000000" w:themeColor="text1"/>
                <w:sz w:val="20"/>
                <w:szCs w:val="20"/>
                <w:lang w:eastAsia="fr-FR"/>
              </w:rPr>
              <w:t>500mcg</w:t>
            </w:r>
          </w:p>
        </w:tc>
      </w:tr>
    </w:tbl>
    <w:p w:rsidR="00CB7261" w:rsidRPr="007008A5" w:rsidRDefault="00CB7261" w:rsidP="00CB7261">
      <w:pPr>
        <w:spacing w:after="0"/>
        <w:jc w:val="both"/>
        <w:rPr>
          <w:rFonts w:cstheme="minorHAnsi"/>
          <w:b/>
          <w:bCs/>
          <w:sz w:val="20"/>
          <w:szCs w:val="20"/>
        </w:rPr>
      </w:pPr>
    </w:p>
    <w:p w:rsidR="002536E2" w:rsidRPr="007008A5" w:rsidRDefault="002536E2" w:rsidP="00CB7261">
      <w:pPr>
        <w:spacing w:after="0"/>
        <w:jc w:val="both"/>
        <w:rPr>
          <w:rFonts w:cstheme="minorHAnsi"/>
          <w:sz w:val="20"/>
          <w:szCs w:val="20"/>
        </w:rPr>
      </w:pPr>
      <w:r w:rsidRPr="007008A5">
        <w:rPr>
          <w:rFonts w:cstheme="minorHAnsi"/>
          <w:b/>
          <w:bCs/>
          <w:sz w:val="20"/>
          <w:szCs w:val="20"/>
        </w:rPr>
        <w:t xml:space="preserve">Autre composition : </w:t>
      </w:r>
      <w:r w:rsidRPr="007008A5">
        <w:rPr>
          <w:rFonts w:cstheme="minorHAnsi"/>
          <w:sz w:val="20"/>
          <w:szCs w:val="20"/>
        </w:rPr>
        <w:t>Di-calcium de phosphate, Stéarate de magnésium</w:t>
      </w:r>
      <w:r w:rsidRPr="007008A5">
        <w:rPr>
          <w:rFonts w:cstheme="minorHAnsi"/>
          <w:b/>
          <w:bCs/>
          <w:sz w:val="20"/>
          <w:szCs w:val="20"/>
        </w:rPr>
        <w:t xml:space="preserve">, </w:t>
      </w:r>
      <w:r w:rsidRPr="007008A5">
        <w:rPr>
          <w:rFonts w:cstheme="minorHAnsi"/>
          <w:sz w:val="20"/>
          <w:szCs w:val="20"/>
        </w:rPr>
        <w:t>Dioxyde de silicone, Talc,</w:t>
      </w:r>
      <w:r w:rsidRPr="007008A5">
        <w:rPr>
          <w:rFonts w:cstheme="minorHAnsi"/>
          <w:b/>
          <w:bCs/>
          <w:sz w:val="20"/>
          <w:szCs w:val="20"/>
        </w:rPr>
        <w:t xml:space="preserve"> </w:t>
      </w:r>
      <w:r w:rsidRPr="007008A5">
        <w:rPr>
          <w:rFonts w:cstheme="minorHAnsi"/>
          <w:sz w:val="20"/>
          <w:szCs w:val="20"/>
        </w:rPr>
        <w:t>Excédents de vitamines.</w:t>
      </w:r>
    </w:p>
    <w:p w:rsidR="00CB7261" w:rsidRPr="007008A5" w:rsidRDefault="00CB7261" w:rsidP="00CB7261">
      <w:pPr>
        <w:spacing w:after="0"/>
        <w:jc w:val="both"/>
        <w:rPr>
          <w:rFonts w:cstheme="minorHAnsi"/>
          <w:b/>
          <w:bCs/>
          <w:sz w:val="20"/>
          <w:szCs w:val="20"/>
        </w:rPr>
      </w:pPr>
    </w:p>
    <w:p w:rsidR="00CB7261" w:rsidRPr="007008A5" w:rsidRDefault="002536E2" w:rsidP="00CB7261">
      <w:pPr>
        <w:spacing w:after="0"/>
        <w:jc w:val="both"/>
        <w:rPr>
          <w:rFonts w:cstheme="minorHAnsi"/>
          <w:b/>
          <w:bCs/>
          <w:sz w:val="20"/>
          <w:szCs w:val="20"/>
          <w:u w:val="single"/>
        </w:rPr>
      </w:pPr>
      <w:r w:rsidRPr="007008A5">
        <w:rPr>
          <w:rFonts w:cstheme="minorHAnsi"/>
          <w:b/>
          <w:bCs/>
          <w:sz w:val="20"/>
          <w:szCs w:val="20"/>
          <w:u w:val="single"/>
        </w:rPr>
        <w:t>LA DESCRIPTION</w:t>
      </w:r>
    </w:p>
    <w:p w:rsidR="002536E2" w:rsidRPr="007008A5" w:rsidRDefault="002536E2" w:rsidP="007008A5">
      <w:pPr>
        <w:spacing w:after="0"/>
        <w:jc w:val="mediumKashida"/>
        <w:rPr>
          <w:rFonts w:cstheme="minorHAnsi"/>
          <w:sz w:val="20"/>
          <w:szCs w:val="20"/>
        </w:rPr>
      </w:pPr>
      <w:r w:rsidRPr="007008A5">
        <w:rPr>
          <w:rFonts w:cstheme="minorHAnsi"/>
          <w:b/>
          <w:bCs/>
          <w:sz w:val="20"/>
          <w:szCs w:val="20"/>
        </w:rPr>
        <w:t>GYNOVAIRE</w:t>
      </w:r>
      <w:r w:rsidRPr="007008A5">
        <w:rPr>
          <w:rFonts w:eastAsia="Calibri" w:cstheme="minorHAnsi"/>
          <w:b/>
          <w:bCs/>
          <w:color w:val="000000"/>
          <w:sz w:val="20"/>
          <w:szCs w:val="20"/>
        </w:rPr>
        <w:t>®</w:t>
      </w:r>
      <w:r w:rsidRPr="007008A5">
        <w:rPr>
          <w:rFonts w:cstheme="minorHAnsi"/>
          <w:sz w:val="20"/>
          <w:szCs w:val="20"/>
        </w:rPr>
        <w:t xml:space="preserve"> est une formulation spécialement conçue pour traiter les problèmes associés à l'infertilité chez la femme. Cette formulation améliore remarquablement les fonctions ovariennes et restaure les cycles menstruels entravés. </w:t>
      </w:r>
      <w:r w:rsidR="007008A5" w:rsidRPr="007008A5">
        <w:rPr>
          <w:rFonts w:cstheme="minorHAnsi"/>
          <w:sz w:val="20"/>
          <w:szCs w:val="20"/>
        </w:rPr>
        <w:t xml:space="preserve">                                                                </w:t>
      </w:r>
      <w:r w:rsidRPr="007008A5">
        <w:rPr>
          <w:rFonts w:cstheme="minorHAnsi"/>
          <w:b/>
          <w:bCs/>
          <w:sz w:val="20"/>
          <w:szCs w:val="20"/>
        </w:rPr>
        <w:lastRenderedPageBreak/>
        <w:t>GYNOVAIRE</w:t>
      </w:r>
      <w:r w:rsidRPr="007008A5">
        <w:rPr>
          <w:rFonts w:eastAsia="Calibri" w:cstheme="minorHAnsi"/>
          <w:b/>
          <w:bCs/>
          <w:color w:val="000000"/>
          <w:sz w:val="20"/>
          <w:szCs w:val="20"/>
        </w:rPr>
        <w:t>®</w:t>
      </w:r>
      <w:r w:rsidRPr="007008A5">
        <w:rPr>
          <w:rFonts w:cstheme="minorHAnsi"/>
          <w:sz w:val="20"/>
          <w:szCs w:val="20"/>
        </w:rPr>
        <w:t xml:space="preserve"> contient tous les nutriments essentiels qui sont importants pour le processus de conception.</w:t>
      </w:r>
    </w:p>
    <w:p w:rsidR="002536E2" w:rsidRPr="007008A5" w:rsidRDefault="002536E2" w:rsidP="00CB7261">
      <w:pPr>
        <w:spacing w:after="0"/>
        <w:jc w:val="both"/>
        <w:rPr>
          <w:rFonts w:cstheme="minorHAnsi"/>
          <w:sz w:val="20"/>
          <w:szCs w:val="20"/>
        </w:rPr>
      </w:pPr>
    </w:p>
    <w:p w:rsidR="005F28ED" w:rsidRPr="005F28ED" w:rsidRDefault="005F28ED" w:rsidP="005F28ED">
      <w:pPr>
        <w:spacing w:after="0"/>
        <w:jc w:val="both"/>
        <w:rPr>
          <w:rFonts w:cstheme="minorHAnsi"/>
          <w:sz w:val="20"/>
          <w:szCs w:val="20"/>
        </w:rPr>
      </w:pPr>
      <w:r w:rsidRPr="005F28ED">
        <w:rPr>
          <w:rFonts w:cstheme="minorHAnsi"/>
          <w:b/>
          <w:bCs/>
          <w:sz w:val="20"/>
          <w:szCs w:val="20"/>
        </w:rPr>
        <w:t xml:space="preserve">La </w:t>
      </w:r>
      <w:proofErr w:type="spellStart"/>
      <w:r w:rsidRPr="005F28ED">
        <w:rPr>
          <w:rFonts w:cstheme="minorHAnsi"/>
          <w:b/>
          <w:bCs/>
          <w:sz w:val="20"/>
          <w:szCs w:val="20"/>
        </w:rPr>
        <w:t>L-arginine</w:t>
      </w:r>
      <w:proofErr w:type="spellEnd"/>
      <w:r w:rsidRPr="005F28ED">
        <w:rPr>
          <w:rFonts w:cstheme="minorHAnsi"/>
          <w:b/>
          <w:bCs/>
          <w:sz w:val="20"/>
          <w:szCs w:val="20"/>
        </w:rPr>
        <w:t xml:space="preserve"> </w:t>
      </w:r>
      <w:r w:rsidRPr="005F28ED">
        <w:rPr>
          <w:rFonts w:cstheme="minorHAnsi"/>
          <w:sz w:val="20"/>
          <w:szCs w:val="20"/>
        </w:rPr>
        <w:t>améliore la fertilité chez les hommes et les femmes. Cet acide aminé augmente la circulation sanguine vers les organes génitaux, l'utérus et les ovaires et stimule la production maximale d'ovules. L'augmentation du flux sanguin vers l'utérus assure une implantation facile des ovules fécondés.</w:t>
      </w:r>
    </w:p>
    <w:p w:rsidR="002536E2" w:rsidRPr="005F28ED" w:rsidRDefault="005F28ED" w:rsidP="005F28ED">
      <w:pPr>
        <w:spacing w:after="0"/>
        <w:jc w:val="both"/>
        <w:rPr>
          <w:rFonts w:cstheme="minorHAnsi"/>
          <w:sz w:val="20"/>
          <w:szCs w:val="20"/>
        </w:rPr>
      </w:pPr>
      <w:r w:rsidRPr="005F28ED">
        <w:rPr>
          <w:rFonts w:cstheme="minorHAnsi"/>
          <w:b/>
          <w:bCs/>
          <w:sz w:val="20"/>
          <w:szCs w:val="20"/>
        </w:rPr>
        <w:t xml:space="preserve">La </w:t>
      </w:r>
      <w:proofErr w:type="spellStart"/>
      <w:r w:rsidRPr="005F28ED">
        <w:rPr>
          <w:rFonts w:cstheme="minorHAnsi"/>
          <w:b/>
          <w:bCs/>
          <w:sz w:val="20"/>
          <w:szCs w:val="20"/>
        </w:rPr>
        <w:t>L-arginine</w:t>
      </w:r>
      <w:proofErr w:type="spellEnd"/>
      <w:r w:rsidRPr="005F28ED">
        <w:rPr>
          <w:rFonts w:cstheme="minorHAnsi"/>
          <w:sz w:val="20"/>
          <w:szCs w:val="20"/>
        </w:rPr>
        <w:t xml:space="preserve"> est également importante pour la</w:t>
      </w:r>
      <w:r>
        <w:rPr>
          <w:rFonts w:cstheme="minorHAnsi"/>
          <w:sz w:val="20"/>
          <w:szCs w:val="20"/>
        </w:rPr>
        <w:t xml:space="preserve"> </w:t>
      </w:r>
      <w:r w:rsidRPr="005F28ED">
        <w:rPr>
          <w:rFonts w:cstheme="minorHAnsi"/>
          <w:sz w:val="20"/>
          <w:szCs w:val="20"/>
        </w:rPr>
        <w:t>production de glaire cervicale à des niveaux optimaux, ce qui est nécessaire à la motilité des spermatozoïdes pendant la fécondation.</w:t>
      </w:r>
    </w:p>
    <w:p w:rsidR="005F28ED" w:rsidRPr="005F28ED" w:rsidRDefault="005F28ED" w:rsidP="005F28ED">
      <w:pPr>
        <w:spacing w:after="0"/>
        <w:jc w:val="both"/>
        <w:rPr>
          <w:rFonts w:cstheme="minorHAnsi"/>
          <w:sz w:val="20"/>
          <w:szCs w:val="20"/>
        </w:rPr>
      </w:pPr>
    </w:p>
    <w:p w:rsidR="002536E2" w:rsidRPr="005F28ED" w:rsidRDefault="005F28ED" w:rsidP="005F28ED">
      <w:pPr>
        <w:spacing w:after="0"/>
        <w:jc w:val="both"/>
        <w:rPr>
          <w:rFonts w:cstheme="minorHAnsi"/>
          <w:sz w:val="20"/>
          <w:szCs w:val="20"/>
        </w:rPr>
      </w:pPr>
      <w:r w:rsidRPr="005F28ED">
        <w:rPr>
          <w:rFonts w:cstheme="minorHAnsi"/>
          <w:b/>
          <w:bCs/>
          <w:sz w:val="20"/>
          <w:szCs w:val="20"/>
        </w:rPr>
        <w:t>La N-</w:t>
      </w:r>
      <w:proofErr w:type="spellStart"/>
      <w:r w:rsidRPr="005F28ED">
        <w:rPr>
          <w:rFonts w:cstheme="minorHAnsi"/>
          <w:b/>
          <w:bCs/>
          <w:sz w:val="20"/>
          <w:szCs w:val="20"/>
        </w:rPr>
        <w:t>acétyl</w:t>
      </w:r>
      <w:proofErr w:type="spellEnd"/>
      <w:r w:rsidRPr="005F28ED">
        <w:rPr>
          <w:rFonts w:cstheme="minorHAnsi"/>
          <w:b/>
          <w:bCs/>
          <w:sz w:val="20"/>
          <w:szCs w:val="20"/>
        </w:rPr>
        <w:t xml:space="preserve"> cystéine</w:t>
      </w:r>
      <w:r w:rsidRPr="005F28ED">
        <w:rPr>
          <w:rFonts w:cstheme="minorHAnsi"/>
          <w:sz w:val="20"/>
          <w:szCs w:val="20"/>
        </w:rPr>
        <w:t xml:space="preserve"> est un antioxydant puissant, dont l'administration e</w:t>
      </w:r>
      <w:r>
        <w:rPr>
          <w:rFonts w:cstheme="minorHAnsi"/>
          <w:sz w:val="20"/>
          <w:szCs w:val="20"/>
        </w:rPr>
        <w:t>st utile dans le traitement du</w:t>
      </w:r>
      <w:r w:rsidRPr="005F28ED">
        <w:rPr>
          <w:rFonts w:cstheme="minorHAnsi"/>
          <w:sz w:val="20"/>
          <w:szCs w:val="20"/>
        </w:rPr>
        <w:t xml:space="preserve"> syndrome des ovaires polykystiques (SOPK) et des fausses couches récurrentes. Le stress oxydatif déclenché par les radicaux libres provoque de           nombreux troubles associés à la fertilité tels que le SOPK, des règles ir</w:t>
      </w:r>
      <w:r>
        <w:rPr>
          <w:rFonts w:cstheme="minorHAnsi"/>
          <w:sz w:val="20"/>
          <w:szCs w:val="20"/>
        </w:rPr>
        <w:t>régulières, une anovulation, un</w:t>
      </w:r>
      <w:r w:rsidRPr="005F28ED">
        <w:rPr>
          <w:rFonts w:cstheme="minorHAnsi"/>
          <w:sz w:val="20"/>
          <w:szCs w:val="20"/>
        </w:rPr>
        <w:t xml:space="preserve"> déséquilibre hormonal, une santé des œufs réduite et des fausses couches inexpliquées. La N-</w:t>
      </w:r>
      <w:proofErr w:type="spellStart"/>
      <w:r w:rsidRPr="005F28ED">
        <w:rPr>
          <w:rFonts w:cstheme="minorHAnsi"/>
          <w:sz w:val="20"/>
          <w:szCs w:val="20"/>
        </w:rPr>
        <w:t>acétyl</w:t>
      </w:r>
      <w:proofErr w:type="spellEnd"/>
      <w:r w:rsidRPr="005F28ED">
        <w:rPr>
          <w:rFonts w:cstheme="minorHAnsi"/>
          <w:sz w:val="20"/>
          <w:szCs w:val="20"/>
        </w:rPr>
        <w:t xml:space="preserve"> cystéine étant un antioxydant neutralise l'activité des radicaux libres et favorise l'ovulation. La N-</w:t>
      </w:r>
      <w:proofErr w:type="spellStart"/>
      <w:r w:rsidRPr="005F28ED">
        <w:rPr>
          <w:rFonts w:cstheme="minorHAnsi"/>
          <w:sz w:val="20"/>
          <w:szCs w:val="20"/>
        </w:rPr>
        <w:t>acétyl</w:t>
      </w:r>
      <w:proofErr w:type="spellEnd"/>
      <w:r w:rsidRPr="005F28ED">
        <w:rPr>
          <w:rFonts w:cstheme="minorHAnsi"/>
          <w:sz w:val="20"/>
          <w:szCs w:val="20"/>
        </w:rPr>
        <w:t xml:space="preserve"> cystéine améliore les niveaux de progestérone et réduit les risques de fausse couche.</w:t>
      </w:r>
    </w:p>
    <w:p w:rsidR="005F28ED" w:rsidRPr="005F28ED" w:rsidRDefault="005F28ED" w:rsidP="005F28ED">
      <w:pPr>
        <w:spacing w:after="0"/>
        <w:jc w:val="both"/>
        <w:rPr>
          <w:rFonts w:cstheme="minorHAnsi"/>
          <w:sz w:val="20"/>
          <w:szCs w:val="20"/>
        </w:rPr>
      </w:pPr>
    </w:p>
    <w:p w:rsidR="002536E2" w:rsidRPr="005F28ED" w:rsidRDefault="005F28ED" w:rsidP="00CB7261">
      <w:pPr>
        <w:spacing w:after="0"/>
        <w:jc w:val="both"/>
        <w:rPr>
          <w:rFonts w:cstheme="minorHAnsi"/>
          <w:sz w:val="20"/>
          <w:szCs w:val="20"/>
        </w:rPr>
      </w:pPr>
      <w:r w:rsidRPr="005F28ED">
        <w:rPr>
          <w:rFonts w:cstheme="minorHAnsi"/>
          <w:sz w:val="20"/>
          <w:szCs w:val="20"/>
        </w:rPr>
        <w:t xml:space="preserve">Les fausses couches sont généralement dues à de faibles taux de progestérone. </w:t>
      </w:r>
      <w:r w:rsidRPr="005F28ED">
        <w:rPr>
          <w:rFonts w:cstheme="minorHAnsi"/>
          <w:b/>
          <w:bCs/>
          <w:sz w:val="20"/>
          <w:szCs w:val="20"/>
        </w:rPr>
        <w:t>L'extrait de gattilier</w:t>
      </w:r>
      <w:r w:rsidRPr="005F28ED">
        <w:rPr>
          <w:rFonts w:cstheme="minorHAnsi"/>
          <w:sz w:val="20"/>
          <w:szCs w:val="20"/>
        </w:rPr>
        <w:t xml:space="preserve"> stimule la formation du corps jaune, qui est responsable de la sécrétion de l'hormone de grossesse, la progestérone. Cette herbe est également observée pour empêcher l'endométriose de progresser. Les preuves cliniques montrent que le gattilier peut soulager les symptômes du Syndrome prémenstruel tels que la dépression, les éruptions cutanées, l'acné, les allergies et les maux de tête. L'extrait de gattilier rétablit également les cycles menstruels et les stabilise lorsque la consommation de pilules contraceptives est arrêtée.</w:t>
      </w:r>
    </w:p>
    <w:p w:rsidR="005F28ED" w:rsidRPr="005F28ED" w:rsidRDefault="005F28ED" w:rsidP="00CB7261">
      <w:pPr>
        <w:spacing w:after="0"/>
        <w:jc w:val="both"/>
        <w:rPr>
          <w:rFonts w:cstheme="minorHAnsi"/>
          <w:sz w:val="20"/>
          <w:szCs w:val="20"/>
        </w:rPr>
      </w:pPr>
    </w:p>
    <w:p w:rsidR="002536E2" w:rsidRPr="005F28ED" w:rsidRDefault="005F28ED" w:rsidP="005F28ED">
      <w:pPr>
        <w:spacing w:after="0"/>
        <w:jc w:val="both"/>
        <w:rPr>
          <w:rFonts w:cstheme="minorHAnsi"/>
          <w:sz w:val="20"/>
          <w:szCs w:val="20"/>
        </w:rPr>
      </w:pPr>
      <w:r w:rsidRPr="005F28ED">
        <w:rPr>
          <w:rFonts w:cstheme="minorHAnsi"/>
          <w:b/>
          <w:bCs/>
          <w:sz w:val="20"/>
          <w:szCs w:val="20"/>
        </w:rPr>
        <w:t xml:space="preserve">L'inositol </w:t>
      </w:r>
      <w:r w:rsidRPr="005F28ED">
        <w:rPr>
          <w:rFonts w:cstheme="minorHAnsi"/>
          <w:sz w:val="20"/>
          <w:szCs w:val="20"/>
        </w:rPr>
        <w:t xml:space="preserve">réduit les taux sériques d'androgènes, améliore la tolérance au glucose et rétablit d'autres valeurs métaboliques associées à la résistance à l’insuline ; une condition normalement observée chez les femmes atteintes du SOPK. Selon une étude publiée dans International Journal of </w:t>
      </w:r>
      <w:proofErr w:type="spellStart"/>
      <w:r w:rsidRPr="005F28ED">
        <w:rPr>
          <w:rFonts w:cstheme="minorHAnsi"/>
          <w:sz w:val="20"/>
          <w:szCs w:val="20"/>
        </w:rPr>
        <w:t>Endocrinology</w:t>
      </w:r>
      <w:proofErr w:type="spellEnd"/>
      <w:r w:rsidRPr="005F28ED">
        <w:rPr>
          <w:rFonts w:cstheme="minorHAnsi"/>
          <w:sz w:val="20"/>
          <w:szCs w:val="20"/>
        </w:rPr>
        <w:t xml:space="preserve"> en 2016, le </w:t>
      </w:r>
      <w:proofErr w:type="spellStart"/>
      <w:r w:rsidRPr="005F28ED">
        <w:rPr>
          <w:rFonts w:cstheme="minorHAnsi"/>
          <w:sz w:val="20"/>
          <w:szCs w:val="20"/>
        </w:rPr>
        <w:t>myo</w:t>
      </w:r>
      <w:proofErr w:type="spellEnd"/>
      <w:r w:rsidRPr="005F28ED">
        <w:rPr>
          <w:rFonts w:cstheme="minorHAnsi"/>
          <w:sz w:val="20"/>
          <w:szCs w:val="20"/>
        </w:rPr>
        <w:t xml:space="preserve">-inositol en combinaison avec l'acide folique est utile dans le traitement </w:t>
      </w:r>
      <w:r w:rsidRPr="005F28ED">
        <w:rPr>
          <w:rFonts w:cstheme="minorHAnsi"/>
          <w:sz w:val="20"/>
          <w:szCs w:val="20"/>
        </w:rPr>
        <w:t>des problèmes</w:t>
      </w:r>
      <w:r w:rsidRPr="005F28ED">
        <w:rPr>
          <w:rFonts w:cstheme="minorHAnsi"/>
          <w:sz w:val="20"/>
          <w:szCs w:val="20"/>
        </w:rPr>
        <w:t xml:space="preserve"> d'infertilité associés au SOPK sans</w:t>
      </w:r>
      <w:r w:rsidRPr="005F28ED">
        <w:rPr>
          <w:rFonts w:cstheme="minorHAnsi"/>
          <w:sz w:val="20"/>
          <w:szCs w:val="20"/>
        </w:rPr>
        <w:t xml:space="preserve"> provoquer d'effets secondaires</w:t>
      </w:r>
      <w:r w:rsidR="002536E2" w:rsidRPr="005F28ED">
        <w:rPr>
          <w:rFonts w:cstheme="minorHAnsi"/>
          <w:sz w:val="20"/>
          <w:szCs w:val="20"/>
        </w:rPr>
        <w:t>.</w:t>
      </w:r>
    </w:p>
    <w:p w:rsidR="002536E2" w:rsidRPr="005F28ED" w:rsidRDefault="002536E2" w:rsidP="00CB7261">
      <w:pPr>
        <w:spacing w:after="0"/>
        <w:jc w:val="both"/>
        <w:rPr>
          <w:rFonts w:cstheme="minorHAnsi"/>
          <w:sz w:val="20"/>
          <w:szCs w:val="20"/>
        </w:rPr>
      </w:pPr>
    </w:p>
    <w:p w:rsidR="002536E2" w:rsidRPr="005F28ED" w:rsidRDefault="005F28ED" w:rsidP="00CB7261">
      <w:pPr>
        <w:spacing w:after="0"/>
        <w:jc w:val="both"/>
        <w:rPr>
          <w:rFonts w:cstheme="minorHAnsi"/>
          <w:sz w:val="20"/>
          <w:szCs w:val="20"/>
        </w:rPr>
      </w:pPr>
      <w:r w:rsidRPr="005F28ED">
        <w:rPr>
          <w:rFonts w:cstheme="minorHAnsi"/>
          <w:sz w:val="20"/>
          <w:szCs w:val="20"/>
        </w:rPr>
        <w:t xml:space="preserve">Les ingrédients actifs présents dans le </w:t>
      </w:r>
      <w:r w:rsidRPr="005F28ED">
        <w:rPr>
          <w:rFonts w:cstheme="minorHAnsi"/>
          <w:b/>
          <w:bCs/>
          <w:sz w:val="20"/>
          <w:szCs w:val="20"/>
        </w:rPr>
        <w:t>thé vert</w:t>
      </w:r>
      <w:r>
        <w:rPr>
          <w:rFonts w:cstheme="minorHAnsi"/>
          <w:sz w:val="20"/>
          <w:szCs w:val="20"/>
        </w:rPr>
        <w:t xml:space="preserve"> améliorent </w:t>
      </w:r>
      <w:r w:rsidRPr="005F28ED">
        <w:rPr>
          <w:rFonts w:cstheme="minorHAnsi"/>
          <w:sz w:val="20"/>
          <w:szCs w:val="20"/>
        </w:rPr>
        <w:t>la production de glaire cervicale, qui est nécessaire pour le mouvement des spermatozoïdes vers la trompe de Fallope pendant le processus de fécondation.</w:t>
      </w:r>
    </w:p>
    <w:p w:rsidR="005F28ED" w:rsidRPr="005F28ED" w:rsidRDefault="005F28ED" w:rsidP="00CB7261">
      <w:pPr>
        <w:spacing w:after="0"/>
        <w:jc w:val="both"/>
        <w:rPr>
          <w:rFonts w:cstheme="minorHAnsi"/>
          <w:sz w:val="20"/>
          <w:szCs w:val="20"/>
        </w:rPr>
      </w:pPr>
    </w:p>
    <w:p w:rsidR="00C32699" w:rsidRPr="005F28ED" w:rsidRDefault="005F28ED" w:rsidP="00CB7261">
      <w:pPr>
        <w:spacing w:after="0"/>
        <w:jc w:val="both"/>
        <w:rPr>
          <w:rFonts w:cstheme="minorHAnsi"/>
          <w:sz w:val="20"/>
          <w:szCs w:val="20"/>
        </w:rPr>
      </w:pPr>
      <w:r w:rsidRPr="005F28ED">
        <w:rPr>
          <w:rFonts w:cstheme="minorHAnsi"/>
          <w:b/>
          <w:bCs/>
          <w:sz w:val="20"/>
          <w:szCs w:val="20"/>
        </w:rPr>
        <w:t>L'extrait d'onagre</w:t>
      </w:r>
      <w:r w:rsidRPr="005F28ED">
        <w:rPr>
          <w:rFonts w:cstheme="minorHAnsi"/>
          <w:sz w:val="20"/>
          <w:szCs w:val="20"/>
        </w:rPr>
        <w:t xml:space="preserve"> réduit les symptômes du syndrome prémenstruel, l'inflammation et améliore la santé utérine globale. Cette herbe est riche en acides gras essentiels tels que l'acide linoléique et l'acide gamma-</w:t>
      </w:r>
      <w:proofErr w:type="spellStart"/>
      <w:r w:rsidRPr="005F28ED">
        <w:rPr>
          <w:rFonts w:cstheme="minorHAnsi"/>
          <w:sz w:val="20"/>
          <w:szCs w:val="20"/>
        </w:rPr>
        <w:t>linolénique</w:t>
      </w:r>
      <w:proofErr w:type="spellEnd"/>
      <w:r w:rsidRPr="005F28ED">
        <w:rPr>
          <w:rFonts w:cstheme="minorHAnsi"/>
          <w:sz w:val="20"/>
          <w:szCs w:val="20"/>
        </w:rPr>
        <w:t xml:space="preserve"> qui soutiennent la fertilité en régulant les hormones, en augmentant la glaire cervicale, en améliorant la qualité des œufs, en favorisant l'ovulation et enfin, en augmentant le flux sanguin vers les organes.</w:t>
      </w:r>
    </w:p>
    <w:p w:rsidR="007008A5" w:rsidRPr="005F28ED" w:rsidRDefault="007008A5" w:rsidP="00CB7261">
      <w:pPr>
        <w:spacing w:after="0"/>
        <w:jc w:val="both"/>
        <w:rPr>
          <w:rFonts w:cstheme="minorHAnsi"/>
          <w:sz w:val="20"/>
          <w:szCs w:val="20"/>
        </w:rPr>
      </w:pPr>
    </w:p>
    <w:p w:rsidR="002536E2" w:rsidRPr="005F28ED" w:rsidRDefault="005F28ED" w:rsidP="005F28ED">
      <w:pPr>
        <w:spacing w:after="0"/>
        <w:jc w:val="both"/>
        <w:rPr>
          <w:rFonts w:cstheme="minorHAnsi"/>
          <w:sz w:val="20"/>
          <w:szCs w:val="20"/>
        </w:rPr>
      </w:pPr>
      <w:r w:rsidRPr="005F28ED">
        <w:rPr>
          <w:rFonts w:cstheme="minorHAnsi"/>
          <w:b/>
          <w:bCs/>
          <w:sz w:val="20"/>
          <w:szCs w:val="20"/>
        </w:rPr>
        <w:lastRenderedPageBreak/>
        <w:t xml:space="preserve">Le </w:t>
      </w:r>
      <w:proofErr w:type="spellStart"/>
      <w:r w:rsidRPr="005F28ED">
        <w:rPr>
          <w:rFonts w:cstheme="minorHAnsi"/>
          <w:b/>
          <w:bCs/>
          <w:sz w:val="20"/>
          <w:szCs w:val="20"/>
        </w:rPr>
        <w:t>Tribule</w:t>
      </w:r>
      <w:proofErr w:type="spellEnd"/>
      <w:r w:rsidRPr="005F28ED">
        <w:rPr>
          <w:rFonts w:cstheme="minorHAnsi"/>
          <w:b/>
          <w:bCs/>
          <w:sz w:val="20"/>
          <w:szCs w:val="20"/>
        </w:rPr>
        <w:t xml:space="preserve"> terrestre</w:t>
      </w:r>
      <w:r w:rsidRPr="005F28ED">
        <w:rPr>
          <w:rFonts w:cstheme="minorHAnsi"/>
          <w:sz w:val="20"/>
          <w:szCs w:val="20"/>
        </w:rPr>
        <w:t xml:space="preserve"> traite les cycles menstruels irréguliers et favorise le bien-être sexuel. Le </w:t>
      </w:r>
      <w:proofErr w:type="spellStart"/>
      <w:r w:rsidRPr="005F28ED">
        <w:rPr>
          <w:rFonts w:cstheme="minorHAnsi"/>
          <w:sz w:val="20"/>
          <w:szCs w:val="20"/>
        </w:rPr>
        <w:t>Tribule</w:t>
      </w:r>
      <w:proofErr w:type="spellEnd"/>
      <w:r w:rsidRPr="005F28ED">
        <w:rPr>
          <w:rFonts w:cstheme="minorHAnsi"/>
          <w:sz w:val="20"/>
          <w:szCs w:val="20"/>
        </w:rPr>
        <w:t xml:space="preserve"> terrestre contient de la </w:t>
      </w:r>
      <w:proofErr w:type="spellStart"/>
      <w:r w:rsidRPr="005F28ED">
        <w:rPr>
          <w:rFonts w:cstheme="minorHAnsi"/>
          <w:sz w:val="20"/>
          <w:szCs w:val="20"/>
        </w:rPr>
        <w:t>protodioscine</w:t>
      </w:r>
      <w:proofErr w:type="spellEnd"/>
      <w:r w:rsidRPr="005F28ED">
        <w:rPr>
          <w:rFonts w:cstheme="minorHAnsi"/>
          <w:sz w:val="20"/>
          <w:szCs w:val="20"/>
        </w:rPr>
        <w:t xml:space="preserve"> qui possède des propriétés aphrodisiaques. Cette plante</w:t>
      </w:r>
      <w:r>
        <w:rPr>
          <w:rFonts w:cstheme="minorHAnsi"/>
          <w:sz w:val="20"/>
          <w:szCs w:val="20"/>
        </w:rPr>
        <w:t xml:space="preserve"> </w:t>
      </w:r>
      <w:r w:rsidRPr="005F28ED">
        <w:rPr>
          <w:rFonts w:cstheme="minorHAnsi"/>
          <w:sz w:val="20"/>
          <w:szCs w:val="20"/>
        </w:rPr>
        <w:t xml:space="preserve">stimule également la production d'hormone </w:t>
      </w:r>
      <w:proofErr w:type="spellStart"/>
      <w:r w:rsidRPr="005F28ED">
        <w:rPr>
          <w:rFonts w:cstheme="minorHAnsi"/>
          <w:sz w:val="20"/>
          <w:szCs w:val="20"/>
        </w:rPr>
        <w:t>folliculo-stimulante</w:t>
      </w:r>
      <w:proofErr w:type="spellEnd"/>
      <w:r w:rsidRPr="005F28ED">
        <w:rPr>
          <w:rFonts w:cstheme="minorHAnsi"/>
          <w:sz w:val="20"/>
          <w:szCs w:val="20"/>
        </w:rPr>
        <w:t xml:space="preserve"> (FSH), qui est importante pour la synthèse des œstrogènes.</w:t>
      </w:r>
    </w:p>
    <w:p w:rsidR="005F28ED" w:rsidRPr="005F28ED" w:rsidRDefault="005F28ED" w:rsidP="005F28ED">
      <w:pPr>
        <w:spacing w:after="0"/>
        <w:jc w:val="both"/>
        <w:rPr>
          <w:rFonts w:cstheme="minorHAnsi"/>
          <w:sz w:val="20"/>
          <w:szCs w:val="20"/>
        </w:rPr>
      </w:pPr>
    </w:p>
    <w:p w:rsidR="002536E2" w:rsidRPr="005F28ED" w:rsidRDefault="005F28ED" w:rsidP="005F28ED">
      <w:pPr>
        <w:spacing w:after="0"/>
        <w:jc w:val="both"/>
        <w:rPr>
          <w:rFonts w:cstheme="minorHAnsi"/>
          <w:sz w:val="20"/>
          <w:szCs w:val="20"/>
        </w:rPr>
      </w:pPr>
      <w:r w:rsidRPr="005F28ED">
        <w:rPr>
          <w:rFonts w:cstheme="minorHAnsi"/>
          <w:b/>
          <w:bCs/>
          <w:sz w:val="20"/>
          <w:szCs w:val="20"/>
        </w:rPr>
        <w:t xml:space="preserve">Le </w:t>
      </w:r>
      <w:proofErr w:type="spellStart"/>
      <w:r w:rsidRPr="005F28ED">
        <w:rPr>
          <w:rFonts w:cstheme="minorHAnsi"/>
          <w:b/>
          <w:bCs/>
          <w:sz w:val="20"/>
          <w:szCs w:val="20"/>
        </w:rPr>
        <w:t>lycopène</w:t>
      </w:r>
      <w:proofErr w:type="spellEnd"/>
      <w:r w:rsidRPr="005F28ED">
        <w:rPr>
          <w:rFonts w:cstheme="minorHAnsi"/>
          <w:sz w:val="20"/>
          <w:szCs w:val="20"/>
        </w:rPr>
        <w:t xml:space="preserve"> est un antioxydant puissant qui améliore la fertilité féminine en supprimant l'activité des espèces réactives de l'oxygène. Le </w:t>
      </w:r>
      <w:proofErr w:type="spellStart"/>
      <w:r w:rsidRPr="005F28ED">
        <w:rPr>
          <w:rFonts w:cstheme="minorHAnsi"/>
          <w:sz w:val="20"/>
          <w:szCs w:val="20"/>
        </w:rPr>
        <w:t>lycopène</w:t>
      </w:r>
      <w:proofErr w:type="spellEnd"/>
      <w:r w:rsidRPr="005F28ED">
        <w:rPr>
          <w:rFonts w:cstheme="minorHAnsi"/>
          <w:sz w:val="20"/>
          <w:szCs w:val="20"/>
        </w:rPr>
        <w:t xml:space="preserve"> est également étudié pour traiter l'endométriose, une affection douloureuse dans laquelle une croissance tissulaire anormale est observée autour de    l'utérus, ce qui pourrait entraîner une infertilité.</w:t>
      </w:r>
    </w:p>
    <w:p w:rsidR="005F28ED" w:rsidRPr="005F28ED" w:rsidRDefault="005F28ED" w:rsidP="00CB7261">
      <w:pPr>
        <w:spacing w:after="0"/>
        <w:jc w:val="both"/>
        <w:rPr>
          <w:rFonts w:cstheme="minorHAnsi"/>
          <w:sz w:val="20"/>
          <w:szCs w:val="20"/>
        </w:rPr>
      </w:pPr>
    </w:p>
    <w:p w:rsidR="002536E2" w:rsidRPr="005F28ED" w:rsidRDefault="005F28ED" w:rsidP="005F28ED">
      <w:pPr>
        <w:spacing w:after="0"/>
        <w:jc w:val="both"/>
        <w:rPr>
          <w:rFonts w:cstheme="minorHAnsi"/>
          <w:sz w:val="20"/>
          <w:szCs w:val="20"/>
        </w:rPr>
      </w:pPr>
      <w:r w:rsidRPr="005F28ED">
        <w:rPr>
          <w:rFonts w:cstheme="minorHAnsi"/>
          <w:b/>
          <w:bCs/>
          <w:sz w:val="20"/>
          <w:szCs w:val="20"/>
        </w:rPr>
        <w:t>Les vitamines</w:t>
      </w:r>
      <w:r w:rsidRPr="005F28ED">
        <w:rPr>
          <w:rFonts w:cstheme="minorHAnsi"/>
          <w:sz w:val="20"/>
          <w:szCs w:val="20"/>
        </w:rPr>
        <w:t xml:space="preserve"> comme </w:t>
      </w:r>
      <w:r w:rsidRPr="005F28ED">
        <w:rPr>
          <w:rFonts w:cstheme="minorHAnsi"/>
          <w:b/>
          <w:bCs/>
          <w:sz w:val="20"/>
          <w:szCs w:val="20"/>
        </w:rPr>
        <w:t>A, B, C</w:t>
      </w:r>
      <w:r w:rsidRPr="005F28ED">
        <w:rPr>
          <w:rFonts w:cstheme="minorHAnsi"/>
          <w:sz w:val="20"/>
          <w:szCs w:val="20"/>
        </w:rPr>
        <w:t xml:space="preserve"> et </w:t>
      </w:r>
      <w:r w:rsidRPr="005F28ED">
        <w:rPr>
          <w:rFonts w:cstheme="minorHAnsi"/>
          <w:b/>
          <w:bCs/>
          <w:sz w:val="20"/>
          <w:szCs w:val="20"/>
        </w:rPr>
        <w:t>E</w:t>
      </w:r>
      <w:r w:rsidRPr="005F28ED">
        <w:rPr>
          <w:rFonts w:cstheme="minorHAnsi"/>
          <w:sz w:val="20"/>
          <w:szCs w:val="20"/>
        </w:rPr>
        <w:t xml:space="preserve"> sont essentielles pour l'ovulation, la qualité des œufs, la production de glaire cervicale et pour maintenir les niveaux normaux d'hormones comme la progestérone et les œstrogènes. </w:t>
      </w:r>
      <w:r w:rsidRPr="005F28ED">
        <w:rPr>
          <w:rFonts w:cstheme="minorHAnsi"/>
          <w:b/>
          <w:bCs/>
          <w:sz w:val="20"/>
          <w:szCs w:val="20"/>
        </w:rPr>
        <w:t>La vitamine B12</w:t>
      </w:r>
      <w:r w:rsidRPr="005F28ED">
        <w:rPr>
          <w:rFonts w:cstheme="minorHAnsi"/>
          <w:sz w:val="20"/>
          <w:szCs w:val="20"/>
        </w:rPr>
        <w:t xml:space="preserve"> ou </w:t>
      </w:r>
      <w:proofErr w:type="spellStart"/>
      <w:r w:rsidRPr="005F28ED">
        <w:rPr>
          <w:rFonts w:cstheme="minorHAnsi"/>
          <w:sz w:val="20"/>
          <w:szCs w:val="20"/>
        </w:rPr>
        <w:t>méthylcobalamine</w:t>
      </w:r>
      <w:proofErr w:type="spellEnd"/>
      <w:r w:rsidRPr="005F28ED">
        <w:rPr>
          <w:rFonts w:cstheme="minorHAnsi"/>
          <w:sz w:val="20"/>
          <w:szCs w:val="20"/>
        </w:rPr>
        <w:t xml:space="preserve"> est importante pour l'implantation de l'œuf fécondé. </w:t>
      </w:r>
      <w:r w:rsidRPr="005F28ED">
        <w:rPr>
          <w:rFonts w:cstheme="minorHAnsi"/>
          <w:b/>
          <w:bCs/>
          <w:sz w:val="20"/>
          <w:szCs w:val="20"/>
        </w:rPr>
        <w:t>Les vitamines B6</w:t>
      </w:r>
      <w:r w:rsidRPr="005F28ED">
        <w:rPr>
          <w:rFonts w:cstheme="minorHAnsi"/>
          <w:sz w:val="20"/>
          <w:szCs w:val="20"/>
        </w:rPr>
        <w:t xml:space="preserve"> et </w:t>
      </w:r>
      <w:r w:rsidRPr="005F28ED">
        <w:rPr>
          <w:rFonts w:cstheme="minorHAnsi"/>
          <w:b/>
          <w:bCs/>
          <w:sz w:val="20"/>
          <w:szCs w:val="20"/>
        </w:rPr>
        <w:t>D</w:t>
      </w:r>
      <w:r w:rsidRPr="005F28ED">
        <w:rPr>
          <w:rFonts w:cstheme="minorHAnsi"/>
          <w:sz w:val="20"/>
          <w:szCs w:val="20"/>
        </w:rPr>
        <w:t xml:space="preserve"> sont nécessaires à la régulation des niveaux hormonaux.  Les </w:t>
      </w:r>
      <w:proofErr w:type="spellStart"/>
      <w:r w:rsidRPr="005F28ED">
        <w:rPr>
          <w:rFonts w:cstheme="minorHAnsi"/>
          <w:sz w:val="20"/>
          <w:szCs w:val="20"/>
        </w:rPr>
        <w:t>multivitamines</w:t>
      </w:r>
      <w:proofErr w:type="spellEnd"/>
      <w:r w:rsidRPr="005F28ED">
        <w:rPr>
          <w:rFonts w:cstheme="minorHAnsi"/>
          <w:sz w:val="20"/>
          <w:szCs w:val="20"/>
        </w:rPr>
        <w:t xml:space="preserve"> préviennent de multiples malformations congénitales telles que les malformations cardiaques et des membres, les anomalies du tube neural, les anomalies des voies urinaires et les fentes faciales buccales. Ces micronutriments sont également importants pour</w:t>
      </w:r>
      <w:r>
        <w:rPr>
          <w:rFonts w:cstheme="minorHAnsi"/>
          <w:sz w:val="20"/>
          <w:szCs w:val="20"/>
        </w:rPr>
        <w:t xml:space="preserve"> </w:t>
      </w:r>
      <w:r w:rsidRPr="005F28ED">
        <w:rPr>
          <w:rFonts w:cstheme="minorHAnsi"/>
          <w:sz w:val="20"/>
          <w:szCs w:val="20"/>
        </w:rPr>
        <w:t xml:space="preserve">prévenir les complications à la naissance telles que la naissance prématurée, l'insuffisance pondérale à la naissance, les fausses couches et une mauvaise croissance du fœtus dans l'utérus. </w:t>
      </w:r>
      <w:r w:rsidRPr="005F28ED">
        <w:rPr>
          <w:rFonts w:cstheme="minorHAnsi"/>
          <w:b/>
          <w:bCs/>
          <w:sz w:val="20"/>
          <w:szCs w:val="20"/>
        </w:rPr>
        <w:t>La vitamine E</w:t>
      </w:r>
      <w:r w:rsidRPr="005F28ED">
        <w:rPr>
          <w:rFonts w:cstheme="minorHAnsi"/>
          <w:sz w:val="20"/>
          <w:szCs w:val="20"/>
        </w:rPr>
        <w:t xml:space="preserve"> augmente la glaire cervicale et empêche le déclin de l'ovulation, qui sont les causes </w:t>
      </w:r>
      <w:r w:rsidRPr="005F28ED">
        <w:rPr>
          <w:rFonts w:cstheme="minorHAnsi"/>
          <w:sz w:val="20"/>
          <w:szCs w:val="20"/>
        </w:rPr>
        <w:t>courantes d’infertilité</w:t>
      </w:r>
      <w:r w:rsidRPr="005F28ED">
        <w:rPr>
          <w:rFonts w:cstheme="minorHAnsi"/>
          <w:sz w:val="20"/>
          <w:szCs w:val="20"/>
        </w:rPr>
        <w:t xml:space="preserve"> chez les femmes de plus de 30 ans.</w:t>
      </w:r>
    </w:p>
    <w:p w:rsidR="002536E2" w:rsidRPr="005F28ED" w:rsidRDefault="002536E2" w:rsidP="00CB7261">
      <w:pPr>
        <w:spacing w:after="0"/>
        <w:jc w:val="both"/>
        <w:rPr>
          <w:rFonts w:cstheme="minorHAnsi"/>
          <w:sz w:val="20"/>
          <w:szCs w:val="20"/>
        </w:rPr>
      </w:pPr>
    </w:p>
    <w:p w:rsidR="002536E2" w:rsidRPr="005F28ED" w:rsidRDefault="005F28ED" w:rsidP="005F28ED">
      <w:pPr>
        <w:spacing w:after="0"/>
        <w:jc w:val="both"/>
        <w:rPr>
          <w:rFonts w:cstheme="minorHAnsi"/>
          <w:sz w:val="20"/>
          <w:szCs w:val="20"/>
        </w:rPr>
      </w:pPr>
      <w:r w:rsidRPr="005F28ED">
        <w:rPr>
          <w:rFonts w:cstheme="minorHAnsi"/>
          <w:b/>
          <w:bCs/>
          <w:sz w:val="20"/>
          <w:szCs w:val="20"/>
        </w:rPr>
        <w:t xml:space="preserve">L'acide </w:t>
      </w:r>
      <w:proofErr w:type="spellStart"/>
      <w:r w:rsidRPr="005F28ED">
        <w:rPr>
          <w:rFonts w:cstheme="minorHAnsi"/>
          <w:b/>
          <w:bCs/>
          <w:sz w:val="20"/>
          <w:szCs w:val="20"/>
        </w:rPr>
        <w:t>para-aminobenzoïque</w:t>
      </w:r>
      <w:proofErr w:type="spellEnd"/>
      <w:r w:rsidRPr="005F28ED">
        <w:rPr>
          <w:rFonts w:cstheme="minorHAnsi"/>
          <w:b/>
          <w:bCs/>
          <w:sz w:val="20"/>
          <w:szCs w:val="20"/>
        </w:rPr>
        <w:t xml:space="preserve"> (PABA)</w:t>
      </w:r>
      <w:r w:rsidRPr="005F28ED">
        <w:rPr>
          <w:rFonts w:cstheme="minorHAnsi"/>
          <w:sz w:val="20"/>
          <w:szCs w:val="20"/>
        </w:rPr>
        <w:t xml:space="preserve"> est une biomolécule de type vitamine qui est synthétisée dans le corps. En complément, le PABA augmente la production d'œstrogè</w:t>
      </w:r>
      <w:r>
        <w:rPr>
          <w:rFonts w:cstheme="minorHAnsi"/>
          <w:sz w:val="20"/>
          <w:szCs w:val="20"/>
        </w:rPr>
        <w:t>nes et favorise l'ovulation et</w:t>
      </w:r>
      <w:r w:rsidRPr="005F28ED">
        <w:rPr>
          <w:rFonts w:cstheme="minorHAnsi"/>
          <w:sz w:val="20"/>
          <w:szCs w:val="20"/>
        </w:rPr>
        <w:t xml:space="preserve"> l'épaississement de l'endomètre pour faciliter l'implantation des ovules fécondés.</w:t>
      </w:r>
    </w:p>
    <w:p w:rsidR="005F28ED" w:rsidRPr="005F28ED" w:rsidRDefault="005F28ED" w:rsidP="00CB7261">
      <w:pPr>
        <w:spacing w:after="0"/>
        <w:jc w:val="both"/>
        <w:rPr>
          <w:rFonts w:cstheme="minorHAnsi"/>
          <w:sz w:val="20"/>
          <w:szCs w:val="20"/>
        </w:rPr>
      </w:pPr>
    </w:p>
    <w:p w:rsidR="002536E2" w:rsidRPr="005F28ED" w:rsidRDefault="005F28ED" w:rsidP="005F28ED">
      <w:pPr>
        <w:spacing w:after="0"/>
        <w:jc w:val="both"/>
        <w:rPr>
          <w:rFonts w:cstheme="minorHAnsi"/>
          <w:sz w:val="20"/>
          <w:szCs w:val="20"/>
        </w:rPr>
      </w:pPr>
      <w:r w:rsidRPr="005F28ED">
        <w:rPr>
          <w:rFonts w:cstheme="minorHAnsi"/>
          <w:b/>
          <w:bCs/>
          <w:sz w:val="20"/>
          <w:szCs w:val="20"/>
        </w:rPr>
        <w:t>Les minéraux</w:t>
      </w:r>
      <w:r w:rsidRPr="005F28ED">
        <w:rPr>
          <w:rFonts w:cstheme="minorHAnsi"/>
          <w:sz w:val="20"/>
          <w:szCs w:val="20"/>
        </w:rPr>
        <w:t xml:space="preserve"> jouent un rôle important dans le maintien de l'équilibre acide-alcalin, ce qui est   important pour le processus de fertilisation. Les minéraux nécessaires à la gestion de la </w:t>
      </w:r>
      <w:r w:rsidRPr="005F28ED">
        <w:rPr>
          <w:rFonts w:cstheme="minorHAnsi"/>
          <w:sz w:val="20"/>
          <w:szCs w:val="20"/>
        </w:rPr>
        <w:t>fertilité comprennent</w:t>
      </w:r>
      <w:r w:rsidRPr="005F28ED">
        <w:rPr>
          <w:rFonts w:cstheme="minorHAnsi"/>
          <w:sz w:val="20"/>
          <w:szCs w:val="20"/>
        </w:rPr>
        <w:t xml:space="preserve"> </w:t>
      </w:r>
      <w:r w:rsidRPr="005F28ED">
        <w:rPr>
          <w:rFonts w:cstheme="minorHAnsi"/>
          <w:b/>
          <w:bCs/>
          <w:sz w:val="20"/>
          <w:szCs w:val="20"/>
        </w:rPr>
        <w:t>le fer, le zinc, le magnésium, le sodium, l'iode et le chrome.</w:t>
      </w:r>
      <w:r w:rsidRPr="005F28ED">
        <w:rPr>
          <w:rFonts w:cstheme="minorHAnsi"/>
          <w:sz w:val="20"/>
          <w:szCs w:val="20"/>
        </w:rPr>
        <w:t xml:space="preserve"> </w:t>
      </w:r>
      <w:r w:rsidRPr="005F28ED">
        <w:rPr>
          <w:rFonts w:cstheme="minorHAnsi"/>
          <w:b/>
          <w:bCs/>
          <w:sz w:val="20"/>
          <w:szCs w:val="20"/>
        </w:rPr>
        <w:t>Le magnésium</w:t>
      </w:r>
      <w:r w:rsidRPr="005F28ED">
        <w:rPr>
          <w:rFonts w:cstheme="minorHAnsi"/>
          <w:sz w:val="20"/>
          <w:szCs w:val="20"/>
        </w:rPr>
        <w:t xml:space="preserve"> améliore le flux sanguin vers l'utérus, facilite l'implantation de l'ovule fécondé sur la paroi de l'endomètre. </w:t>
      </w:r>
      <w:r w:rsidRPr="005F28ED">
        <w:rPr>
          <w:rFonts w:cstheme="minorHAnsi"/>
          <w:b/>
          <w:bCs/>
          <w:sz w:val="20"/>
          <w:szCs w:val="20"/>
        </w:rPr>
        <w:t>Le zinc</w:t>
      </w:r>
      <w:r w:rsidRPr="005F28ED">
        <w:rPr>
          <w:rFonts w:cstheme="minorHAnsi"/>
          <w:sz w:val="20"/>
          <w:szCs w:val="20"/>
        </w:rPr>
        <w:t xml:space="preserve"> améliore la qualité de l'ovule, maintient la concentration de </w:t>
      </w:r>
      <w:r w:rsidRPr="005F28ED">
        <w:rPr>
          <w:rFonts w:cstheme="minorHAnsi"/>
          <w:sz w:val="20"/>
          <w:szCs w:val="20"/>
        </w:rPr>
        <w:t>liquide folliculaire</w:t>
      </w:r>
      <w:r w:rsidRPr="005F28ED">
        <w:rPr>
          <w:rFonts w:cstheme="minorHAnsi"/>
          <w:sz w:val="20"/>
          <w:szCs w:val="20"/>
        </w:rPr>
        <w:t xml:space="preserve"> à des niveaux optimaux, équilibre les niveaux hormonaux et s'attaque enfin </w:t>
      </w:r>
      <w:r w:rsidRPr="005F28ED">
        <w:rPr>
          <w:rFonts w:cstheme="minorHAnsi"/>
          <w:sz w:val="20"/>
          <w:szCs w:val="20"/>
        </w:rPr>
        <w:t>aux problèmes</w:t>
      </w:r>
      <w:r w:rsidRPr="005F28ED">
        <w:rPr>
          <w:rFonts w:cstheme="minorHAnsi"/>
          <w:sz w:val="20"/>
          <w:szCs w:val="20"/>
        </w:rPr>
        <w:t xml:space="preserve"> ovariens et menstruels. </w:t>
      </w:r>
      <w:r w:rsidRPr="005F28ED">
        <w:rPr>
          <w:rFonts w:cstheme="minorHAnsi"/>
          <w:b/>
          <w:bCs/>
          <w:sz w:val="20"/>
          <w:szCs w:val="20"/>
        </w:rPr>
        <w:t>Le fer</w:t>
      </w:r>
      <w:r w:rsidRPr="005F28ED">
        <w:rPr>
          <w:rFonts w:cstheme="minorHAnsi"/>
          <w:sz w:val="20"/>
          <w:szCs w:val="20"/>
        </w:rPr>
        <w:t xml:space="preserve"> rétablit le processus d'ovulation normal, ce qui est important pour la conception. </w:t>
      </w:r>
      <w:r w:rsidRPr="005F28ED">
        <w:rPr>
          <w:rFonts w:cstheme="minorHAnsi"/>
          <w:b/>
          <w:bCs/>
          <w:sz w:val="20"/>
          <w:szCs w:val="20"/>
        </w:rPr>
        <w:t>L'iode</w:t>
      </w:r>
      <w:r w:rsidRPr="005F28ED">
        <w:rPr>
          <w:rFonts w:cstheme="minorHAnsi"/>
          <w:sz w:val="20"/>
          <w:szCs w:val="20"/>
        </w:rPr>
        <w:t xml:space="preserve"> en tant qu'élément essentiel aide à la croissance du fœtus et prévient les anomalies congénitales, les fausses couches et </w:t>
      </w:r>
      <w:r w:rsidRPr="005F28ED">
        <w:rPr>
          <w:rFonts w:cstheme="minorHAnsi"/>
          <w:sz w:val="20"/>
          <w:szCs w:val="20"/>
        </w:rPr>
        <w:t xml:space="preserve">les </w:t>
      </w:r>
      <w:proofErr w:type="spellStart"/>
      <w:r w:rsidRPr="005F28ED">
        <w:rPr>
          <w:rFonts w:cstheme="minorHAnsi"/>
          <w:sz w:val="20"/>
          <w:szCs w:val="20"/>
        </w:rPr>
        <w:t>mortinaissances</w:t>
      </w:r>
      <w:proofErr w:type="spellEnd"/>
      <w:r w:rsidRPr="005F28ED">
        <w:rPr>
          <w:rFonts w:cstheme="minorHAnsi"/>
          <w:sz w:val="20"/>
          <w:szCs w:val="20"/>
        </w:rPr>
        <w:t xml:space="preserve">. </w:t>
      </w:r>
      <w:r w:rsidRPr="005F28ED">
        <w:rPr>
          <w:rFonts w:cstheme="minorHAnsi"/>
          <w:b/>
          <w:bCs/>
          <w:sz w:val="20"/>
          <w:szCs w:val="20"/>
        </w:rPr>
        <w:t>Le manganèse</w:t>
      </w:r>
      <w:r w:rsidRPr="005F28ED">
        <w:rPr>
          <w:rFonts w:cstheme="minorHAnsi"/>
          <w:sz w:val="20"/>
          <w:szCs w:val="20"/>
        </w:rPr>
        <w:t xml:space="preserve"> est nécessaire à la synthèse des </w:t>
      </w:r>
      <w:bookmarkStart w:id="0" w:name="_GoBack"/>
      <w:bookmarkEnd w:id="0"/>
      <w:r w:rsidRPr="005F28ED">
        <w:rPr>
          <w:rFonts w:cstheme="minorHAnsi"/>
          <w:sz w:val="20"/>
          <w:szCs w:val="20"/>
        </w:rPr>
        <w:t>hormones reproductrices</w:t>
      </w:r>
      <w:r w:rsidRPr="005F28ED">
        <w:rPr>
          <w:rFonts w:cstheme="minorHAnsi"/>
          <w:sz w:val="20"/>
          <w:szCs w:val="20"/>
        </w:rPr>
        <w:t xml:space="preserve"> et à leur fonctionnement normal.</w:t>
      </w:r>
    </w:p>
    <w:p w:rsidR="002536E2" w:rsidRPr="007008A5" w:rsidRDefault="002536E2" w:rsidP="00CB7261">
      <w:pPr>
        <w:spacing w:after="0"/>
        <w:jc w:val="both"/>
        <w:rPr>
          <w:rFonts w:cstheme="minorHAnsi"/>
          <w:sz w:val="20"/>
          <w:szCs w:val="20"/>
        </w:rPr>
      </w:pPr>
    </w:p>
    <w:p w:rsidR="007008A5" w:rsidRDefault="007008A5" w:rsidP="00CB7261">
      <w:pPr>
        <w:spacing w:after="0"/>
        <w:jc w:val="both"/>
        <w:rPr>
          <w:rFonts w:cstheme="minorHAnsi"/>
          <w:b/>
          <w:bCs/>
          <w:sz w:val="20"/>
          <w:szCs w:val="20"/>
        </w:rPr>
      </w:pPr>
    </w:p>
    <w:p w:rsidR="007008A5" w:rsidRDefault="007008A5" w:rsidP="00CB7261">
      <w:pPr>
        <w:spacing w:after="0"/>
        <w:jc w:val="both"/>
        <w:rPr>
          <w:rFonts w:cstheme="minorHAnsi"/>
          <w:b/>
          <w:bCs/>
          <w:sz w:val="20"/>
          <w:szCs w:val="20"/>
        </w:rPr>
      </w:pPr>
    </w:p>
    <w:p w:rsidR="007008A5" w:rsidRDefault="007008A5" w:rsidP="00CB7261">
      <w:pPr>
        <w:spacing w:after="0"/>
        <w:jc w:val="both"/>
        <w:rPr>
          <w:rFonts w:cstheme="minorHAnsi"/>
          <w:b/>
          <w:bCs/>
          <w:sz w:val="20"/>
          <w:szCs w:val="20"/>
        </w:rPr>
      </w:pPr>
    </w:p>
    <w:p w:rsidR="007008A5" w:rsidRDefault="007008A5" w:rsidP="00CB7261">
      <w:pPr>
        <w:spacing w:after="0"/>
        <w:jc w:val="both"/>
        <w:rPr>
          <w:rFonts w:cstheme="minorHAnsi"/>
          <w:b/>
          <w:bCs/>
          <w:sz w:val="20"/>
          <w:szCs w:val="20"/>
        </w:rPr>
      </w:pPr>
    </w:p>
    <w:p w:rsidR="007008A5" w:rsidRDefault="007008A5" w:rsidP="00CB7261">
      <w:pPr>
        <w:spacing w:after="0"/>
        <w:jc w:val="both"/>
        <w:rPr>
          <w:rFonts w:cstheme="minorHAnsi"/>
          <w:b/>
          <w:bCs/>
          <w:sz w:val="20"/>
          <w:szCs w:val="20"/>
        </w:rPr>
      </w:pPr>
    </w:p>
    <w:p w:rsidR="002536E2" w:rsidRPr="007008A5" w:rsidRDefault="00D32483" w:rsidP="00CB7261">
      <w:pPr>
        <w:spacing w:after="0"/>
        <w:jc w:val="both"/>
        <w:rPr>
          <w:rFonts w:cstheme="minorHAnsi"/>
          <w:b/>
          <w:bCs/>
          <w:sz w:val="20"/>
          <w:szCs w:val="20"/>
          <w:u w:val="single"/>
        </w:rPr>
      </w:pPr>
      <w:r>
        <w:rPr>
          <w:rFonts w:cstheme="minorHAnsi"/>
          <w:b/>
          <w:bCs/>
          <w:sz w:val="20"/>
          <w:szCs w:val="20"/>
          <w:u w:val="single"/>
        </w:rPr>
        <w:t>INDICATION4</w:t>
      </w:r>
      <w:r w:rsidR="00C226D5" w:rsidRPr="007008A5">
        <w:rPr>
          <w:rFonts w:cstheme="minorHAnsi"/>
          <w:b/>
          <w:bCs/>
          <w:sz w:val="20"/>
          <w:szCs w:val="20"/>
          <w:u w:val="single"/>
        </w:rPr>
        <w:t xml:space="preserve"> :</w:t>
      </w:r>
    </w:p>
    <w:p w:rsidR="002536E2" w:rsidRPr="007008A5" w:rsidRDefault="002536E2" w:rsidP="007008A5">
      <w:pPr>
        <w:pStyle w:val="Paragraphedeliste"/>
        <w:numPr>
          <w:ilvl w:val="0"/>
          <w:numId w:val="1"/>
        </w:numPr>
        <w:spacing w:after="0"/>
        <w:jc w:val="both"/>
        <w:rPr>
          <w:rFonts w:cstheme="minorHAnsi"/>
          <w:sz w:val="20"/>
          <w:szCs w:val="20"/>
        </w:rPr>
      </w:pPr>
      <w:r w:rsidRPr="007008A5">
        <w:rPr>
          <w:rFonts w:cstheme="minorHAnsi"/>
          <w:sz w:val="20"/>
          <w:szCs w:val="20"/>
        </w:rPr>
        <w:t>Amélioration de la fonction ovarienne</w:t>
      </w:r>
    </w:p>
    <w:p w:rsidR="002536E2" w:rsidRPr="007008A5" w:rsidRDefault="002536E2" w:rsidP="007008A5">
      <w:pPr>
        <w:pStyle w:val="Paragraphedeliste"/>
        <w:numPr>
          <w:ilvl w:val="0"/>
          <w:numId w:val="1"/>
        </w:numPr>
        <w:spacing w:after="0"/>
        <w:jc w:val="both"/>
        <w:rPr>
          <w:rFonts w:cstheme="minorHAnsi"/>
          <w:sz w:val="20"/>
          <w:szCs w:val="20"/>
        </w:rPr>
      </w:pPr>
      <w:r w:rsidRPr="007008A5">
        <w:rPr>
          <w:rFonts w:cstheme="minorHAnsi"/>
          <w:sz w:val="20"/>
          <w:szCs w:val="20"/>
        </w:rPr>
        <w:t>Déséquilibre hormonal</w:t>
      </w:r>
    </w:p>
    <w:p w:rsidR="002536E2" w:rsidRPr="007008A5" w:rsidRDefault="002536E2" w:rsidP="007008A5">
      <w:pPr>
        <w:pStyle w:val="Paragraphedeliste"/>
        <w:numPr>
          <w:ilvl w:val="0"/>
          <w:numId w:val="1"/>
        </w:numPr>
        <w:spacing w:after="0"/>
        <w:jc w:val="both"/>
        <w:rPr>
          <w:rFonts w:cstheme="minorHAnsi"/>
          <w:sz w:val="20"/>
          <w:szCs w:val="20"/>
        </w:rPr>
      </w:pPr>
      <w:r w:rsidRPr="007008A5">
        <w:rPr>
          <w:rFonts w:cstheme="minorHAnsi"/>
          <w:sz w:val="20"/>
          <w:szCs w:val="20"/>
        </w:rPr>
        <w:t>Troubles du cycle menstruel</w:t>
      </w:r>
    </w:p>
    <w:p w:rsidR="002536E2" w:rsidRPr="007008A5" w:rsidRDefault="002536E2" w:rsidP="007008A5">
      <w:pPr>
        <w:pStyle w:val="Paragraphedeliste"/>
        <w:numPr>
          <w:ilvl w:val="0"/>
          <w:numId w:val="1"/>
        </w:numPr>
        <w:spacing w:after="0"/>
        <w:jc w:val="both"/>
        <w:rPr>
          <w:rFonts w:cstheme="minorHAnsi"/>
          <w:sz w:val="20"/>
          <w:szCs w:val="20"/>
        </w:rPr>
      </w:pPr>
      <w:proofErr w:type="spellStart"/>
      <w:r w:rsidRPr="007008A5">
        <w:rPr>
          <w:rFonts w:cstheme="minorHAnsi"/>
          <w:sz w:val="20"/>
          <w:szCs w:val="20"/>
        </w:rPr>
        <w:t>Hyperandrogénie</w:t>
      </w:r>
      <w:proofErr w:type="spellEnd"/>
    </w:p>
    <w:p w:rsidR="002536E2" w:rsidRPr="007008A5" w:rsidRDefault="002536E2" w:rsidP="007008A5">
      <w:pPr>
        <w:pStyle w:val="Paragraphedeliste"/>
        <w:numPr>
          <w:ilvl w:val="0"/>
          <w:numId w:val="1"/>
        </w:numPr>
        <w:spacing w:after="0"/>
        <w:jc w:val="both"/>
        <w:rPr>
          <w:rFonts w:cstheme="minorHAnsi"/>
          <w:sz w:val="20"/>
          <w:szCs w:val="20"/>
        </w:rPr>
      </w:pPr>
      <w:r w:rsidRPr="007008A5">
        <w:rPr>
          <w:rFonts w:cstheme="minorHAnsi"/>
          <w:sz w:val="20"/>
          <w:szCs w:val="20"/>
        </w:rPr>
        <w:t>Syndrome des ovaires polykystiques</w:t>
      </w:r>
    </w:p>
    <w:p w:rsidR="002536E2" w:rsidRPr="007008A5" w:rsidRDefault="002536E2" w:rsidP="007008A5">
      <w:pPr>
        <w:pStyle w:val="Paragraphedeliste"/>
        <w:numPr>
          <w:ilvl w:val="0"/>
          <w:numId w:val="1"/>
        </w:numPr>
        <w:spacing w:after="0"/>
        <w:jc w:val="both"/>
        <w:rPr>
          <w:rFonts w:cstheme="minorHAnsi"/>
          <w:sz w:val="20"/>
          <w:szCs w:val="20"/>
        </w:rPr>
      </w:pPr>
      <w:r w:rsidRPr="007008A5">
        <w:rPr>
          <w:rFonts w:cstheme="minorHAnsi"/>
          <w:sz w:val="20"/>
          <w:szCs w:val="20"/>
        </w:rPr>
        <w:t>Insuffisance ovarienne prématurée</w:t>
      </w:r>
    </w:p>
    <w:p w:rsidR="002536E2" w:rsidRPr="007008A5" w:rsidRDefault="002536E2" w:rsidP="007008A5">
      <w:pPr>
        <w:pStyle w:val="Paragraphedeliste"/>
        <w:numPr>
          <w:ilvl w:val="0"/>
          <w:numId w:val="1"/>
        </w:numPr>
        <w:spacing w:after="0"/>
        <w:jc w:val="both"/>
        <w:rPr>
          <w:rFonts w:cstheme="minorHAnsi"/>
          <w:sz w:val="20"/>
          <w:szCs w:val="20"/>
        </w:rPr>
      </w:pPr>
      <w:r w:rsidRPr="007008A5">
        <w:rPr>
          <w:rFonts w:cstheme="minorHAnsi"/>
          <w:sz w:val="20"/>
          <w:szCs w:val="20"/>
        </w:rPr>
        <w:t>Infertilité féminine</w:t>
      </w:r>
    </w:p>
    <w:p w:rsidR="002536E2" w:rsidRPr="007008A5" w:rsidRDefault="002536E2" w:rsidP="007008A5">
      <w:pPr>
        <w:pStyle w:val="Paragraphedeliste"/>
        <w:numPr>
          <w:ilvl w:val="0"/>
          <w:numId w:val="1"/>
        </w:numPr>
        <w:spacing w:after="0"/>
        <w:jc w:val="both"/>
        <w:rPr>
          <w:rFonts w:cstheme="minorHAnsi"/>
          <w:sz w:val="20"/>
          <w:szCs w:val="20"/>
        </w:rPr>
      </w:pPr>
      <w:r w:rsidRPr="007008A5">
        <w:rPr>
          <w:rFonts w:cstheme="minorHAnsi"/>
          <w:sz w:val="20"/>
          <w:szCs w:val="20"/>
        </w:rPr>
        <w:t>L'endométriose</w:t>
      </w:r>
    </w:p>
    <w:p w:rsidR="007008A5" w:rsidRPr="007008A5" w:rsidRDefault="007008A5" w:rsidP="00CB7261">
      <w:pPr>
        <w:spacing w:after="0"/>
        <w:jc w:val="both"/>
        <w:rPr>
          <w:rFonts w:cstheme="minorHAnsi"/>
          <w:sz w:val="20"/>
          <w:szCs w:val="20"/>
        </w:rPr>
      </w:pPr>
    </w:p>
    <w:p w:rsidR="002536E2" w:rsidRPr="007008A5" w:rsidRDefault="00D32483" w:rsidP="00CB7261">
      <w:pPr>
        <w:spacing w:after="0"/>
        <w:jc w:val="both"/>
        <w:rPr>
          <w:rFonts w:cstheme="minorHAnsi"/>
          <w:b/>
          <w:bCs/>
          <w:sz w:val="20"/>
          <w:szCs w:val="20"/>
          <w:u w:val="single"/>
        </w:rPr>
      </w:pPr>
      <w:r>
        <w:rPr>
          <w:rFonts w:cstheme="minorHAnsi"/>
          <w:b/>
          <w:bCs/>
          <w:sz w:val="20"/>
          <w:szCs w:val="20"/>
          <w:u w:val="single"/>
        </w:rPr>
        <w:t>POSOLOGIE</w:t>
      </w:r>
      <w:r w:rsidR="002536E2" w:rsidRPr="007008A5">
        <w:rPr>
          <w:rFonts w:cstheme="minorHAnsi"/>
          <w:b/>
          <w:bCs/>
          <w:sz w:val="20"/>
          <w:szCs w:val="20"/>
          <w:u w:val="single"/>
        </w:rPr>
        <w:t xml:space="preserve"> :</w:t>
      </w:r>
    </w:p>
    <w:p w:rsidR="002536E2" w:rsidRPr="007008A5" w:rsidRDefault="00C226D5" w:rsidP="00D32483">
      <w:pPr>
        <w:spacing w:after="0"/>
        <w:jc w:val="both"/>
        <w:rPr>
          <w:rFonts w:cstheme="minorHAnsi"/>
          <w:sz w:val="20"/>
          <w:szCs w:val="20"/>
        </w:rPr>
      </w:pPr>
      <w:r w:rsidRPr="007008A5">
        <w:rPr>
          <w:rFonts w:cstheme="minorHAnsi"/>
          <w:sz w:val="20"/>
          <w:szCs w:val="20"/>
        </w:rPr>
        <w:t xml:space="preserve">1 à 2 </w:t>
      </w:r>
      <w:r w:rsidR="00D32483">
        <w:rPr>
          <w:rFonts w:cstheme="minorHAnsi"/>
          <w:sz w:val="20"/>
          <w:szCs w:val="20"/>
        </w:rPr>
        <w:t>gélul</w:t>
      </w:r>
      <w:r w:rsidRPr="007008A5">
        <w:rPr>
          <w:rFonts w:cstheme="minorHAnsi"/>
          <w:sz w:val="20"/>
          <w:szCs w:val="20"/>
        </w:rPr>
        <w:t xml:space="preserve">es par jour </w:t>
      </w:r>
      <w:r w:rsidR="002536E2" w:rsidRPr="007008A5">
        <w:rPr>
          <w:rFonts w:cstheme="minorHAnsi"/>
          <w:sz w:val="20"/>
          <w:szCs w:val="20"/>
        </w:rPr>
        <w:t>ou selon les directives du médecin</w:t>
      </w:r>
      <w:r w:rsidR="00D32483">
        <w:rPr>
          <w:rFonts w:cstheme="minorHAnsi"/>
          <w:sz w:val="20"/>
          <w:szCs w:val="20"/>
        </w:rPr>
        <w:t xml:space="preserve"> ou</w:t>
      </w:r>
      <w:r w:rsidRPr="007008A5">
        <w:rPr>
          <w:rFonts w:cstheme="minorHAnsi"/>
          <w:sz w:val="20"/>
          <w:szCs w:val="20"/>
        </w:rPr>
        <w:t xml:space="preserve"> pharmacien.</w:t>
      </w:r>
    </w:p>
    <w:p w:rsidR="002536E2" w:rsidRPr="007008A5" w:rsidRDefault="002536E2" w:rsidP="00CB7261">
      <w:pPr>
        <w:spacing w:after="0"/>
        <w:jc w:val="both"/>
        <w:rPr>
          <w:rFonts w:cstheme="minorHAnsi"/>
          <w:sz w:val="20"/>
          <w:szCs w:val="20"/>
        </w:rPr>
      </w:pPr>
    </w:p>
    <w:p w:rsidR="002536E2" w:rsidRPr="007008A5" w:rsidRDefault="002536E2" w:rsidP="00CB7261">
      <w:pPr>
        <w:spacing w:after="0"/>
        <w:jc w:val="both"/>
        <w:rPr>
          <w:rFonts w:cstheme="minorHAnsi"/>
          <w:b/>
          <w:bCs/>
          <w:sz w:val="20"/>
          <w:szCs w:val="20"/>
          <w:u w:val="single"/>
        </w:rPr>
      </w:pPr>
      <w:r w:rsidRPr="007008A5">
        <w:rPr>
          <w:rFonts w:cstheme="minorHAnsi"/>
          <w:b/>
          <w:bCs/>
          <w:sz w:val="20"/>
          <w:szCs w:val="20"/>
          <w:u w:val="single"/>
        </w:rPr>
        <w:t>CONTRE-INDICATIONS :</w:t>
      </w:r>
    </w:p>
    <w:p w:rsidR="002536E2" w:rsidRPr="007008A5" w:rsidRDefault="002536E2" w:rsidP="00CB7261">
      <w:pPr>
        <w:spacing w:after="0"/>
        <w:jc w:val="both"/>
        <w:rPr>
          <w:rFonts w:cstheme="minorHAnsi"/>
          <w:sz w:val="20"/>
          <w:szCs w:val="20"/>
        </w:rPr>
      </w:pPr>
      <w:r w:rsidRPr="007008A5">
        <w:rPr>
          <w:rFonts w:cstheme="minorHAnsi"/>
          <w:sz w:val="20"/>
          <w:szCs w:val="20"/>
        </w:rPr>
        <w:t xml:space="preserve">Les </w:t>
      </w:r>
      <w:r w:rsidR="00C226D5" w:rsidRPr="007008A5">
        <w:rPr>
          <w:rFonts w:cstheme="minorHAnsi"/>
          <w:sz w:val="20"/>
          <w:szCs w:val="20"/>
        </w:rPr>
        <w:t>gélules</w:t>
      </w:r>
      <w:r w:rsidRPr="007008A5">
        <w:rPr>
          <w:rFonts w:cstheme="minorHAnsi"/>
          <w:sz w:val="20"/>
          <w:szCs w:val="20"/>
        </w:rPr>
        <w:t xml:space="preserve"> </w:t>
      </w:r>
      <w:r w:rsidR="00C226D5" w:rsidRPr="007008A5">
        <w:rPr>
          <w:rFonts w:cstheme="minorHAnsi"/>
          <w:b/>
          <w:bCs/>
          <w:sz w:val="20"/>
          <w:szCs w:val="20"/>
        </w:rPr>
        <w:t>GYNOVAIRE</w:t>
      </w:r>
      <w:r w:rsidR="007008A5" w:rsidRPr="007008A5">
        <w:rPr>
          <w:rFonts w:eastAsia="Calibri" w:cstheme="minorHAnsi"/>
          <w:b/>
          <w:bCs/>
          <w:color w:val="000000"/>
          <w:sz w:val="20"/>
          <w:szCs w:val="20"/>
        </w:rPr>
        <w:t>®</w:t>
      </w:r>
      <w:r w:rsidRPr="007008A5">
        <w:rPr>
          <w:rFonts w:cstheme="minorHAnsi"/>
          <w:b/>
          <w:bCs/>
          <w:sz w:val="20"/>
          <w:szCs w:val="20"/>
        </w:rPr>
        <w:t xml:space="preserve"> </w:t>
      </w:r>
      <w:r w:rsidRPr="007008A5">
        <w:rPr>
          <w:rFonts w:cstheme="minorHAnsi"/>
          <w:sz w:val="20"/>
          <w:szCs w:val="20"/>
        </w:rPr>
        <w:t>sont contre-indiquées chez les patients présentant une hypersensibilité à ses ingrédients.</w:t>
      </w:r>
    </w:p>
    <w:p w:rsidR="002536E2" w:rsidRPr="007008A5" w:rsidRDefault="002536E2" w:rsidP="00CB7261">
      <w:pPr>
        <w:spacing w:after="0"/>
        <w:jc w:val="both"/>
        <w:rPr>
          <w:rFonts w:cstheme="minorHAnsi"/>
          <w:sz w:val="20"/>
          <w:szCs w:val="20"/>
        </w:rPr>
      </w:pPr>
    </w:p>
    <w:p w:rsidR="002536E2" w:rsidRPr="007008A5" w:rsidRDefault="002536E2" w:rsidP="00CB7261">
      <w:pPr>
        <w:spacing w:after="0"/>
        <w:jc w:val="both"/>
        <w:rPr>
          <w:rFonts w:cstheme="minorHAnsi"/>
          <w:b/>
          <w:bCs/>
          <w:sz w:val="20"/>
          <w:szCs w:val="20"/>
          <w:u w:val="single"/>
        </w:rPr>
      </w:pPr>
      <w:r w:rsidRPr="007008A5">
        <w:rPr>
          <w:rFonts w:cstheme="minorHAnsi"/>
          <w:b/>
          <w:bCs/>
          <w:sz w:val="20"/>
          <w:szCs w:val="20"/>
          <w:u w:val="single"/>
        </w:rPr>
        <w:t>EFFETS INDÉSIRABLES :</w:t>
      </w:r>
    </w:p>
    <w:p w:rsidR="002536E2" w:rsidRPr="007008A5" w:rsidRDefault="00C226D5" w:rsidP="00CB7261">
      <w:pPr>
        <w:spacing w:after="0"/>
        <w:jc w:val="both"/>
        <w:rPr>
          <w:rFonts w:cstheme="minorHAnsi"/>
          <w:sz w:val="20"/>
          <w:szCs w:val="20"/>
        </w:rPr>
      </w:pPr>
      <w:r w:rsidRPr="007008A5">
        <w:rPr>
          <w:rFonts w:cstheme="minorHAnsi"/>
          <w:b/>
          <w:bCs/>
          <w:sz w:val="20"/>
          <w:szCs w:val="20"/>
        </w:rPr>
        <w:t>GYNOVAIRE</w:t>
      </w:r>
      <w:r w:rsidR="007008A5" w:rsidRPr="007008A5">
        <w:rPr>
          <w:rFonts w:eastAsia="Calibri" w:cstheme="minorHAnsi"/>
          <w:b/>
          <w:bCs/>
          <w:color w:val="000000"/>
          <w:sz w:val="20"/>
          <w:szCs w:val="20"/>
        </w:rPr>
        <w:t>®</w:t>
      </w:r>
      <w:r w:rsidR="002536E2" w:rsidRPr="007008A5">
        <w:rPr>
          <w:rFonts w:cstheme="minorHAnsi"/>
          <w:sz w:val="20"/>
          <w:szCs w:val="20"/>
        </w:rPr>
        <w:t xml:space="preserve"> est généralement bien toléré lorsqu'il est administré selon la posologie recommandée.</w:t>
      </w:r>
    </w:p>
    <w:p w:rsidR="002536E2" w:rsidRPr="007008A5" w:rsidRDefault="002536E2" w:rsidP="00CB7261">
      <w:pPr>
        <w:spacing w:after="0"/>
        <w:jc w:val="both"/>
        <w:rPr>
          <w:rFonts w:cstheme="minorHAnsi"/>
          <w:sz w:val="20"/>
          <w:szCs w:val="20"/>
        </w:rPr>
      </w:pPr>
    </w:p>
    <w:p w:rsidR="002536E2" w:rsidRPr="007008A5" w:rsidRDefault="002536E2" w:rsidP="00CB7261">
      <w:pPr>
        <w:spacing w:after="0"/>
        <w:jc w:val="both"/>
        <w:rPr>
          <w:rFonts w:cstheme="minorHAnsi"/>
          <w:b/>
          <w:bCs/>
          <w:sz w:val="20"/>
          <w:szCs w:val="20"/>
          <w:u w:val="single"/>
        </w:rPr>
      </w:pPr>
      <w:r w:rsidRPr="007008A5">
        <w:rPr>
          <w:rFonts w:cstheme="minorHAnsi"/>
          <w:b/>
          <w:bCs/>
          <w:sz w:val="20"/>
          <w:szCs w:val="20"/>
          <w:u w:val="single"/>
        </w:rPr>
        <w:t>PRÉCAUTION :</w:t>
      </w:r>
    </w:p>
    <w:p w:rsidR="002536E2" w:rsidRPr="007008A5" w:rsidRDefault="002536E2" w:rsidP="00CB7261">
      <w:pPr>
        <w:spacing w:after="0"/>
        <w:jc w:val="both"/>
        <w:rPr>
          <w:rFonts w:cstheme="minorHAnsi"/>
          <w:sz w:val="20"/>
          <w:szCs w:val="20"/>
        </w:rPr>
      </w:pPr>
      <w:r w:rsidRPr="007008A5">
        <w:rPr>
          <w:rFonts w:cstheme="minorHAnsi"/>
          <w:sz w:val="20"/>
          <w:szCs w:val="20"/>
        </w:rPr>
        <w:t xml:space="preserve">Les </w:t>
      </w:r>
      <w:r w:rsidR="00C226D5" w:rsidRPr="007008A5">
        <w:rPr>
          <w:rFonts w:cstheme="minorHAnsi"/>
          <w:sz w:val="20"/>
          <w:szCs w:val="20"/>
        </w:rPr>
        <w:t>gélules</w:t>
      </w:r>
      <w:r w:rsidRPr="007008A5">
        <w:rPr>
          <w:rFonts w:cstheme="minorHAnsi"/>
          <w:sz w:val="20"/>
          <w:szCs w:val="20"/>
        </w:rPr>
        <w:t xml:space="preserve"> </w:t>
      </w:r>
      <w:r w:rsidR="00C226D5" w:rsidRPr="007008A5">
        <w:rPr>
          <w:rFonts w:cstheme="minorHAnsi"/>
          <w:b/>
          <w:bCs/>
          <w:sz w:val="20"/>
          <w:szCs w:val="20"/>
        </w:rPr>
        <w:t>GYNOVAIRE</w:t>
      </w:r>
      <w:r w:rsidR="007008A5" w:rsidRPr="007008A5">
        <w:rPr>
          <w:rFonts w:eastAsia="Calibri" w:cstheme="minorHAnsi"/>
          <w:b/>
          <w:bCs/>
          <w:color w:val="000000"/>
          <w:sz w:val="20"/>
          <w:szCs w:val="20"/>
        </w:rPr>
        <w:t>®</w:t>
      </w:r>
      <w:r w:rsidRPr="007008A5">
        <w:rPr>
          <w:rFonts w:cstheme="minorHAnsi"/>
          <w:sz w:val="20"/>
          <w:szCs w:val="20"/>
        </w:rPr>
        <w:t xml:space="preserve"> sont considérées comme sûres lorsqu'elles sont administrées selon l'usage recommandé, même pendant la grossesse et l'allaitement. Cependant, il est préférable de consulter votre médecin </w:t>
      </w:r>
      <w:r w:rsidR="00C226D5" w:rsidRPr="007008A5">
        <w:rPr>
          <w:rFonts w:cstheme="minorHAnsi"/>
          <w:sz w:val="20"/>
          <w:szCs w:val="20"/>
        </w:rPr>
        <w:t xml:space="preserve">ou pharmacien </w:t>
      </w:r>
      <w:r w:rsidRPr="007008A5">
        <w:rPr>
          <w:rFonts w:cstheme="minorHAnsi"/>
          <w:sz w:val="20"/>
          <w:szCs w:val="20"/>
        </w:rPr>
        <w:t>avant d'utiliser ce produit.</w:t>
      </w:r>
    </w:p>
    <w:p w:rsidR="002536E2" w:rsidRPr="007008A5" w:rsidRDefault="002536E2" w:rsidP="00CB7261">
      <w:pPr>
        <w:spacing w:after="0"/>
        <w:jc w:val="both"/>
        <w:rPr>
          <w:rFonts w:cstheme="minorHAnsi"/>
          <w:sz w:val="20"/>
          <w:szCs w:val="20"/>
        </w:rPr>
      </w:pPr>
    </w:p>
    <w:p w:rsidR="002536E2" w:rsidRPr="007008A5" w:rsidRDefault="002536E2" w:rsidP="00D32483">
      <w:pPr>
        <w:spacing w:after="0"/>
        <w:jc w:val="both"/>
        <w:rPr>
          <w:rFonts w:cstheme="minorHAnsi"/>
          <w:sz w:val="20"/>
          <w:szCs w:val="20"/>
        </w:rPr>
      </w:pPr>
      <w:r w:rsidRPr="007008A5">
        <w:rPr>
          <w:rFonts w:cstheme="minorHAnsi"/>
          <w:sz w:val="20"/>
          <w:szCs w:val="20"/>
        </w:rPr>
        <w:t>Les personnes souffrant de problèmes de santé connus et / ou prenant des médicaments devr</w:t>
      </w:r>
      <w:r w:rsidR="00D32483">
        <w:rPr>
          <w:rFonts w:cstheme="minorHAnsi"/>
          <w:sz w:val="20"/>
          <w:szCs w:val="20"/>
        </w:rPr>
        <w:t>aient consulter un médecin ou pharmacien</w:t>
      </w:r>
      <w:r w:rsidRPr="007008A5">
        <w:rPr>
          <w:rFonts w:cstheme="minorHAnsi"/>
          <w:sz w:val="20"/>
          <w:szCs w:val="20"/>
        </w:rPr>
        <w:t xml:space="preserve"> avant de prendre des compléments alimentaires.</w:t>
      </w:r>
    </w:p>
    <w:p w:rsidR="002536E2" w:rsidRPr="007008A5" w:rsidRDefault="002536E2" w:rsidP="00CB7261">
      <w:pPr>
        <w:spacing w:after="0"/>
        <w:jc w:val="both"/>
        <w:rPr>
          <w:rFonts w:cstheme="minorHAnsi"/>
          <w:sz w:val="20"/>
          <w:szCs w:val="20"/>
        </w:rPr>
      </w:pPr>
    </w:p>
    <w:p w:rsidR="002536E2" w:rsidRPr="007008A5" w:rsidRDefault="002536E2" w:rsidP="00CB7261">
      <w:pPr>
        <w:spacing w:after="0"/>
        <w:jc w:val="both"/>
        <w:rPr>
          <w:rFonts w:cstheme="minorHAnsi"/>
          <w:b/>
          <w:bCs/>
          <w:sz w:val="20"/>
          <w:szCs w:val="20"/>
          <w:u w:val="single"/>
        </w:rPr>
      </w:pPr>
      <w:r w:rsidRPr="007008A5">
        <w:rPr>
          <w:rFonts w:cstheme="minorHAnsi"/>
          <w:b/>
          <w:bCs/>
          <w:sz w:val="20"/>
          <w:szCs w:val="20"/>
          <w:u w:val="single"/>
        </w:rPr>
        <w:t>PRÉSENTATION :</w:t>
      </w:r>
    </w:p>
    <w:p w:rsidR="002536E2" w:rsidRPr="007008A5" w:rsidRDefault="002536E2" w:rsidP="00CB7261">
      <w:pPr>
        <w:spacing w:after="0"/>
        <w:jc w:val="both"/>
        <w:rPr>
          <w:rFonts w:cstheme="minorHAnsi"/>
          <w:sz w:val="20"/>
          <w:szCs w:val="20"/>
        </w:rPr>
      </w:pPr>
      <w:r w:rsidRPr="007008A5">
        <w:rPr>
          <w:rFonts w:cstheme="minorHAnsi"/>
          <w:sz w:val="20"/>
          <w:szCs w:val="20"/>
        </w:rPr>
        <w:t xml:space="preserve">Les gélules </w:t>
      </w:r>
      <w:r w:rsidRPr="0064022E">
        <w:rPr>
          <w:rFonts w:cstheme="minorHAnsi"/>
          <w:b/>
          <w:bCs/>
          <w:sz w:val="20"/>
          <w:szCs w:val="20"/>
        </w:rPr>
        <w:t>GYNOVAIRE</w:t>
      </w:r>
      <w:r w:rsidRPr="0064022E">
        <w:rPr>
          <w:rFonts w:eastAsia="Calibri" w:cstheme="minorHAnsi"/>
          <w:b/>
          <w:bCs/>
          <w:color w:val="000000"/>
          <w:sz w:val="20"/>
          <w:szCs w:val="20"/>
        </w:rPr>
        <w:t>®</w:t>
      </w:r>
      <w:r w:rsidRPr="007008A5">
        <w:rPr>
          <w:rFonts w:cstheme="minorHAnsi"/>
          <w:sz w:val="20"/>
          <w:szCs w:val="20"/>
        </w:rPr>
        <w:t xml:space="preserve"> sont disponibles </w:t>
      </w:r>
      <w:r w:rsidR="00C226D5" w:rsidRPr="007008A5">
        <w:rPr>
          <w:rFonts w:cstheme="minorHAnsi"/>
          <w:sz w:val="20"/>
          <w:szCs w:val="20"/>
        </w:rPr>
        <w:t>dans des piluliers de 30 gélules</w:t>
      </w:r>
      <w:r w:rsidRPr="007008A5">
        <w:rPr>
          <w:rFonts w:cstheme="minorHAnsi"/>
          <w:sz w:val="20"/>
          <w:szCs w:val="20"/>
        </w:rPr>
        <w:t>.</w:t>
      </w:r>
    </w:p>
    <w:p w:rsidR="002536E2" w:rsidRPr="007008A5" w:rsidRDefault="002536E2" w:rsidP="00CB7261">
      <w:pPr>
        <w:spacing w:after="0"/>
        <w:jc w:val="both"/>
        <w:rPr>
          <w:rFonts w:cstheme="minorHAnsi"/>
          <w:sz w:val="20"/>
          <w:szCs w:val="20"/>
        </w:rPr>
      </w:pPr>
    </w:p>
    <w:p w:rsidR="002536E2" w:rsidRPr="007008A5" w:rsidRDefault="002536E2" w:rsidP="00CB7261">
      <w:pPr>
        <w:spacing w:after="0"/>
        <w:jc w:val="both"/>
        <w:rPr>
          <w:rFonts w:cstheme="minorHAnsi"/>
          <w:b/>
          <w:bCs/>
          <w:sz w:val="20"/>
          <w:szCs w:val="20"/>
          <w:u w:val="single"/>
        </w:rPr>
      </w:pPr>
      <w:r w:rsidRPr="007008A5">
        <w:rPr>
          <w:rFonts w:cstheme="minorHAnsi"/>
          <w:b/>
          <w:bCs/>
          <w:sz w:val="20"/>
          <w:szCs w:val="20"/>
          <w:u w:val="single"/>
        </w:rPr>
        <w:t>AVERTISSEMENT</w:t>
      </w:r>
      <w:r w:rsidR="00893C60" w:rsidRPr="007008A5">
        <w:rPr>
          <w:rFonts w:cstheme="minorHAnsi"/>
          <w:b/>
          <w:bCs/>
          <w:sz w:val="20"/>
          <w:szCs w:val="20"/>
          <w:u w:val="single"/>
        </w:rPr>
        <w:t xml:space="preserve"> </w:t>
      </w:r>
      <w:r w:rsidRPr="007008A5">
        <w:rPr>
          <w:rFonts w:cstheme="minorHAnsi"/>
          <w:b/>
          <w:bCs/>
          <w:sz w:val="20"/>
          <w:szCs w:val="20"/>
          <w:u w:val="single"/>
        </w:rPr>
        <w:t>:</w:t>
      </w:r>
    </w:p>
    <w:p w:rsidR="002536E2" w:rsidRPr="007008A5" w:rsidRDefault="002536E2" w:rsidP="00CB7261">
      <w:pPr>
        <w:spacing w:after="0"/>
        <w:jc w:val="both"/>
        <w:rPr>
          <w:rFonts w:cstheme="minorHAnsi"/>
          <w:sz w:val="20"/>
          <w:szCs w:val="20"/>
        </w:rPr>
      </w:pPr>
      <w:r w:rsidRPr="007008A5">
        <w:rPr>
          <w:rFonts w:cstheme="minorHAnsi"/>
          <w:sz w:val="20"/>
          <w:szCs w:val="20"/>
        </w:rPr>
        <w:t>Lisez toujours les instructions du produit avant utilisation. Ne pas dépasser la dose recommandée. Si vous souffrez d'allergies alimentaires, assurez-vous d'en parler à votre professionnel de la santé avant d'utiliser ce produit. Les suppléments de vitamines, d'acides aminés, de minéraux ou de plantes médicinales ne sont pas destinés à traiter ou prévenir une maladie. Les compléments alimentaires ne doivent pas remplacer une alimentation équilibrée et variée et un mode de vie sain. Veuillez consulter votre professionnel de la santé avant de tirer des conclusions concernant votre état de santé. Jetez correctement ce supplément lorsqu'il est expiré ou qu'il n'est plus nécessaire. Conserver dans un endroit frais, sec, sombre et à l'abri de la lumière directe du soleil. Ne pas réfrigérer. Gardez ce produit hors de portée des enfants.</w:t>
      </w:r>
    </w:p>
    <w:sectPr w:rsidR="002536E2" w:rsidRPr="007008A5" w:rsidSect="007008A5">
      <w:footerReference w:type="default" r:id="rId8"/>
      <w:pgSz w:w="11906" w:h="16838" w:code="9"/>
      <w:pgMar w:top="567" w:right="567" w:bottom="567" w:left="567" w:header="709" w:footer="0" w:gutter="0"/>
      <w:cols w:num="2" w:space="28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8A5" w:rsidRDefault="007008A5" w:rsidP="007008A5">
      <w:pPr>
        <w:spacing w:after="0" w:line="240" w:lineRule="auto"/>
      </w:pPr>
      <w:r>
        <w:separator/>
      </w:r>
    </w:p>
  </w:endnote>
  <w:endnote w:type="continuationSeparator" w:id="0">
    <w:p w:rsidR="007008A5" w:rsidRDefault="007008A5" w:rsidP="0070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983633"/>
      <w:docPartObj>
        <w:docPartGallery w:val="Page Numbers (Bottom of Page)"/>
        <w:docPartUnique/>
      </w:docPartObj>
    </w:sdtPr>
    <w:sdtEndPr/>
    <w:sdtContent>
      <w:p w:rsidR="007008A5" w:rsidRDefault="007008A5">
        <w:pPr>
          <w:pStyle w:val="Pieddepage"/>
          <w:jc w:val="center"/>
        </w:pPr>
        <w:r>
          <w:fldChar w:fldCharType="begin"/>
        </w:r>
        <w:r>
          <w:instrText>PAGE   \* MERGEFORMAT</w:instrText>
        </w:r>
        <w:r>
          <w:fldChar w:fldCharType="separate"/>
        </w:r>
        <w:r w:rsidR="005F28ED">
          <w:rPr>
            <w:noProof/>
          </w:rPr>
          <w:t>2</w:t>
        </w:r>
        <w:r>
          <w:fldChar w:fldCharType="end"/>
        </w:r>
      </w:p>
    </w:sdtContent>
  </w:sdt>
  <w:p w:rsidR="007008A5" w:rsidRDefault="007008A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8A5" w:rsidRDefault="007008A5" w:rsidP="007008A5">
      <w:pPr>
        <w:spacing w:after="0" w:line="240" w:lineRule="auto"/>
      </w:pPr>
      <w:r>
        <w:separator/>
      </w:r>
    </w:p>
  </w:footnote>
  <w:footnote w:type="continuationSeparator" w:id="0">
    <w:p w:rsidR="007008A5" w:rsidRDefault="007008A5" w:rsidP="00700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314BB"/>
    <w:multiLevelType w:val="hybridMultilevel"/>
    <w:tmpl w:val="17B60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E2"/>
    <w:rsid w:val="00061A2C"/>
    <w:rsid w:val="002536E2"/>
    <w:rsid w:val="00261BAB"/>
    <w:rsid w:val="002C0930"/>
    <w:rsid w:val="0049218A"/>
    <w:rsid w:val="005F28ED"/>
    <w:rsid w:val="0064022E"/>
    <w:rsid w:val="007008A5"/>
    <w:rsid w:val="008869B4"/>
    <w:rsid w:val="00893C60"/>
    <w:rsid w:val="00C226D5"/>
    <w:rsid w:val="00C32699"/>
    <w:rsid w:val="00CB7261"/>
    <w:rsid w:val="00D32483"/>
    <w:rsid w:val="00DC292A"/>
    <w:rsid w:val="00ED28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AA0646"/>
  <w15:chartTrackingRefBased/>
  <w15:docId w15:val="{3813208A-B4E4-4289-9BBA-27A58B1D0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53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008A5"/>
    <w:pPr>
      <w:ind w:left="720"/>
      <w:contextualSpacing/>
    </w:pPr>
  </w:style>
  <w:style w:type="paragraph" w:styleId="En-tte">
    <w:name w:val="header"/>
    <w:basedOn w:val="Normal"/>
    <w:link w:val="En-tteCar"/>
    <w:uiPriority w:val="99"/>
    <w:unhideWhenUsed/>
    <w:rsid w:val="007008A5"/>
    <w:pPr>
      <w:tabs>
        <w:tab w:val="center" w:pos="4536"/>
        <w:tab w:val="right" w:pos="9072"/>
      </w:tabs>
      <w:spacing w:after="0" w:line="240" w:lineRule="auto"/>
    </w:pPr>
  </w:style>
  <w:style w:type="character" w:customStyle="1" w:styleId="En-tteCar">
    <w:name w:val="En-tête Car"/>
    <w:basedOn w:val="Policepardfaut"/>
    <w:link w:val="En-tte"/>
    <w:uiPriority w:val="99"/>
    <w:rsid w:val="007008A5"/>
  </w:style>
  <w:style w:type="paragraph" w:styleId="Pieddepage">
    <w:name w:val="footer"/>
    <w:basedOn w:val="Normal"/>
    <w:link w:val="PieddepageCar"/>
    <w:uiPriority w:val="99"/>
    <w:unhideWhenUsed/>
    <w:rsid w:val="007008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5910E-72A2-48B9-8020-998AEF534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1382</Words>
  <Characters>7602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Drani</dc:creator>
  <cp:keywords/>
  <dc:description/>
  <cp:lastModifiedBy>Sana Drani</cp:lastModifiedBy>
  <cp:revision>6</cp:revision>
  <dcterms:created xsi:type="dcterms:W3CDTF">2020-12-29T12:38:00Z</dcterms:created>
  <dcterms:modified xsi:type="dcterms:W3CDTF">2021-03-16T20:29:00Z</dcterms:modified>
</cp:coreProperties>
</file>