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6E2" w:rsidRPr="00D23F42" w:rsidRDefault="0003185F" w:rsidP="004464B0">
      <w:pPr>
        <w:jc w:val="center"/>
        <w:rPr>
          <w:rFonts w:cstheme="minorHAnsi"/>
          <w:b/>
          <w:bCs/>
          <w:sz w:val="40"/>
          <w:szCs w:val="40"/>
        </w:rPr>
      </w:pPr>
      <w:r w:rsidRPr="0003185F">
        <w:rPr>
          <w:rFonts w:cstheme="minorHAnsi"/>
          <w:b/>
          <w:bCs/>
          <w:sz w:val="40"/>
          <w:szCs w:val="40"/>
        </w:rPr>
        <w:t xml:space="preserve">HEPATIX® </w:t>
      </w:r>
      <w:r w:rsidR="001137EE" w:rsidRPr="00D23F42">
        <w:rPr>
          <w:rFonts w:cstheme="minorHAnsi"/>
          <w:b/>
          <w:bCs/>
          <w:sz w:val="40"/>
          <w:szCs w:val="40"/>
        </w:rPr>
        <w:t xml:space="preserve"> </w:t>
      </w:r>
      <w:r w:rsidR="002536E2" w:rsidRPr="00D23F42">
        <w:rPr>
          <w:rFonts w:cstheme="minorHAnsi"/>
          <w:b/>
          <w:bCs/>
          <w:sz w:val="40"/>
          <w:szCs w:val="40"/>
        </w:rPr>
        <w:t xml:space="preserve"> </w:t>
      </w:r>
    </w:p>
    <w:p w:rsidR="002536E2" w:rsidRPr="0003185F" w:rsidRDefault="007008A5" w:rsidP="0022297D">
      <w:pPr>
        <w:jc w:val="both"/>
        <w:rPr>
          <w:rFonts w:cstheme="minorHAnsi"/>
          <w:b/>
          <w:bCs/>
          <w:sz w:val="21"/>
          <w:szCs w:val="21"/>
          <w:u w:val="single"/>
        </w:rPr>
      </w:pPr>
      <w:r w:rsidRPr="0003185F">
        <w:rPr>
          <w:rFonts w:cstheme="minorHAnsi"/>
          <w:b/>
          <w:bCs/>
          <w:sz w:val="21"/>
          <w:szCs w:val="21"/>
          <w:u w:val="single"/>
        </w:rPr>
        <w:t>COMPOSITION</w:t>
      </w:r>
      <w:r w:rsidR="002536E2" w:rsidRPr="0003185F">
        <w:rPr>
          <w:rFonts w:cstheme="minorHAnsi"/>
          <w:b/>
          <w:bCs/>
          <w:sz w:val="21"/>
          <w:szCs w:val="21"/>
          <w:u w:val="single"/>
        </w:rPr>
        <w:t> :</w:t>
      </w:r>
    </w:p>
    <w:p w:rsidR="0003185F" w:rsidRPr="0003185F" w:rsidRDefault="0003185F" w:rsidP="0003185F">
      <w:pPr>
        <w:spacing w:after="0"/>
        <w:jc w:val="both"/>
        <w:rPr>
          <w:rFonts w:cstheme="minorHAnsi"/>
          <w:sz w:val="21"/>
          <w:szCs w:val="21"/>
        </w:rPr>
      </w:pPr>
      <w:r w:rsidRPr="0003185F">
        <w:rPr>
          <w:rFonts w:cstheme="minorHAnsi"/>
          <w:sz w:val="21"/>
          <w:szCs w:val="21"/>
        </w:rPr>
        <w:t xml:space="preserve">Chaque gélule de </w:t>
      </w:r>
      <w:r w:rsidRPr="0003185F">
        <w:rPr>
          <w:rFonts w:cstheme="minorHAnsi"/>
          <w:b/>
          <w:bCs/>
          <w:sz w:val="21"/>
          <w:szCs w:val="21"/>
        </w:rPr>
        <w:t xml:space="preserve">HEPATIX® </w:t>
      </w:r>
      <w:r w:rsidRPr="0003185F">
        <w:rPr>
          <w:rFonts w:cstheme="minorHAnsi"/>
          <w:sz w:val="21"/>
          <w:szCs w:val="21"/>
        </w:rPr>
        <w:t>contient :</w:t>
      </w:r>
    </w:p>
    <w:p w:rsidR="0003185F" w:rsidRPr="0003185F" w:rsidRDefault="0003185F" w:rsidP="0003185F">
      <w:pPr>
        <w:spacing w:after="0"/>
        <w:jc w:val="both"/>
        <w:rPr>
          <w:rFonts w:cstheme="minorHAnsi"/>
          <w:b/>
          <w:bCs/>
          <w:sz w:val="21"/>
          <w:szCs w:val="21"/>
        </w:rPr>
      </w:pPr>
    </w:p>
    <w:tbl>
      <w:tblPr>
        <w:tblStyle w:val="Grilledutableau"/>
        <w:tblW w:w="0" w:type="auto"/>
        <w:tblLook w:val="04A0" w:firstRow="1" w:lastRow="0" w:firstColumn="1" w:lastColumn="0" w:noHBand="0" w:noVBand="1"/>
      </w:tblPr>
      <w:tblGrid>
        <w:gridCol w:w="2681"/>
        <w:gridCol w:w="2552"/>
      </w:tblGrid>
      <w:tr w:rsidR="0003185F" w:rsidRPr="0003185F" w:rsidTr="007D6B03">
        <w:tc>
          <w:tcPr>
            <w:tcW w:w="4834" w:type="dxa"/>
          </w:tcPr>
          <w:p w:rsidR="0003185F" w:rsidRPr="0003185F" w:rsidRDefault="0003185F" w:rsidP="0003185F">
            <w:pPr>
              <w:spacing w:line="259" w:lineRule="auto"/>
              <w:jc w:val="both"/>
              <w:rPr>
                <w:rFonts w:cstheme="minorHAnsi"/>
                <w:b/>
                <w:bCs/>
                <w:sz w:val="21"/>
                <w:szCs w:val="21"/>
              </w:rPr>
            </w:pPr>
            <w:r w:rsidRPr="0003185F">
              <w:rPr>
                <w:rFonts w:cstheme="minorHAnsi"/>
                <w:b/>
                <w:bCs/>
                <w:sz w:val="21"/>
                <w:szCs w:val="21"/>
              </w:rPr>
              <w:t>Composant</w:t>
            </w:r>
          </w:p>
        </w:tc>
        <w:tc>
          <w:tcPr>
            <w:tcW w:w="4834" w:type="dxa"/>
          </w:tcPr>
          <w:p w:rsidR="0003185F" w:rsidRPr="0003185F" w:rsidRDefault="0003185F" w:rsidP="0003185F">
            <w:pPr>
              <w:spacing w:line="259" w:lineRule="auto"/>
              <w:jc w:val="both"/>
              <w:rPr>
                <w:rFonts w:cstheme="minorHAnsi"/>
                <w:b/>
                <w:bCs/>
                <w:sz w:val="21"/>
                <w:szCs w:val="21"/>
              </w:rPr>
            </w:pPr>
            <w:r w:rsidRPr="0003185F">
              <w:rPr>
                <w:rFonts w:cstheme="minorHAnsi"/>
                <w:b/>
                <w:bCs/>
                <w:sz w:val="21"/>
                <w:szCs w:val="21"/>
              </w:rPr>
              <w:t>Quantité</w:t>
            </w:r>
          </w:p>
        </w:tc>
      </w:tr>
      <w:tr w:rsidR="0003185F" w:rsidRPr="0003185F" w:rsidTr="007D6B03">
        <w:tc>
          <w:tcPr>
            <w:tcW w:w="4834" w:type="dxa"/>
          </w:tcPr>
          <w:p w:rsidR="0003185F" w:rsidRPr="0003185F" w:rsidRDefault="0003185F" w:rsidP="0003185F">
            <w:pPr>
              <w:spacing w:line="259" w:lineRule="auto"/>
              <w:jc w:val="both"/>
              <w:rPr>
                <w:rFonts w:cstheme="minorHAnsi"/>
                <w:sz w:val="21"/>
                <w:szCs w:val="21"/>
              </w:rPr>
            </w:pPr>
            <w:r w:rsidRPr="0003185F">
              <w:rPr>
                <w:rFonts w:cstheme="minorHAnsi"/>
                <w:sz w:val="21"/>
                <w:szCs w:val="21"/>
              </w:rPr>
              <w:t>Lécithine</w:t>
            </w:r>
          </w:p>
        </w:tc>
        <w:tc>
          <w:tcPr>
            <w:tcW w:w="4834" w:type="dxa"/>
          </w:tcPr>
          <w:p w:rsidR="0003185F" w:rsidRPr="0003185F" w:rsidRDefault="0003185F" w:rsidP="0003185F">
            <w:pPr>
              <w:spacing w:line="259" w:lineRule="auto"/>
              <w:jc w:val="both"/>
              <w:rPr>
                <w:rFonts w:cstheme="minorHAnsi"/>
                <w:sz w:val="21"/>
                <w:szCs w:val="21"/>
              </w:rPr>
            </w:pPr>
            <w:r w:rsidRPr="0003185F">
              <w:rPr>
                <w:rFonts w:cstheme="minorHAnsi"/>
                <w:sz w:val="21"/>
                <w:szCs w:val="21"/>
              </w:rPr>
              <w:t>225 mg</w:t>
            </w:r>
          </w:p>
        </w:tc>
      </w:tr>
      <w:tr w:rsidR="0003185F" w:rsidRPr="0003185F" w:rsidTr="007D6B03">
        <w:tc>
          <w:tcPr>
            <w:tcW w:w="4834" w:type="dxa"/>
          </w:tcPr>
          <w:p w:rsidR="0003185F" w:rsidRPr="0003185F" w:rsidRDefault="0003185F" w:rsidP="0003185F">
            <w:pPr>
              <w:spacing w:line="259" w:lineRule="auto"/>
              <w:jc w:val="both"/>
              <w:rPr>
                <w:rFonts w:cstheme="minorHAnsi"/>
                <w:sz w:val="21"/>
                <w:szCs w:val="21"/>
              </w:rPr>
            </w:pPr>
            <w:proofErr w:type="spellStart"/>
            <w:r w:rsidRPr="0003185F">
              <w:rPr>
                <w:rFonts w:cstheme="minorHAnsi"/>
                <w:sz w:val="21"/>
                <w:szCs w:val="21"/>
              </w:rPr>
              <w:t>Silymarine</w:t>
            </w:r>
            <w:proofErr w:type="spellEnd"/>
          </w:p>
        </w:tc>
        <w:tc>
          <w:tcPr>
            <w:tcW w:w="4834" w:type="dxa"/>
          </w:tcPr>
          <w:p w:rsidR="0003185F" w:rsidRPr="0003185F" w:rsidRDefault="0003185F" w:rsidP="0003185F">
            <w:pPr>
              <w:spacing w:line="259" w:lineRule="auto"/>
              <w:jc w:val="both"/>
              <w:rPr>
                <w:rFonts w:cstheme="minorHAnsi"/>
                <w:sz w:val="21"/>
                <w:szCs w:val="21"/>
              </w:rPr>
            </w:pPr>
            <w:r w:rsidRPr="0003185F">
              <w:rPr>
                <w:rFonts w:cstheme="minorHAnsi"/>
                <w:sz w:val="21"/>
                <w:szCs w:val="21"/>
              </w:rPr>
              <w:t>140 mg</w:t>
            </w:r>
          </w:p>
        </w:tc>
      </w:tr>
      <w:tr w:rsidR="0003185F" w:rsidRPr="0003185F" w:rsidTr="007D6B03">
        <w:tc>
          <w:tcPr>
            <w:tcW w:w="4834" w:type="dxa"/>
          </w:tcPr>
          <w:p w:rsidR="0003185F" w:rsidRPr="0003185F" w:rsidRDefault="0003185F" w:rsidP="0003185F">
            <w:pPr>
              <w:spacing w:line="259" w:lineRule="auto"/>
              <w:jc w:val="both"/>
              <w:rPr>
                <w:rFonts w:cstheme="minorHAnsi"/>
                <w:sz w:val="21"/>
                <w:szCs w:val="21"/>
              </w:rPr>
            </w:pPr>
            <w:proofErr w:type="spellStart"/>
            <w:r w:rsidRPr="0003185F">
              <w:rPr>
                <w:rFonts w:cstheme="minorHAnsi"/>
                <w:sz w:val="21"/>
                <w:szCs w:val="21"/>
              </w:rPr>
              <w:t>Bitartrate</w:t>
            </w:r>
            <w:proofErr w:type="spellEnd"/>
            <w:r w:rsidRPr="0003185F">
              <w:rPr>
                <w:rFonts w:cstheme="minorHAnsi"/>
                <w:sz w:val="21"/>
                <w:szCs w:val="21"/>
              </w:rPr>
              <w:t xml:space="preserve"> de choline</w:t>
            </w:r>
          </w:p>
        </w:tc>
        <w:tc>
          <w:tcPr>
            <w:tcW w:w="4834" w:type="dxa"/>
          </w:tcPr>
          <w:p w:rsidR="0003185F" w:rsidRPr="0003185F" w:rsidRDefault="0003185F" w:rsidP="0003185F">
            <w:pPr>
              <w:spacing w:line="259" w:lineRule="auto"/>
              <w:jc w:val="both"/>
              <w:rPr>
                <w:rFonts w:cstheme="minorHAnsi"/>
                <w:sz w:val="21"/>
                <w:szCs w:val="21"/>
              </w:rPr>
            </w:pPr>
            <w:r w:rsidRPr="0003185F">
              <w:rPr>
                <w:rFonts w:cstheme="minorHAnsi"/>
                <w:sz w:val="21"/>
                <w:szCs w:val="21"/>
              </w:rPr>
              <w:t>50 mg</w:t>
            </w:r>
          </w:p>
        </w:tc>
      </w:tr>
    </w:tbl>
    <w:p w:rsidR="0059607B" w:rsidRPr="0003185F" w:rsidRDefault="0059607B" w:rsidP="00393156">
      <w:pPr>
        <w:spacing w:after="0"/>
        <w:jc w:val="both"/>
        <w:rPr>
          <w:rFonts w:cstheme="minorHAnsi"/>
          <w:b/>
          <w:bCs/>
          <w:sz w:val="21"/>
          <w:szCs w:val="21"/>
        </w:rPr>
      </w:pPr>
    </w:p>
    <w:p w:rsidR="002536E2" w:rsidRPr="0003185F" w:rsidRDefault="002536E2" w:rsidP="004464B0">
      <w:pPr>
        <w:spacing w:after="0"/>
        <w:jc w:val="both"/>
        <w:rPr>
          <w:rFonts w:cstheme="minorHAnsi"/>
          <w:sz w:val="21"/>
          <w:szCs w:val="21"/>
        </w:rPr>
      </w:pPr>
      <w:r w:rsidRPr="0003185F">
        <w:rPr>
          <w:rFonts w:cstheme="minorHAnsi"/>
          <w:b/>
          <w:bCs/>
          <w:sz w:val="21"/>
          <w:szCs w:val="21"/>
        </w:rPr>
        <w:t xml:space="preserve">Autre composition : </w:t>
      </w:r>
      <w:r w:rsidR="00393156" w:rsidRPr="0003185F">
        <w:rPr>
          <w:rFonts w:cstheme="minorHAnsi"/>
          <w:sz w:val="21"/>
          <w:szCs w:val="21"/>
        </w:rPr>
        <w:t>Di-calcium de phosphate, Stéarate de magnésium</w:t>
      </w:r>
      <w:r w:rsidR="00393156" w:rsidRPr="0003185F">
        <w:rPr>
          <w:rFonts w:cstheme="minorHAnsi"/>
          <w:b/>
          <w:bCs/>
          <w:sz w:val="21"/>
          <w:szCs w:val="21"/>
        </w:rPr>
        <w:t xml:space="preserve">, </w:t>
      </w:r>
      <w:r w:rsidR="00393156" w:rsidRPr="0003185F">
        <w:rPr>
          <w:rFonts w:cstheme="minorHAnsi"/>
          <w:sz w:val="21"/>
          <w:szCs w:val="21"/>
        </w:rPr>
        <w:t>Dioxyde de silicone, Talc,</w:t>
      </w:r>
      <w:r w:rsidR="00393156" w:rsidRPr="0003185F">
        <w:rPr>
          <w:rFonts w:cstheme="minorHAnsi"/>
          <w:b/>
          <w:bCs/>
          <w:sz w:val="21"/>
          <w:szCs w:val="21"/>
        </w:rPr>
        <w:t xml:space="preserve"> </w:t>
      </w:r>
      <w:r w:rsidR="00393156" w:rsidRPr="0003185F">
        <w:rPr>
          <w:rFonts w:cstheme="minorHAnsi"/>
          <w:sz w:val="21"/>
          <w:szCs w:val="21"/>
        </w:rPr>
        <w:t>Excédents de vitamines.</w:t>
      </w:r>
    </w:p>
    <w:p w:rsidR="00CB7261" w:rsidRPr="0003185F" w:rsidRDefault="00CB7261" w:rsidP="004464B0">
      <w:pPr>
        <w:spacing w:after="0"/>
        <w:jc w:val="both"/>
        <w:rPr>
          <w:rFonts w:cstheme="minorHAnsi"/>
          <w:b/>
          <w:bCs/>
          <w:sz w:val="21"/>
          <w:szCs w:val="21"/>
        </w:rPr>
      </w:pPr>
    </w:p>
    <w:p w:rsidR="002D1C77" w:rsidRPr="0003185F" w:rsidRDefault="002536E2" w:rsidP="002D1C77">
      <w:pPr>
        <w:spacing w:after="0"/>
        <w:jc w:val="both"/>
        <w:rPr>
          <w:rFonts w:cstheme="minorHAnsi"/>
          <w:b/>
          <w:bCs/>
          <w:sz w:val="21"/>
          <w:szCs w:val="21"/>
          <w:u w:val="single"/>
        </w:rPr>
      </w:pPr>
      <w:r w:rsidRPr="0003185F">
        <w:rPr>
          <w:rFonts w:cstheme="minorHAnsi"/>
          <w:b/>
          <w:bCs/>
          <w:sz w:val="21"/>
          <w:szCs w:val="21"/>
          <w:u w:val="single"/>
        </w:rPr>
        <w:t>LA DESCRIPTION</w:t>
      </w:r>
    </w:p>
    <w:p w:rsidR="0003185F" w:rsidRPr="0003185F" w:rsidRDefault="0003185F" w:rsidP="00B1317D">
      <w:pPr>
        <w:spacing w:after="0"/>
        <w:jc w:val="both"/>
        <w:rPr>
          <w:rFonts w:cstheme="minorHAnsi"/>
          <w:sz w:val="21"/>
          <w:szCs w:val="21"/>
        </w:rPr>
      </w:pPr>
      <w:r w:rsidRPr="0003185F">
        <w:rPr>
          <w:rFonts w:cstheme="minorHAnsi"/>
          <w:b/>
          <w:bCs/>
          <w:sz w:val="21"/>
          <w:szCs w:val="21"/>
        </w:rPr>
        <w:t>HEPATIX®</w:t>
      </w:r>
      <w:r w:rsidRPr="0003185F">
        <w:rPr>
          <w:rFonts w:cstheme="minorHAnsi"/>
          <w:sz w:val="21"/>
          <w:szCs w:val="21"/>
        </w:rPr>
        <w:t xml:space="preserve"> est un complément al</w:t>
      </w:r>
      <w:r w:rsidR="00203CAE">
        <w:rPr>
          <w:rFonts w:cstheme="minorHAnsi"/>
          <w:sz w:val="21"/>
          <w:szCs w:val="21"/>
        </w:rPr>
        <w:t>i</w:t>
      </w:r>
      <w:r w:rsidRPr="0003185F">
        <w:rPr>
          <w:rFonts w:cstheme="minorHAnsi"/>
          <w:sz w:val="21"/>
          <w:szCs w:val="21"/>
        </w:rPr>
        <w:t xml:space="preserve">mentaire </w:t>
      </w:r>
      <w:proofErr w:type="spellStart"/>
      <w:r w:rsidRPr="0003185F">
        <w:rPr>
          <w:rFonts w:cstheme="minorHAnsi"/>
          <w:sz w:val="21"/>
          <w:szCs w:val="21"/>
        </w:rPr>
        <w:t>hépatoprotecteur</w:t>
      </w:r>
      <w:proofErr w:type="spellEnd"/>
      <w:r w:rsidRPr="0003185F">
        <w:rPr>
          <w:rFonts w:cstheme="minorHAnsi"/>
          <w:sz w:val="21"/>
          <w:szCs w:val="21"/>
        </w:rPr>
        <w:t xml:space="preserve">. Selon les études, </w:t>
      </w:r>
      <w:r w:rsidRPr="0003185F">
        <w:rPr>
          <w:rFonts w:cstheme="minorHAnsi"/>
          <w:b/>
          <w:bCs/>
          <w:sz w:val="21"/>
          <w:szCs w:val="21"/>
        </w:rPr>
        <w:t xml:space="preserve">la </w:t>
      </w:r>
      <w:proofErr w:type="spellStart"/>
      <w:r w:rsidRPr="0003185F">
        <w:rPr>
          <w:rFonts w:cstheme="minorHAnsi"/>
          <w:b/>
          <w:bCs/>
          <w:sz w:val="21"/>
          <w:szCs w:val="21"/>
        </w:rPr>
        <w:t>silymarine</w:t>
      </w:r>
      <w:proofErr w:type="spellEnd"/>
      <w:r w:rsidRPr="0003185F">
        <w:rPr>
          <w:rFonts w:cstheme="minorHAnsi"/>
          <w:sz w:val="21"/>
          <w:szCs w:val="21"/>
        </w:rPr>
        <w:t xml:space="preserve"> améliore remarquablement les fonctions hépatiques. L'association de </w:t>
      </w:r>
      <w:r w:rsidRPr="0003185F">
        <w:rPr>
          <w:rFonts w:cstheme="minorHAnsi"/>
          <w:b/>
          <w:bCs/>
          <w:sz w:val="21"/>
          <w:szCs w:val="21"/>
        </w:rPr>
        <w:t>la lécithine</w:t>
      </w:r>
      <w:r w:rsidRPr="0003185F">
        <w:rPr>
          <w:rFonts w:cstheme="minorHAnsi"/>
          <w:sz w:val="21"/>
          <w:szCs w:val="21"/>
        </w:rPr>
        <w:t xml:space="preserve"> et de </w:t>
      </w:r>
      <w:r w:rsidRPr="0003185F">
        <w:rPr>
          <w:rFonts w:cstheme="minorHAnsi"/>
          <w:b/>
          <w:bCs/>
          <w:sz w:val="21"/>
          <w:szCs w:val="21"/>
        </w:rPr>
        <w:t xml:space="preserve">la </w:t>
      </w:r>
      <w:proofErr w:type="spellStart"/>
      <w:r w:rsidRPr="0003185F">
        <w:rPr>
          <w:rFonts w:cstheme="minorHAnsi"/>
          <w:b/>
          <w:bCs/>
          <w:sz w:val="21"/>
          <w:szCs w:val="21"/>
        </w:rPr>
        <w:t>silymarine</w:t>
      </w:r>
      <w:proofErr w:type="spellEnd"/>
      <w:r w:rsidRPr="0003185F">
        <w:rPr>
          <w:rFonts w:cstheme="minorHAnsi"/>
          <w:sz w:val="21"/>
          <w:szCs w:val="21"/>
        </w:rPr>
        <w:t xml:space="preserve"> est très efficace dans le traitement des troubles hépatiques, en raison des fortes propriétés </w:t>
      </w:r>
      <w:proofErr w:type="spellStart"/>
      <w:r w:rsidRPr="0003185F">
        <w:rPr>
          <w:rFonts w:cstheme="minorHAnsi"/>
          <w:sz w:val="21"/>
          <w:szCs w:val="21"/>
        </w:rPr>
        <w:t>antioxydantes</w:t>
      </w:r>
      <w:proofErr w:type="spellEnd"/>
      <w:r w:rsidRPr="0003185F">
        <w:rPr>
          <w:rFonts w:cstheme="minorHAnsi"/>
          <w:sz w:val="21"/>
          <w:szCs w:val="21"/>
        </w:rPr>
        <w:t xml:space="preserve"> de ces biomolécules. </w:t>
      </w:r>
      <w:r w:rsidRPr="0003185F">
        <w:rPr>
          <w:rFonts w:cstheme="minorHAnsi"/>
          <w:b/>
          <w:bCs/>
          <w:sz w:val="21"/>
          <w:szCs w:val="21"/>
        </w:rPr>
        <w:t>HEPATIX®</w:t>
      </w:r>
      <w:r w:rsidRPr="0003185F">
        <w:rPr>
          <w:rFonts w:cstheme="minorHAnsi"/>
          <w:sz w:val="21"/>
          <w:szCs w:val="21"/>
        </w:rPr>
        <w:t xml:space="preserve"> soutient une homéostasie hépatique saine.</w:t>
      </w:r>
    </w:p>
    <w:p w:rsidR="0003185F" w:rsidRPr="0003185F" w:rsidRDefault="0003185F" w:rsidP="0003185F">
      <w:pPr>
        <w:spacing w:after="0"/>
        <w:jc w:val="both"/>
        <w:rPr>
          <w:rFonts w:cstheme="minorHAnsi"/>
          <w:sz w:val="21"/>
          <w:szCs w:val="21"/>
        </w:rPr>
      </w:pPr>
    </w:p>
    <w:p w:rsidR="001F29BF" w:rsidRPr="001F29BF" w:rsidRDefault="001F29BF" w:rsidP="001F29BF">
      <w:pPr>
        <w:spacing w:after="0"/>
        <w:jc w:val="both"/>
        <w:rPr>
          <w:rFonts w:cstheme="minorHAnsi"/>
          <w:sz w:val="21"/>
          <w:szCs w:val="21"/>
        </w:rPr>
      </w:pPr>
      <w:r w:rsidRPr="001F29BF">
        <w:rPr>
          <w:rFonts w:cstheme="minorHAnsi"/>
          <w:b/>
          <w:bCs/>
          <w:sz w:val="21"/>
          <w:szCs w:val="21"/>
        </w:rPr>
        <w:t xml:space="preserve">La </w:t>
      </w:r>
      <w:proofErr w:type="spellStart"/>
      <w:r w:rsidRPr="001F29BF">
        <w:rPr>
          <w:rFonts w:cstheme="minorHAnsi"/>
          <w:b/>
          <w:bCs/>
          <w:sz w:val="21"/>
          <w:szCs w:val="21"/>
        </w:rPr>
        <w:t>silymarine</w:t>
      </w:r>
      <w:proofErr w:type="spellEnd"/>
      <w:r w:rsidRPr="001F29BF">
        <w:rPr>
          <w:rFonts w:cstheme="minorHAnsi"/>
          <w:sz w:val="21"/>
          <w:szCs w:val="21"/>
        </w:rPr>
        <w:t xml:space="preserve"> est un mélange de </w:t>
      </w:r>
      <w:proofErr w:type="spellStart"/>
      <w:r w:rsidRPr="001F29BF">
        <w:rPr>
          <w:rFonts w:cstheme="minorHAnsi"/>
          <w:sz w:val="21"/>
          <w:szCs w:val="21"/>
        </w:rPr>
        <w:t>flavonolignanes</w:t>
      </w:r>
      <w:proofErr w:type="spellEnd"/>
      <w:r w:rsidRPr="001F29BF">
        <w:rPr>
          <w:rFonts w:cstheme="minorHAnsi"/>
          <w:sz w:val="21"/>
          <w:szCs w:val="21"/>
        </w:rPr>
        <w:t xml:space="preserve"> extraite de graines de chardon-Marie et est largement connue pour ses propriétés protectrices du foie, anti-inflammatoires et anti-</w:t>
      </w:r>
      <w:proofErr w:type="spellStart"/>
      <w:r w:rsidRPr="001F29BF">
        <w:rPr>
          <w:rFonts w:cstheme="minorHAnsi"/>
          <w:sz w:val="21"/>
          <w:szCs w:val="21"/>
        </w:rPr>
        <w:t>fibrotiques</w:t>
      </w:r>
      <w:proofErr w:type="spellEnd"/>
      <w:r w:rsidRPr="001F29BF">
        <w:rPr>
          <w:rFonts w:cstheme="minorHAnsi"/>
          <w:sz w:val="21"/>
          <w:szCs w:val="21"/>
        </w:rPr>
        <w:t xml:space="preserve">. En complément, elle réduit les niveaux d'alanine </w:t>
      </w:r>
      <w:proofErr w:type="spellStart"/>
      <w:r w:rsidRPr="001F29BF">
        <w:rPr>
          <w:rFonts w:cstheme="minorHAnsi"/>
          <w:sz w:val="21"/>
          <w:szCs w:val="21"/>
        </w:rPr>
        <w:t>aminotransférase</w:t>
      </w:r>
      <w:proofErr w:type="spellEnd"/>
      <w:r w:rsidRPr="001F29BF">
        <w:rPr>
          <w:rFonts w:cstheme="minorHAnsi"/>
          <w:sz w:val="21"/>
          <w:szCs w:val="21"/>
        </w:rPr>
        <w:t xml:space="preserve"> </w:t>
      </w:r>
      <w:r w:rsidRPr="001F29BF">
        <w:rPr>
          <w:rFonts w:cstheme="minorHAnsi"/>
          <w:sz w:val="21"/>
          <w:szCs w:val="21"/>
        </w:rPr>
        <w:t>et d’aspartate</w:t>
      </w:r>
      <w:r w:rsidRPr="001F29BF">
        <w:rPr>
          <w:rFonts w:cstheme="minorHAnsi"/>
          <w:sz w:val="21"/>
          <w:szCs w:val="21"/>
        </w:rPr>
        <w:t xml:space="preserve"> </w:t>
      </w:r>
      <w:proofErr w:type="spellStart"/>
      <w:r w:rsidRPr="001F29BF">
        <w:rPr>
          <w:rFonts w:cstheme="minorHAnsi"/>
          <w:sz w:val="21"/>
          <w:szCs w:val="21"/>
        </w:rPr>
        <w:t>aminotransférase</w:t>
      </w:r>
      <w:proofErr w:type="spellEnd"/>
      <w:r w:rsidRPr="001F29BF">
        <w:rPr>
          <w:rFonts w:cstheme="minorHAnsi"/>
          <w:sz w:val="21"/>
          <w:szCs w:val="21"/>
        </w:rPr>
        <w:t xml:space="preserve"> et empêche ainsi la mort des cellules hépatiques. La </w:t>
      </w:r>
      <w:proofErr w:type="spellStart"/>
      <w:r w:rsidRPr="001F29BF">
        <w:rPr>
          <w:rFonts w:cstheme="minorHAnsi"/>
          <w:sz w:val="21"/>
          <w:szCs w:val="21"/>
        </w:rPr>
        <w:t>silymarine</w:t>
      </w:r>
      <w:proofErr w:type="spellEnd"/>
      <w:r w:rsidRPr="001F29BF">
        <w:rPr>
          <w:rFonts w:cstheme="minorHAnsi"/>
          <w:sz w:val="21"/>
          <w:szCs w:val="21"/>
        </w:rPr>
        <w:t xml:space="preserve"> empêche également le développement de la fibrose dans le </w:t>
      </w:r>
      <w:r w:rsidRPr="001F29BF">
        <w:rPr>
          <w:rFonts w:cstheme="minorHAnsi"/>
          <w:sz w:val="21"/>
          <w:szCs w:val="21"/>
        </w:rPr>
        <w:t>foie, qui pourrait</w:t>
      </w:r>
      <w:r w:rsidRPr="001F29BF">
        <w:rPr>
          <w:rFonts w:cstheme="minorHAnsi"/>
          <w:sz w:val="21"/>
          <w:szCs w:val="21"/>
        </w:rPr>
        <w:t xml:space="preserve"> entraîner de graves complications hépatiques telles que la cirrhose hépatique, l'insuffisance hépatique et</w:t>
      </w:r>
      <w:r>
        <w:rPr>
          <w:rFonts w:cstheme="minorHAnsi"/>
          <w:sz w:val="21"/>
          <w:szCs w:val="21"/>
        </w:rPr>
        <w:t xml:space="preserve"> </w:t>
      </w:r>
      <w:r w:rsidRPr="001F29BF">
        <w:rPr>
          <w:rFonts w:cstheme="minorHAnsi"/>
          <w:sz w:val="21"/>
          <w:szCs w:val="21"/>
        </w:rPr>
        <w:t xml:space="preserve">l'hypertension portale. Étant un puissant antioxydant, elle protège les cellules du foie contre le stress oxydatif. </w:t>
      </w:r>
    </w:p>
    <w:p w:rsidR="001F29BF" w:rsidRPr="001F29BF" w:rsidRDefault="001F29BF" w:rsidP="001F29BF">
      <w:pPr>
        <w:spacing w:after="0"/>
        <w:jc w:val="both"/>
        <w:rPr>
          <w:rFonts w:cstheme="minorHAnsi"/>
          <w:sz w:val="21"/>
          <w:szCs w:val="21"/>
        </w:rPr>
      </w:pPr>
    </w:p>
    <w:p w:rsidR="001F29BF" w:rsidRPr="001F29BF" w:rsidRDefault="001F29BF" w:rsidP="001F29BF">
      <w:pPr>
        <w:spacing w:after="0"/>
        <w:jc w:val="both"/>
        <w:rPr>
          <w:rFonts w:cstheme="minorHAnsi"/>
          <w:sz w:val="21"/>
          <w:szCs w:val="21"/>
        </w:rPr>
      </w:pPr>
      <w:r w:rsidRPr="001F29BF">
        <w:rPr>
          <w:rFonts w:cstheme="minorHAnsi"/>
          <w:b/>
          <w:bCs/>
          <w:sz w:val="21"/>
          <w:szCs w:val="21"/>
        </w:rPr>
        <w:t xml:space="preserve">La </w:t>
      </w:r>
      <w:proofErr w:type="spellStart"/>
      <w:r w:rsidRPr="001F29BF">
        <w:rPr>
          <w:rFonts w:cstheme="minorHAnsi"/>
          <w:b/>
          <w:bCs/>
          <w:sz w:val="21"/>
          <w:szCs w:val="21"/>
        </w:rPr>
        <w:t>silymarine</w:t>
      </w:r>
      <w:proofErr w:type="spellEnd"/>
      <w:r w:rsidRPr="001F29BF">
        <w:rPr>
          <w:rFonts w:cstheme="minorHAnsi"/>
          <w:sz w:val="21"/>
          <w:szCs w:val="21"/>
        </w:rPr>
        <w:t xml:space="preserve"> et </w:t>
      </w:r>
      <w:r w:rsidRPr="001F29BF">
        <w:rPr>
          <w:rFonts w:cstheme="minorHAnsi"/>
          <w:b/>
          <w:bCs/>
          <w:sz w:val="21"/>
          <w:szCs w:val="21"/>
        </w:rPr>
        <w:t>la lécithine</w:t>
      </w:r>
      <w:r w:rsidRPr="001F29BF">
        <w:rPr>
          <w:rFonts w:cstheme="minorHAnsi"/>
          <w:sz w:val="21"/>
          <w:szCs w:val="21"/>
        </w:rPr>
        <w:t xml:space="preserve"> protègent ensemble l'intégrité membranaire des cellules hépatiques.</w:t>
      </w:r>
    </w:p>
    <w:p w:rsidR="001F29BF" w:rsidRPr="001F29BF" w:rsidRDefault="001F29BF" w:rsidP="001F29BF">
      <w:pPr>
        <w:spacing w:after="0"/>
        <w:jc w:val="both"/>
        <w:rPr>
          <w:rFonts w:cstheme="minorHAnsi"/>
          <w:sz w:val="21"/>
          <w:szCs w:val="21"/>
        </w:rPr>
      </w:pPr>
    </w:p>
    <w:p w:rsidR="00D23F42" w:rsidRPr="001F29BF" w:rsidRDefault="001F29BF" w:rsidP="001F29BF">
      <w:pPr>
        <w:spacing w:after="0"/>
        <w:jc w:val="both"/>
        <w:rPr>
          <w:rFonts w:cstheme="minorHAnsi"/>
          <w:sz w:val="21"/>
          <w:szCs w:val="21"/>
        </w:rPr>
      </w:pPr>
      <w:r w:rsidRPr="001F29BF">
        <w:rPr>
          <w:rFonts w:cstheme="minorHAnsi"/>
          <w:b/>
          <w:bCs/>
          <w:sz w:val="21"/>
          <w:szCs w:val="21"/>
        </w:rPr>
        <w:t>La lécithine</w:t>
      </w:r>
      <w:r w:rsidRPr="001F29BF">
        <w:rPr>
          <w:rFonts w:cstheme="minorHAnsi"/>
          <w:sz w:val="21"/>
          <w:szCs w:val="21"/>
        </w:rPr>
        <w:t xml:space="preserve"> est l'un des principaux constituants des membranes cellulaires et elle sert également de source importante de</w:t>
      </w:r>
      <w:r>
        <w:rPr>
          <w:rFonts w:cstheme="minorHAnsi"/>
          <w:sz w:val="21"/>
          <w:szCs w:val="21"/>
        </w:rPr>
        <w:t xml:space="preserve"> </w:t>
      </w:r>
      <w:r w:rsidRPr="001F29BF">
        <w:rPr>
          <w:rFonts w:cstheme="minorHAnsi"/>
          <w:sz w:val="21"/>
          <w:szCs w:val="21"/>
        </w:rPr>
        <w:t xml:space="preserve">choline. La choline est nécessaire au transport des triglycérides, en particulier des VLDL vers les autres parties du corps pour l'oxydation cellulaire. C'est un puissant </w:t>
      </w:r>
      <w:proofErr w:type="spellStart"/>
      <w:r w:rsidRPr="001F29BF">
        <w:rPr>
          <w:rFonts w:cstheme="minorHAnsi"/>
          <w:sz w:val="21"/>
          <w:szCs w:val="21"/>
        </w:rPr>
        <w:t>détoxifiant</w:t>
      </w:r>
      <w:proofErr w:type="spellEnd"/>
      <w:r w:rsidRPr="001F29BF">
        <w:rPr>
          <w:rFonts w:cstheme="minorHAnsi"/>
          <w:sz w:val="21"/>
          <w:szCs w:val="21"/>
        </w:rPr>
        <w:t xml:space="preserve"> du foie qui protège les cellules hépatiques contre les </w:t>
      </w:r>
      <w:proofErr w:type="spellStart"/>
      <w:r w:rsidRPr="001F29BF">
        <w:rPr>
          <w:rFonts w:cstheme="minorHAnsi"/>
          <w:sz w:val="21"/>
          <w:szCs w:val="21"/>
        </w:rPr>
        <w:t>métablolites</w:t>
      </w:r>
      <w:proofErr w:type="spellEnd"/>
      <w:r w:rsidRPr="001F29BF">
        <w:rPr>
          <w:rFonts w:cstheme="minorHAnsi"/>
          <w:sz w:val="21"/>
          <w:szCs w:val="21"/>
        </w:rPr>
        <w:t xml:space="preserve"> nocifs et empêche l'accumulation de graisse dans le foie. La choline a un rôle clé dans la protection du foie contre la st</w:t>
      </w:r>
      <w:r w:rsidRPr="001F29BF">
        <w:rPr>
          <w:rFonts w:cstheme="minorHAnsi"/>
          <w:sz w:val="21"/>
          <w:szCs w:val="21"/>
        </w:rPr>
        <w:t>éatose hépatique non alcoolique</w:t>
      </w:r>
      <w:r w:rsidR="0003185F" w:rsidRPr="001F29BF">
        <w:rPr>
          <w:rFonts w:cstheme="minorHAnsi"/>
          <w:sz w:val="21"/>
          <w:szCs w:val="21"/>
        </w:rPr>
        <w:t>.</w:t>
      </w:r>
    </w:p>
    <w:p w:rsidR="0003185F" w:rsidRPr="0003185F" w:rsidRDefault="0003185F" w:rsidP="0003185F">
      <w:pPr>
        <w:spacing w:after="0"/>
        <w:jc w:val="both"/>
        <w:rPr>
          <w:rFonts w:cstheme="minorHAnsi"/>
          <w:sz w:val="21"/>
          <w:szCs w:val="21"/>
          <w:u w:val="single"/>
        </w:rPr>
      </w:pPr>
    </w:p>
    <w:p w:rsidR="002536E2" w:rsidRPr="0003185F" w:rsidRDefault="002D1C77" w:rsidP="0003185F">
      <w:pPr>
        <w:spacing w:after="0"/>
        <w:jc w:val="both"/>
        <w:rPr>
          <w:rFonts w:cstheme="minorHAnsi"/>
          <w:b/>
          <w:bCs/>
          <w:sz w:val="21"/>
          <w:szCs w:val="21"/>
          <w:u w:val="single"/>
        </w:rPr>
      </w:pPr>
      <w:r>
        <w:rPr>
          <w:rFonts w:cstheme="minorHAnsi"/>
          <w:b/>
          <w:bCs/>
          <w:sz w:val="21"/>
          <w:szCs w:val="21"/>
          <w:u w:val="single"/>
        </w:rPr>
        <w:t>INDICATION</w:t>
      </w:r>
      <w:r w:rsidR="00C226D5" w:rsidRPr="0003185F">
        <w:rPr>
          <w:rFonts w:cstheme="minorHAnsi"/>
          <w:b/>
          <w:bCs/>
          <w:sz w:val="21"/>
          <w:szCs w:val="21"/>
          <w:u w:val="single"/>
        </w:rPr>
        <w:t xml:space="preserve"> :</w:t>
      </w:r>
    </w:p>
    <w:p w:rsidR="0003185F" w:rsidRPr="0003185F" w:rsidRDefault="0003185F" w:rsidP="0003185F">
      <w:pPr>
        <w:pStyle w:val="Paragraphedeliste"/>
        <w:numPr>
          <w:ilvl w:val="0"/>
          <w:numId w:val="7"/>
        </w:numPr>
        <w:spacing w:after="0"/>
        <w:jc w:val="both"/>
        <w:rPr>
          <w:rFonts w:cstheme="minorHAnsi"/>
          <w:sz w:val="21"/>
          <w:szCs w:val="21"/>
        </w:rPr>
      </w:pPr>
      <w:r w:rsidRPr="0003185F">
        <w:rPr>
          <w:rFonts w:cstheme="minorHAnsi"/>
          <w:sz w:val="21"/>
          <w:szCs w:val="21"/>
        </w:rPr>
        <w:t>Niveaux élevés de graisse et de cholestérol</w:t>
      </w:r>
    </w:p>
    <w:p w:rsidR="0003185F" w:rsidRPr="0003185F" w:rsidRDefault="0003185F" w:rsidP="0003185F">
      <w:pPr>
        <w:pStyle w:val="Paragraphedeliste"/>
        <w:numPr>
          <w:ilvl w:val="0"/>
          <w:numId w:val="7"/>
        </w:numPr>
        <w:spacing w:after="0"/>
        <w:jc w:val="both"/>
        <w:rPr>
          <w:rFonts w:cstheme="minorHAnsi"/>
          <w:sz w:val="21"/>
          <w:szCs w:val="21"/>
        </w:rPr>
      </w:pPr>
      <w:r w:rsidRPr="0003185F">
        <w:rPr>
          <w:rFonts w:cstheme="minorHAnsi"/>
          <w:sz w:val="21"/>
          <w:szCs w:val="21"/>
        </w:rPr>
        <w:t>Stéatose hépatique</w:t>
      </w:r>
    </w:p>
    <w:p w:rsidR="00FF3508" w:rsidRPr="00AC7BAD" w:rsidRDefault="00FF3508" w:rsidP="00FF3508">
      <w:pPr>
        <w:pStyle w:val="Paragraphedeliste"/>
        <w:numPr>
          <w:ilvl w:val="0"/>
          <w:numId w:val="7"/>
        </w:numPr>
        <w:rPr>
          <w:rFonts w:eastAsia="Calibri" w:cstheme="minorHAnsi"/>
        </w:rPr>
      </w:pPr>
      <w:r w:rsidRPr="00AC7BAD">
        <w:rPr>
          <w:rFonts w:eastAsia="Calibri" w:cstheme="minorHAnsi"/>
        </w:rPr>
        <w:t>Dommages du foie dus aux effets toxiques du traitement par des médicaments </w:t>
      </w:r>
    </w:p>
    <w:p w:rsidR="0003185F" w:rsidRPr="0003185F" w:rsidRDefault="0003185F" w:rsidP="0003185F">
      <w:pPr>
        <w:pStyle w:val="Paragraphedeliste"/>
        <w:numPr>
          <w:ilvl w:val="0"/>
          <w:numId w:val="7"/>
        </w:numPr>
        <w:spacing w:after="0"/>
        <w:jc w:val="both"/>
        <w:rPr>
          <w:rFonts w:cstheme="minorHAnsi"/>
          <w:sz w:val="21"/>
          <w:szCs w:val="21"/>
        </w:rPr>
      </w:pPr>
      <w:r w:rsidRPr="0003185F">
        <w:rPr>
          <w:rFonts w:cstheme="minorHAnsi"/>
          <w:sz w:val="21"/>
          <w:szCs w:val="21"/>
        </w:rPr>
        <w:t>Troubles de la vésicule biliaire</w:t>
      </w:r>
    </w:p>
    <w:p w:rsidR="0003185F" w:rsidRPr="0003185F" w:rsidRDefault="0003185F" w:rsidP="0003185F">
      <w:pPr>
        <w:pStyle w:val="Paragraphedeliste"/>
        <w:numPr>
          <w:ilvl w:val="0"/>
          <w:numId w:val="7"/>
        </w:numPr>
        <w:spacing w:after="0"/>
        <w:jc w:val="both"/>
        <w:rPr>
          <w:rFonts w:cstheme="minorHAnsi"/>
          <w:sz w:val="21"/>
          <w:szCs w:val="21"/>
        </w:rPr>
      </w:pPr>
      <w:r w:rsidRPr="0003185F">
        <w:rPr>
          <w:rFonts w:cstheme="minorHAnsi"/>
          <w:sz w:val="21"/>
          <w:szCs w:val="21"/>
        </w:rPr>
        <w:t>La cirrhose du foie</w:t>
      </w:r>
    </w:p>
    <w:p w:rsidR="0003185F" w:rsidRPr="0003185F" w:rsidRDefault="0003185F" w:rsidP="0003185F">
      <w:pPr>
        <w:pStyle w:val="Paragraphedeliste"/>
        <w:numPr>
          <w:ilvl w:val="0"/>
          <w:numId w:val="7"/>
        </w:numPr>
        <w:spacing w:after="0"/>
        <w:jc w:val="both"/>
        <w:rPr>
          <w:rFonts w:cstheme="minorHAnsi"/>
          <w:sz w:val="21"/>
          <w:szCs w:val="21"/>
        </w:rPr>
      </w:pPr>
      <w:r w:rsidRPr="0003185F">
        <w:rPr>
          <w:rFonts w:cstheme="minorHAnsi"/>
          <w:sz w:val="21"/>
          <w:szCs w:val="21"/>
        </w:rPr>
        <w:t>Hépatite</w:t>
      </w:r>
    </w:p>
    <w:p w:rsidR="0003185F" w:rsidRPr="0003185F" w:rsidRDefault="0003185F" w:rsidP="0003185F">
      <w:pPr>
        <w:pStyle w:val="Paragraphedeliste"/>
        <w:numPr>
          <w:ilvl w:val="0"/>
          <w:numId w:val="7"/>
        </w:numPr>
        <w:spacing w:after="0"/>
        <w:jc w:val="both"/>
        <w:rPr>
          <w:rFonts w:cstheme="minorHAnsi"/>
          <w:b/>
          <w:bCs/>
          <w:sz w:val="21"/>
          <w:szCs w:val="21"/>
          <w:u w:val="single"/>
        </w:rPr>
      </w:pPr>
      <w:r w:rsidRPr="0003185F">
        <w:rPr>
          <w:rFonts w:cstheme="minorHAnsi"/>
          <w:sz w:val="21"/>
          <w:szCs w:val="21"/>
        </w:rPr>
        <w:t>Troubles auto-immuns du foie</w:t>
      </w:r>
    </w:p>
    <w:p w:rsidR="0003185F" w:rsidRPr="0003185F" w:rsidRDefault="0003185F" w:rsidP="0003185F">
      <w:pPr>
        <w:spacing w:after="0"/>
        <w:jc w:val="both"/>
        <w:rPr>
          <w:rFonts w:cstheme="minorHAnsi"/>
          <w:b/>
          <w:bCs/>
          <w:sz w:val="21"/>
          <w:szCs w:val="21"/>
          <w:u w:val="single"/>
        </w:rPr>
      </w:pPr>
    </w:p>
    <w:p w:rsidR="002536E2" w:rsidRPr="0003185F" w:rsidRDefault="004E3701" w:rsidP="0003185F">
      <w:pPr>
        <w:spacing w:after="0"/>
        <w:jc w:val="both"/>
        <w:rPr>
          <w:rFonts w:cstheme="minorHAnsi"/>
          <w:b/>
          <w:bCs/>
          <w:sz w:val="21"/>
          <w:szCs w:val="21"/>
          <w:u w:val="single"/>
        </w:rPr>
      </w:pPr>
      <w:r w:rsidRPr="0003185F">
        <w:rPr>
          <w:rFonts w:cstheme="minorHAnsi"/>
          <w:b/>
          <w:bCs/>
          <w:sz w:val="21"/>
          <w:szCs w:val="21"/>
          <w:u w:val="single"/>
        </w:rPr>
        <w:t>POSOLOGIE</w:t>
      </w:r>
      <w:r w:rsidR="002536E2" w:rsidRPr="0003185F">
        <w:rPr>
          <w:rFonts w:cstheme="minorHAnsi"/>
          <w:b/>
          <w:bCs/>
          <w:sz w:val="21"/>
          <w:szCs w:val="21"/>
          <w:u w:val="single"/>
        </w:rPr>
        <w:t xml:space="preserve"> :</w:t>
      </w:r>
    </w:p>
    <w:p w:rsidR="002536E2" w:rsidRPr="0003185F" w:rsidRDefault="00C226D5" w:rsidP="0003185F">
      <w:pPr>
        <w:spacing w:after="0"/>
        <w:jc w:val="both"/>
        <w:rPr>
          <w:rFonts w:cstheme="minorHAnsi"/>
          <w:sz w:val="21"/>
          <w:szCs w:val="21"/>
        </w:rPr>
      </w:pPr>
      <w:r w:rsidRPr="0003185F">
        <w:rPr>
          <w:rFonts w:cstheme="minorHAnsi"/>
          <w:sz w:val="21"/>
          <w:szCs w:val="21"/>
        </w:rPr>
        <w:t xml:space="preserve">1 à 2 </w:t>
      </w:r>
      <w:r w:rsidR="00D23F42" w:rsidRPr="0003185F">
        <w:rPr>
          <w:rFonts w:cstheme="minorHAnsi"/>
          <w:sz w:val="21"/>
          <w:szCs w:val="21"/>
        </w:rPr>
        <w:t>gélule</w:t>
      </w:r>
      <w:r w:rsidRPr="0003185F">
        <w:rPr>
          <w:rFonts w:cstheme="minorHAnsi"/>
          <w:sz w:val="21"/>
          <w:szCs w:val="21"/>
        </w:rPr>
        <w:t xml:space="preserve">s par jour </w:t>
      </w:r>
      <w:r w:rsidR="002536E2" w:rsidRPr="0003185F">
        <w:rPr>
          <w:rFonts w:cstheme="minorHAnsi"/>
          <w:sz w:val="21"/>
          <w:szCs w:val="21"/>
        </w:rPr>
        <w:t>ou selon les directives du médecin</w:t>
      </w:r>
      <w:r w:rsidR="00AE5294">
        <w:rPr>
          <w:rFonts w:cstheme="minorHAnsi"/>
          <w:sz w:val="21"/>
          <w:szCs w:val="21"/>
        </w:rPr>
        <w:t xml:space="preserve"> ou </w:t>
      </w:r>
      <w:r w:rsidRPr="0003185F">
        <w:rPr>
          <w:rFonts w:cstheme="minorHAnsi"/>
          <w:sz w:val="21"/>
          <w:szCs w:val="21"/>
        </w:rPr>
        <w:t>pharmacien.</w:t>
      </w:r>
    </w:p>
    <w:p w:rsidR="002536E2" w:rsidRPr="0003185F" w:rsidRDefault="002536E2" w:rsidP="0003185F">
      <w:pPr>
        <w:spacing w:after="0"/>
        <w:jc w:val="both"/>
        <w:rPr>
          <w:rFonts w:cstheme="minorHAnsi"/>
          <w:sz w:val="21"/>
          <w:szCs w:val="21"/>
        </w:rPr>
      </w:pPr>
    </w:p>
    <w:p w:rsidR="002536E2" w:rsidRPr="0003185F" w:rsidRDefault="002536E2" w:rsidP="0003185F">
      <w:pPr>
        <w:spacing w:after="0"/>
        <w:jc w:val="both"/>
        <w:rPr>
          <w:rFonts w:cstheme="minorHAnsi"/>
          <w:b/>
          <w:bCs/>
          <w:sz w:val="21"/>
          <w:szCs w:val="21"/>
          <w:u w:val="single"/>
        </w:rPr>
      </w:pPr>
      <w:r w:rsidRPr="0003185F">
        <w:rPr>
          <w:rFonts w:cstheme="minorHAnsi"/>
          <w:b/>
          <w:bCs/>
          <w:sz w:val="21"/>
          <w:szCs w:val="21"/>
          <w:u w:val="single"/>
        </w:rPr>
        <w:t>CONTRE-INDICATIONS :</w:t>
      </w:r>
    </w:p>
    <w:p w:rsidR="00346212" w:rsidRPr="0003185F" w:rsidRDefault="0003185F" w:rsidP="0003185F">
      <w:pPr>
        <w:spacing w:after="0"/>
        <w:jc w:val="both"/>
        <w:rPr>
          <w:rFonts w:cstheme="minorHAnsi"/>
          <w:sz w:val="21"/>
          <w:szCs w:val="21"/>
        </w:rPr>
      </w:pPr>
      <w:r w:rsidRPr="0003185F">
        <w:rPr>
          <w:rFonts w:cstheme="minorHAnsi"/>
          <w:sz w:val="21"/>
          <w:szCs w:val="21"/>
        </w:rPr>
        <w:t xml:space="preserve">Les gélules </w:t>
      </w:r>
      <w:r w:rsidRPr="0003185F">
        <w:rPr>
          <w:rFonts w:cstheme="minorHAnsi"/>
          <w:b/>
          <w:bCs/>
          <w:sz w:val="21"/>
          <w:szCs w:val="21"/>
        </w:rPr>
        <w:t>HEPATIX®</w:t>
      </w:r>
      <w:r w:rsidRPr="0003185F">
        <w:rPr>
          <w:rFonts w:cstheme="minorHAnsi"/>
          <w:sz w:val="21"/>
          <w:szCs w:val="21"/>
        </w:rPr>
        <w:t xml:space="preserve"> sont contre-indiquées chez les patients présentant une hypersensibilité à ses ingrédients. </w:t>
      </w:r>
      <w:bookmarkStart w:id="0" w:name="_GoBack"/>
      <w:r w:rsidRPr="0003185F">
        <w:rPr>
          <w:rFonts w:cstheme="minorHAnsi"/>
          <w:sz w:val="21"/>
          <w:szCs w:val="21"/>
        </w:rPr>
        <w:t xml:space="preserve">Il </w:t>
      </w:r>
      <w:bookmarkEnd w:id="0"/>
      <w:r w:rsidRPr="0003185F">
        <w:rPr>
          <w:rFonts w:cstheme="minorHAnsi"/>
          <w:sz w:val="21"/>
          <w:szCs w:val="21"/>
        </w:rPr>
        <w:t>est également contre-indiqué chez les patients atteints de trouble bipolaire.</w:t>
      </w:r>
    </w:p>
    <w:p w:rsidR="0003185F" w:rsidRPr="0003185F" w:rsidRDefault="0003185F" w:rsidP="0003185F">
      <w:pPr>
        <w:spacing w:after="0"/>
        <w:jc w:val="both"/>
        <w:rPr>
          <w:rFonts w:cstheme="minorHAnsi"/>
          <w:sz w:val="21"/>
          <w:szCs w:val="21"/>
        </w:rPr>
      </w:pPr>
    </w:p>
    <w:p w:rsidR="002536E2" w:rsidRPr="0003185F" w:rsidRDefault="002536E2" w:rsidP="0003185F">
      <w:pPr>
        <w:spacing w:after="0"/>
        <w:jc w:val="both"/>
        <w:rPr>
          <w:rFonts w:cstheme="minorHAnsi"/>
          <w:b/>
          <w:bCs/>
          <w:sz w:val="21"/>
          <w:szCs w:val="21"/>
          <w:u w:val="single"/>
        </w:rPr>
      </w:pPr>
      <w:r w:rsidRPr="0003185F">
        <w:rPr>
          <w:rFonts w:cstheme="minorHAnsi"/>
          <w:b/>
          <w:bCs/>
          <w:sz w:val="21"/>
          <w:szCs w:val="21"/>
          <w:u w:val="single"/>
        </w:rPr>
        <w:t>EFFETS INDÉSIRABLES :</w:t>
      </w:r>
    </w:p>
    <w:p w:rsidR="00FA3D51" w:rsidRPr="0003185F" w:rsidRDefault="0003185F" w:rsidP="0003185F">
      <w:pPr>
        <w:spacing w:after="0"/>
        <w:jc w:val="both"/>
        <w:rPr>
          <w:rFonts w:cstheme="minorHAnsi"/>
          <w:sz w:val="21"/>
          <w:szCs w:val="21"/>
        </w:rPr>
      </w:pPr>
      <w:r w:rsidRPr="0003185F">
        <w:rPr>
          <w:rFonts w:cstheme="minorHAnsi"/>
          <w:b/>
          <w:bCs/>
          <w:sz w:val="21"/>
          <w:szCs w:val="21"/>
        </w:rPr>
        <w:t>HEPATIX®</w:t>
      </w:r>
      <w:r w:rsidR="002D1C77">
        <w:rPr>
          <w:rFonts w:cstheme="minorHAnsi"/>
          <w:sz w:val="21"/>
          <w:szCs w:val="21"/>
        </w:rPr>
        <w:t xml:space="preserve"> </w:t>
      </w:r>
      <w:r w:rsidRPr="0003185F">
        <w:rPr>
          <w:rFonts w:cstheme="minorHAnsi"/>
          <w:sz w:val="21"/>
          <w:szCs w:val="21"/>
        </w:rPr>
        <w:t>est généralement bien toléré lorsqu'il est administré selon la posologie recommandée. Cependant, les rares effets secondaires de ce produit comprennent les maux de tête, les nausées, les douleurs articulaires, les démangeaisons, l'urticaire, la transpiration et les troubles gastro-intestinaux</w:t>
      </w:r>
      <w:r w:rsidR="00346212" w:rsidRPr="0003185F">
        <w:rPr>
          <w:rFonts w:cstheme="minorHAnsi"/>
          <w:sz w:val="21"/>
          <w:szCs w:val="21"/>
        </w:rPr>
        <w:t>.</w:t>
      </w:r>
    </w:p>
    <w:p w:rsidR="0030009E" w:rsidRPr="0003185F" w:rsidRDefault="0030009E" w:rsidP="0003185F">
      <w:pPr>
        <w:spacing w:after="0"/>
        <w:jc w:val="both"/>
        <w:rPr>
          <w:rFonts w:cstheme="minorHAnsi"/>
          <w:sz w:val="21"/>
          <w:szCs w:val="21"/>
        </w:rPr>
      </w:pPr>
    </w:p>
    <w:p w:rsidR="002536E2" w:rsidRPr="0003185F" w:rsidRDefault="001B0C85" w:rsidP="0003185F">
      <w:pPr>
        <w:spacing w:after="0"/>
        <w:jc w:val="both"/>
        <w:rPr>
          <w:rFonts w:cstheme="minorHAnsi"/>
          <w:b/>
          <w:bCs/>
          <w:sz w:val="21"/>
          <w:szCs w:val="21"/>
          <w:u w:val="single"/>
        </w:rPr>
      </w:pPr>
      <w:r w:rsidRPr="0003185F">
        <w:rPr>
          <w:rFonts w:cstheme="minorHAnsi"/>
          <w:b/>
          <w:bCs/>
          <w:sz w:val="21"/>
          <w:szCs w:val="21"/>
          <w:u w:val="single"/>
        </w:rPr>
        <w:t xml:space="preserve">LES </w:t>
      </w:r>
      <w:r w:rsidR="002536E2" w:rsidRPr="0003185F">
        <w:rPr>
          <w:rFonts w:cstheme="minorHAnsi"/>
          <w:b/>
          <w:bCs/>
          <w:sz w:val="21"/>
          <w:szCs w:val="21"/>
          <w:u w:val="single"/>
        </w:rPr>
        <w:t>PRÉCAUTION</w:t>
      </w:r>
      <w:r w:rsidRPr="0003185F">
        <w:rPr>
          <w:rFonts w:cstheme="minorHAnsi"/>
          <w:b/>
          <w:bCs/>
          <w:sz w:val="21"/>
          <w:szCs w:val="21"/>
          <w:u w:val="single"/>
        </w:rPr>
        <w:t>S D’EMPLOI</w:t>
      </w:r>
      <w:r w:rsidR="002536E2" w:rsidRPr="0003185F">
        <w:rPr>
          <w:rFonts w:cstheme="minorHAnsi"/>
          <w:b/>
          <w:bCs/>
          <w:sz w:val="21"/>
          <w:szCs w:val="21"/>
          <w:u w:val="single"/>
        </w:rPr>
        <w:t xml:space="preserve"> :</w:t>
      </w:r>
    </w:p>
    <w:p w:rsidR="0003185F" w:rsidRPr="0003185F" w:rsidRDefault="0003185F" w:rsidP="0003185F">
      <w:pPr>
        <w:spacing w:after="0"/>
        <w:jc w:val="both"/>
        <w:rPr>
          <w:rFonts w:cstheme="minorHAnsi"/>
          <w:sz w:val="21"/>
          <w:szCs w:val="21"/>
        </w:rPr>
      </w:pPr>
      <w:r w:rsidRPr="0003185F">
        <w:rPr>
          <w:rFonts w:cstheme="minorHAnsi"/>
          <w:sz w:val="21"/>
          <w:szCs w:val="21"/>
        </w:rPr>
        <w:t xml:space="preserve">Il n'y a pas d'études suffisantes et bien contrôlées sur l'administration combinatoire de </w:t>
      </w:r>
      <w:proofErr w:type="spellStart"/>
      <w:r w:rsidRPr="0003185F">
        <w:rPr>
          <w:rFonts w:cstheme="minorHAnsi"/>
          <w:sz w:val="21"/>
          <w:szCs w:val="21"/>
        </w:rPr>
        <w:t>silymarine</w:t>
      </w:r>
      <w:proofErr w:type="spellEnd"/>
      <w:r w:rsidRPr="0003185F">
        <w:rPr>
          <w:rFonts w:cstheme="minorHAnsi"/>
          <w:sz w:val="21"/>
          <w:szCs w:val="21"/>
        </w:rPr>
        <w:t xml:space="preserve">, de lécithine et de </w:t>
      </w:r>
      <w:proofErr w:type="spellStart"/>
      <w:r w:rsidRPr="0003185F">
        <w:rPr>
          <w:rFonts w:cstheme="minorHAnsi"/>
          <w:sz w:val="21"/>
          <w:szCs w:val="21"/>
        </w:rPr>
        <w:t>bitartrate</w:t>
      </w:r>
      <w:proofErr w:type="spellEnd"/>
      <w:r w:rsidRPr="0003185F">
        <w:rPr>
          <w:rFonts w:cstheme="minorHAnsi"/>
          <w:sz w:val="21"/>
          <w:szCs w:val="21"/>
        </w:rPr>
        <w:t xml:space="preserve"> de choline chez les femmes enceintes et les mères allaitantes. Par conséquent, si vous êtes enceinte ou allaitez, discutez de votre état avec votre médecin</w:t>
      </w:r>
      <w:r w:rsidR="00F81FF2">
        <w:rPr>
          <w:rFonts w:cstheme="minorHAnsi"/>
          <w:sz w:val="21"/>
          <w:szCs w:val="21"/>
        </w:rPr>
        <w:t xml:space="preserve"> ou pharmacien</w:t>
      </w:r>
      <w:r w:rsidRPr="0003185F">
        <w:rPr>
          <w:rFonts w:cstheme="minorHAnsi"/>
          <w:sz w:val="21"/>
          <w:szCs w:val="21"/>
        </w:rPr>
        <w:t xml:space="preserve"> avant de prendre ce supplément.</w:t>
      </w:r>
    </w:p>
    <w:p w:rsidR="0003185F" w:rsidRPr="0003185F" w:rsidRDefault="0003185F" w:rsidP="0003185F">
      <w:pPr>
        <w:spacing w:after="0"/>
        <w:jc w:val="both"/>
        <w:rPr>
          <w:rFonts w:cstheme="minorHAnsi"/>
          <w:sz w:val="21"/>
          <w:szCs w:val="21"/>
        </w:rPr>
      </w:pPr>
    </w:p>
    <w:p w:rsidR="008F6D5D" w:rsidRPr="0003185F" w:rsidRDefault="0003185F" w:rsidP="0003185F">
      <w:pPr>
        <w:spacing w:after="0"/>
        <w:jc w:val="both"/>
        <w:rPr>
          <w:rFonts w:cstheme="minorHAnsi"/>
          <w:sz w:val="21"/>
          <w:szCs w:val="21"/>
        </w:rPr>
      </w:pPr>
      <w:r w:rsidRPr="0003185F">
        <w:rPr>
          <w:rFonts w:cstheme="minorHAnsi"/>
          <w:sz w:val="21"/>
          <w:szCs w:val="21"/>
        </w:rPr>
        <w:t>Les personnes ayant des conditions médicales connues et / ou prenant des médicaments devraient consulter un médecin</w:t>
      </w:r>
      <w:r w:rsidR="00F81FF2">
        <w:rPr>
          <w:rFonts w:cstheme="minorHAnsi"/>
          <w:sz w:val="21"/>
          <w:szCs w:val="21"/>
        </w:rPr>
        <w:t xml:space="preserve"> ou pharmacien</w:t>
      </w:r>
      <w:r w:rsidRPr="0003185F">
        <w:rPr>
          <w:rFonts w:cstheme="minorHAnsi"/>
          <w:sz w:val="21"/>
          <w:szCs w:val="21"/>
        </w:rPr>
        <w:t xml:space="preserve"> avant de prendre des compléments alimentaires.</w:t>
      </w:r>
    </w:p>
    <w:p w:rsidR="0003185F" w:rsidRPr="0003185F" w:rsidRDefault="0003185F" w:rsidP="0003185F">
      <w:pPr>
        <w:spacing w:after="0"/>
        <w:jc w:val="both"/>
        <w:rPr>
          <w:rFonts w:cstheme="minorHAnsi"/>
          <w:sz w:val="21"/>
          <w:szCs w:val="21"/>
        </w:rPr>
      </w:pPr>
    </w:p>
    <w:p w:rsidR="002536E2" w:rsidRPr="0003185F" w:rsidRDefault="002536E2" w:rsidP="0003185F">
      <w:pPr>
        <w:spacing w:after="0"/>
        <w:jc w:val="both"/>
        <w:rPr>
          <w:rFonts w:cstheme="minorHAnsi"/>
          <w:b/>
          <w:bCs/>
          <w:sz w:val="21"/>
          <w:szCs w:val="21"/>
          <w:u w:val="single"/>
        </w:rPr>
      </w:pPr>
      <w:r w:rsidRPr="0003185F">
        <w:rPr>
          <w:rFonts w:cstheme="minorHAnsi"/>
          <w:b/>
          <w:bCs/>
          <w:sz w:val="21"/>
          <w:szCs w:val="21"/>
          <w:u w:val="single"/>
        </w:rPr>
        <w:t>PRÉSENTATION :</w:t>
      </w:r>
    </w:p>
    <w:p w:rsidR="00D23F42" w:rsidRPr="0003185F" w:rsidRDefault="00D23F42" w:rsidP="0003185F">
      <w:pPr>
        <w:spacing w:after="0"/>
        <w:jc w:val="both"/>
        <w:rPr>
          <w:rFonts w:cstheme="minorHAnsi"/>
          <w:sz w:val="21"/>
          <w:szCs w:val="21"/>
        </w:rPr>
      </w:pPr>
      <w:r w:rsidRPr="0003185F">
        <w:rPr>
          <w:rFonts w:cstheme="minorHAnsi"/>
          <w:sz w:val="21"/>
          <w:szCs w:val="21"/>
        </w:rPr>
        <w:t xml:space="preserve">Les gélules </w:t>
      </w:r>
      <w:r w:rsidRPr="0003185F">
        <w:rPr>
          <w:rFonts w:cstheme="minorHAnsi"/>
          <w:b/>
          <w:bCs/>
          <w:sz w:val="21"/>
          <w:szCs w:val="21"/>
        </w:rPr>
        <w:t>SYNAPSE®</w:t>
      </w:r>
      <w:r w:rsidRPr="0003185F">
        <w:rPr>
          <w:rFonts w:cstheme="minorHAnsi"/>
          <w:sz w:val="21"/>
          <w:szCs w:val="21"/>
        </w:rPr>
        <w:t xml:space="preserve"> sont disponibles dans des piluliers de 30 gélules.</w:t>
      </w:r>
    </w:p>
    <w:p w:rsidR="0030009E" w:rsidRPr="0003185F" w:rsidRDefault="0030009E" w:rsidP="0003185F">
      <w:pPr>
        <w:spacing w:after="0"/>
        <w:jc w:val="both"/>
        <w:rPr>
          <w:rFonts w:cstheme="minorHAnsi"/>
          <w:sz w:val="21"/>
          <w:szCs w:val="21"/>
        </w:rPr>
      </w:pPr>
    </w:p>
    <w:p w:rsidR="002536E2" w:rsidRPr="0003185F" w:rsidRDefault="002536E2" w:rsidP="0003185F">
      <w:pPr>
        <w:spacing w:after="0"/>
        <w:jc w:val="both"/>
        <w:rPr>
          <w:rFonts w:cstheme="minorHAnsi"/>
          <w:b/>
          <w:bCs/>
          <w:sz w:val="21"/>
          <w:szCs w:val="21"/>
          <w:u w:val="single"/>
        </w:rPr>
      </w:pPr>
      <w:r w:rsidRPr="0003185F">
        <w:rPr>
          <w:rFonts w:cstheme="minorHAnsi"/>
          <w:b/>
          <w:bCs/>
          <w:sz w:val="21"/>
          <w:szCs w:val="21"/>
          <w:u w:val="single"/>
        </w:rPr>
        <w:t>AVERTISSEMENT</w:t>
      </w:r>
      <w:r w:rsidR="00893C60" w:rsidRPr="0003185F">
        <w:rPr>
          <w:rFonts w:cstheme="minorHAnsi"/>
          <w:b/>
          <w:bCs/>
          <w:sz w:val="21"/>
          <w:szCs w:val="21"/>
          <w:u w:val="single"/>
        </w:rPr>
        <w:t xml:space="preserve"> </w:t>
      </w:r>
      <w:r w:rsidRPr="0003185F">
        <w:rPr>
          <w:rFonts w:cstheme="minorHAnsi"/>
          <w:b/>
          <w:bCs/>
          <w:sz w:val="21"/>
          <w:szCs w:val="21"/>
          <w:u w:val="single"/>
        </w:rPr>
        <w:t>:</w:t>
      </w:r>
    </w:p>
    <w:p w:rsidR="002536E2" w:rsidRPr="0003185F" w:rsidRDefault="001137EE" w:rsidP="0003185F">
      <w:pPr>
        <w:spacing w:after="0"/>
        <w:jc w:val="both"/>
        <w:rPr>
          <w:rFonts w:cstheme="minorHAnsi"/>
          <w:sz w:val="21"/>
          <w:szCs w:val="21"/>
        </w:rPr>
      </w:pPr>
      <w:r w:rsidRPr="0003185F">
        <w:rPr>
          <w:rFonts w:cstheme="minorHAnsi"/>
          <w:sz w:val="21"/>
          <w:szCs w:val="21"/>
        </w:rPr>
        <w:t xml:space="preserve">Lisez toujours les instructions du produit avant utilisation. Ne pas dépasser la dose recommandée. Si vous souffrez d'allergies alimentaires, assurez-vous d'en parler à votre professionnel </w:t>
      </w:r>
      <w:r w:rsidR="0022297D" w:rsidRPr="0003185F">
        <w:rPr>
          <w:rFonts w:cstheme="minorHAnsi"/>
          <w:sz w:val="21"/>
          <w:szCs w:val="21"/>
        </w:rPr>
        <w:t xml:space="preserve">de la santé avant d'utiliser ce produit. </w:t>
      </w:r>
      <w:r w:rsidRPr="0003185F">
        <w:rPr>
          <w:rFonts w:cstheme="minorHAnsi"/>
          <w:sz w:val="21"/>
          <w:szCs w:val="21"/>
        </w:rPr>
        <w:t>Les suppléments de vitamines, d'acides aminés, de minéraux ou de plantes médicinales ne sont pas destinés à traiter ou prévenir une maladie. Les compléments alimentaires ne doivent pas remplacer une alimentation équilibrée et variée et un mode de vie sain. Veuillez consulter votre professionnel de la santé avant de tirer des conclusions concernant votre état de santé. Jetez correctement ce supplément lorsqu'il est expiré ou qu'il n'est plus nécessaire. Conserver dans un endroit frais, sec, sombre et à l'abri de la lumière directe du soleil. Ne pas réfrigérer. Gardez ce produit hors de portée des enfants.</w:t>
      </w:r>
    </w:p>
    <w:sectPr w:rsidR="002536E2" w:rsidRPr="0003185F" w:rsidSect="007008A5">
      <w:footerReference w:type="default" r:id="rId8"/>
      <w:pgSz w:w="11906" w:h="16838" w:code="9"/>
      <w:pgMar w:top="567" w:right="567" w:bottom="567" w:left="567" w:header="709" w:footer="0" w:gutter="0"/>
      <w:cols w:num="2" w:space="28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C85" w:rsidRDefault="001B0C85" w:rsidP="007008A5">
      <w:pPr>
        <w:spacing w:after="0" w:line="240" w:lineRule="auto"/>
      </w:pPr>
      <w:r>
        <w:separator/>
      </w:r>
    </w:p>
  </w:endnote>
  <w:endnote w:type="continuationSeparator" w:id="0">
    <w:p w:rsidR="001B0C85" w:rsidRDefault="001B0C85" w:rsidP="0070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1044843"/>
      <w:docPartObj>
        <w:docPartGallery w:val="Page Numbers (Bottom of Page)"/>
        <w:docPartUnique/>
      </w:docPartObj>
    </w:sdtPr>
    <w:sdtEndPr/>
    <w:sdtContent>
      <w:p w:rsidR="001B0C85" w:rsidRDefault="001B0C85">
        <w:pPr>
          <w:pStyle w:val="Pieddepage"/>
          <w:jc w:val="center"/>
        </w:pPr>
        <w:r>
          <w:fldChar w:fldCharType="begin"/>
        </w:r>
        <w:r>
          <w:instrText>PAGE   \* MERGEFORMAT</w:instrText>
        </w:r>
        <w:r>
          <w:fldChar w:fldCharType="separate"/>
        </w:r>
        <w:r w:rsidR="00E52890">
          <w:rPr>
            <w:noProof/>
          </w:rPr>
          <w:t>1</w:t>
        </w:r>
        <w:r>
          <w:fldChar w:fldCharType="end"/>
        </w:r>
      </w:p>
    </w:sdtContent>
  </w:sdt>
  <w:p w:rsidR="001B0C85" w:rsidRDefault="001B0C8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C85" w:rsidRDefault="001B0C85" w:rsidP="007008A5">
      <w:pPr>
        <w:spacing w:after="0" w:line="240" w:lineRule="auto"/>
      </w:pPr>
      <w:r>
        <w:separator/>
      </w:r>
    </w:p>
  </w:footnote>
  <w:footnote w:type="continuationSeparator" w:id="0">
    <w:p w:rsidR="001B0C85" w:rsidRDefault="001B0C85" w:rsidP="00700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0AB0"/>
    <w:multiLevelType w:val="hybridMultilevel"/>
    <w:tmpl w:val="577A7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41756F"/>
    <w:multiLevelType w:val="hybridMultilevel"/>
    <w:tmpl w:val="DE9235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4C146E51"/>
    <w:multiLevelType w:val="hybridMultilevel"/>
    <w:tmpl w:val="EBA0D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FB4BFF"/>
    <w:multiLevelType w:val="hybridMultilevel"/>
    <w:tmpl w:val="6374D01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5E7D3BA6"/>
    <w:multiLevelType w:val="hybridMultilevel"/>
    <w:tmpl w:val="0910194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5F7314BB"/>
    <w:multiLevelType w:val="hybridMultilevel"/>
    <w:tmpl w:val="17B60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9E2266"/>
    <w:multiLevelType w:val="hybridMultilevel"/>
    <w:tmpl w:val="D32E431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79A74400"/>
    <w:multiLevelType w:val="hybridMultilevel"/>
    <w:tmpl w:val="0F3E3CEE"/>
    <w:lvl w:ilvl="0" w:tplc="DB46B8D2">
      <w:start w:val="1"/>
      <w:numFmt w:val="bullet"/>
      <w:lvlText w:val=""/>
      <w:lvlJc w:val="left"/>
      <w:pPr>
        <w:ind w:left="567" w:hanging="20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E2"/>
    <w:rsid w:val="0003185F"/>
    <w:rsid w:val="00061A2C"/>
    <w:rsid w:val="001137EE"/>
    <w:rsid w:val="001B0C85"/>
    <w:rsid w:val="001F29BF"/>
    <w:rsid w:val="00203CAE"/>
    <w:rsid w:val="0022297D"/>
    <w:rsid w:val="0025164C"/>
    <w:rsid w:val="002536E2"/>
    <w:rsid w:val="00261BAB"/>
    <w:rsid w:val="00261BCD"/>
    <w:rsid w:val="002C0930"/>
    <w:rsid w:val="002D1C77"/>
    <w:rsid w:val="0030009E"/>
    <w:rsid w:val="00346212"/>
    <w:rsid w:val="00387F99"/>
    <w:rsid w:val="00393156"/>
    <w:rsid w:val="004464B0"/>
    <w:rsid w:val="0049218A"/>
    <w:rsid w:val="004E3701"/>
    <w:rsid w:val="0059607B"/>
    <w:rsid w:val="007008A5"/>
    <w:rsid w:val="007206A3"/>
    <w:rsid w:val="0073380D"/>
    <w:rsid w:val="008869B4"/>
    <w:rsid w:val="00893C60"/>
    <w:rsid w:val="008F18C5"/>
    <w:rsid w:val="008F6D5D"/>
    <w:rsid w:val="00966FDE"/>
    <w:rsid w:val="009933D6"/>
    <w:rsid w:val="009F1DF9"/>
    <w:rsid w:val="00A50D39"/>
    <w:rsid w:val="00AE5294"/>
    <w:rsid w:val="00B1317D"/>
    <w:rsid w:val="00B53F4A"/>
    <w:rsid w:val="00C226D5"/>
    <w:rsid w:val="00C32699"/>
    <w:rsid w:val="00CB7261"/>
    <w:rsid w:val="00D23F42"/>
    <w:rsid w:val="00DC292A"/>
    <w:rsid w:val="00E43E47"/>
    <w:rsid w:val="00E52890"/>
    <w:rsid w:val="00EA29A5"/>
    <w:rsid w:val="00F47BE0"/>
    <w:rsid w:val="00F81FF2"/>
    <w:rsid w:val="00FA3D51"/>
    <w:rsid w:val="00FF350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B35372"/>
  <w15:chartTrackingRefBased/>
  <w15:docId w15:val="{3813208A-B4E4-4289-9BBA-27A58B1D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53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008A5"/>
    <w:pPr>
      <w:ind w:left="720"/>
      <w:contextualSpacing/>
    </w:pPr>
  </w:style>
  <w:style w:type="paragraph" w:styleId="En-tte">
    <w:name w:val="header"/>
    <w:basedOn w:val="Normal"/>
    <w:link w:val="En-tteCar"/>
    <w:uiPriority w:val="99"/>
    <w:unhideWhenUsed/>
    <w:rsid w:val="007008A5"/>
    <w:pPr>
      <w:tabs>
        <w:tab w:val="center" w:pos="4536"/>
        <w:tab w:val="right" w:pos="9072"/>
      </w:tabs>
      <w:spacing w:after="0" w:line="240" w:lineRule="auto"/>
    </w:pPr>
  </w:style>
  <w:style w:type="character" w:customStyle="1" w:styleId="En-tteCar">
    <w:name w:val="En-tête Car"/>
    <w:basedOn w:val="Policepardfaut"/>
    <w:link w:val="En-tte"/>
    <w:uiPriority w:val="99"/>
    <w:rsid w:val="007008A5"/>
  </w:style>
  <w:style w:type="paragraph" w:styleId="Pieddepage">
    <w:name w:val="footer"/>
    <w:basedOn w:val="Normal"/>
    <w:link w:val="PieddepageCar"/>
    <w:uiPriority w:val="99"/>
    <w:unhideWhenUsed/>
    <w:rsid w:val="007008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0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FC0FA-1D23-4CC6-9EAC-2915A1998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661</Words>
  <Characters>3638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Drani</dc:creator>
  <cp:keywords/>
  <dc:description/>
  <cp:lastModifiedBy>Sana Drani</cp:lastModifiedBy>
  <cp:revision>12</cp:revision>
  <cp:lastPrinted>2020-12-29T19:32:00Z</cp:lastPrinted>
  <dcterms:created xsi:type="dcterms:W3CDTF">2020-12-29T19:55:00Z</dcterms:created>
  <dcterms:modified xsi:type="dcterms:W3CDTF">2021-03-16T22:38:00Z</dcterms:modified>
</cp:coreProperties>
</file>