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6E2" w:rsidRPr="00D23F42" w:rsidRDefault="004464B0" w:rsidP="004464B0">
      <w:pPr>
        <w:jc w:val="center"/>
        <w:rPr>
          <w:rFonts w:cstheme="minorHAnsi"/>
          <w:b/>
          <w:bCs/>
          <w:sz w:val="40"/>
          <w:szCs w:val="40"/>
        </w:rPr>
      </w:pPr>
      <w:r w:rsidRPr="004464B0">
        <w:rPr>
          <w:rFonts w:cstheme="minorHAnsi"/>
          <w:b/>
          <w:bCs/>
          <w:sz w:val="40"/>
          <w:szCs w:val="40"/>
        </w:rPr>
        <w:t>MAXICARDIO®</w:t>
      </w:r>
      <w:r w:rsidR="001137EE" w:rsidRPr="00D23F42">
        <w:rPr>
          <w:rFonts w:cstheme="minorHAnsi"/>
          <w:b/>
          <w:bCs/>
          <w:sz w:val="40"/>
          <w:szCs w:val="40"/>
        </w:rPr>
        <w:t xml:space="preserve"> </w:t>
      </w:r>
      <w:r w:rsidR="002536E2" w:rsidRPr="00D23F42">
        <w:rPr>
          <w:rFonts w:cstheme="minorHAnsi"/>
          <w:b/>
          <w:bCs/>
          <w:sz w:val="40"/>
          <w:szCs w:val="40"/>
        </w:rPr>
        <w:t xml:space="preserve"> </w:t>
      </w:r>
    </w:p>
    <w:p w:rsidR="002536E2" w:rsidRPr="004464B0" w:rsidRDefault="007008A5" w:rsidP="0022297D">
      <w:pPr>
        <w:jc w:val="both"/>
        <w:rPr>
          <w:rFonts w:cstheme="minorHAnsi"/>
          <w:b/>
          <w:bCs/>
          <w:sz w:val="20"/>
          <w:szCs w:val="20"/>
          <w:u w:val="single"/>
        </w:rPr>
      </w:pPr>
      <w:r w:rsidRPr="004464B0">
        <w:rPr>
          <w:rFonts w:cstheme="minorHAnsi"/>
          <w:b/>
          <w:bCs/>
          <w:sz w:val="20"/>
          <w:szCs w:val="20"/>
          <w:u w:val="single"/>
        </w:rPr>
        <w:t>COMPOSITION</w:t>
      </w:r>
      <w:r w:rsidR="002536E2" w:rsidRPr="004464B0">
        <w:rPr>
          <w:rFonts w:cstheme="minorHAnsi"/>
          <w:b/>
          <w:bCs/>
          <w:sz w:val="20"/>
          <w:szCs w:val="20"/>
          <w:u w:val="single"/>
        </w:rPr>
        <w:t> :</w:t>
      </w:r>
    </w:p>
    <w:p w:rsidR="00346212" w:rsidRPr="004464B0" w:rsidRDefault="00346212" w:rsidP="00F47BE0">
      <w:pPr>
        <w:spacing w:after="0"/>
        <w:jc w:val="both"/>
        <w:rPr>
          <w:rFonts w:cstheme="minorHAnsi"/>
          <w:sz w:val="20"/>
          <w:szCs w:val="20"/>
        </w:rPr>
      </w:pPr>
      <w:r w:rsidRPr="004464B0">
        <w:rPr>
          <w:rFonts w:cstheme="minorHAnsi"/>
          <w:sz w:val="20"/>
          <w:szCs w:val="20"/>
        </w:rPr>
        <w:t xml:space="preserve">Chaque </w:t>
      </w:r>
      <w:r w:rsidR="00F47BE0">
        <w:rPr>
          <w:rFonts w:cstheme="minorHAnsi"/>
          <w:sz w:val="20"/>
          <w:szCs w:val="20"/>
        </w:rPr>
        <w:t>gélule</w:t>
      </w:r>
      <w:r w:rsidRPr="004464B0">
        <w:rPr>
          <w:rFonts w:cstheme="minorHAnsi"/>
          <w:sz w:val="20"/>
          <w:szCs w:val="20"/>
        </w:rPr>
        <w:t xml:space="preserve"> de </w:t>
      </w:r>
      <w:r w:rsidRPr="004464B0">
        <w:rPr>
          <w:rFonts w:cstheme="minorHAnsi"/>
          <w:b/>
          <w:bCs/>
          <w:sz w:val="20"/>
          <w:szCs w:val="20"/>
        </w:rPr>
        <w:t xml:space="preserve">MAXICARDIO® </w:t>
      </w:r>
      <w:r w:rsidRPr="004464B0">
        <w:rPr>
          <w:rFonts w:cstheme="minorHAnsi"/>
          <w:sz w:val="20"/>
          <w:szCs w:val="20"/>
        </w:rPr>
        <w:t>contient :</w:t>
      </w:r>
    </w:p>
    <w:p w:rsidR="00346212" w:rsidRPr="004464B0" w:rsidRDefault="00346212" w:rsidP="00346212">
      <w:pPr>
        <w:spacing w:after="0"/>
        <w:jc w:val="both"/>
        <w:rPr>
          <w:rFonts w:cstheme="minorHAnsi"/>
          <w:b/>
          <w:bCs/>
          <w:sz w:val="20"/>
          <w:szCs w:val="20"/>
        </w:rPr>
      </w:pPr>
    </w:p>
    <w:tbl>
      <w:tblPr>
        <w:tblStyle w:val="Grilledutableau"/>
        <w:tblW w:w="0" w:type="auto"/>
        <w:tblLook w:val="04A0" w:firstRow="1" w:lastRow="0" w:firstColumn="1" w:lastColumn="0" w:noHBand="0" w:noVBand="1"/>
      </w:tblPr>
      <w:tblGrid>
        <w:gridCol w:w="2677"/>
        <w:gridCol w:w="2556"/>
      </w:tblGrid>
      <w:tr w:rsidR="00346212" w:rsidRPr="004464B0" w:rsidTr="007D6B03">
        <w:tc>
          <w:tcPr>
            <w:tcW w:w="4834" w:type="dxa"/>
          </w:tcPr>
          <w:p w:rsidR="00346212" w:rsidRPr="004464B0" w:rsidRDefault="00346212" w:rsidP="00346212">
            <w:pPr>
              <w:spacing w:line="259" w:lineRule="auto"/>
              <w:jc w:val="both"/>
              <w:rPr>
                <w:rFonts w:cstheme="minorHAnsi"/>
                <w:b/>
                <w:bCs/>
                <w:sz w:val="20"/>
                <w:szCs w:val="20"/>
              </w:rPr>
            </w:pPr>
            <w:r w:rsidRPr="004464B0">
              <w:rPr>
                <w:rFonts w:cstheme="minorHAnsi"/>
                <w:b/>
                <w:bCs/>
                <w:sz w:val="20"/>
                <w:szCs w:val="20"/>
              </w:rPr>
              <w:t>Composant</w:t>
            </w:r>
          </w:p>
        </w:tc>
        <w:tc>
          <w:tcPr>
            <w:tcW w:w="4834" w:type="dxa"/>
          </w:tcPr>
          <w:p w:rsidR="00346212" w:rsidRPr="004464B0" w:rsidRDefault="00346212" w:rsidP="00346212">
            <w:pPr>
              <w:spacing w:line="259" w:lineRule="auto"/>
              <w:jc w:val="both"/>
              <w:rPr>
                <w:rFonts w:cstheme="minorHAnsi"/>
                <w:b/>
                <w:bCs/>
                <w:sz w:val="20"/>
                <w:szCs w:val="20"/>
              </w:rPr>
            </w:pPr>
            <w:r w:rsidRPr="004464B0">
              <w:rPr>
                <w:rFonts w:cstheme="minorHAnsi"/>
                <w:b/>
                <w:bCs/>
                <w:sz w:val="20"/>
                <w:szCs w:val="20"/>
              </w:rPr>
              <w:t>Quantité</w:t>
            </w:r>
          </w:p>
        </w:tc>
      </w:tr>
      <w:tr w:rsidR="00346212" w:rsidRPr="004464B0" w:rsidTr="007D6B03">
        <w:tc>
          <w:tcPr>
            <w:tcW w:w="4834" w:type="dxa"/>
          </w:tcPr>
          <w:p w:rsidR="00346212" w:rsidRPr="004464B0" w:rsidRDefault="00346212" w:rsidP="00346212">
            <w:pPr>
              <w:spacing w:line="259" w:lineRule="auto"/>
              <w:jc w:val="both"/>
              <w:rPr>
                <w:rFonts w:cstheme="minorHAnsi"/>
                <w:sz w:val="20"/>
                <w:szCs w:val="20"/>
              </w:rPr>
            </w:pPr>
            <w:r w:rsidRPr="004464B0">
              <w:rPr>
                <w:rFonts w:cstheme="minorHAnsi"/>
                <w:sz w:val="20"/>
                <w:szCs w:val="20"/>
              </w:rPr>
              <w:t>Coenzyme Q10</w:t>
            </w:r>
          </w:p>
        </w:tc>
        <w:tc>
          <w:tcPr>
            <w:tcW w:w="4834" w:type="dxa"/>
          </w:tcPr>
          <w:p w:rsidR="00346212" w:rsidRPr="004464B0" w:rsidRDefault="00346212" w:rsidP="00346212">
            <w:pPr>
              <w:spacing w:line="259" w:lineRule="auto"/>
              <w:jc w:val="both"/>
              <w:rPr>
                <w:rFonts w:cstheme="minorHAnsi"/>
                <w:sz w:val="20"/>
                <w:szCs w:val="20"/>
              </w:rPr>
            </w:pPr>
            <w:r w:rsidRPr="004464B0">
              <w:rPr>
                <w:rFonts w:cstheme="minorHAnsi"/>
                <w:sz w:val="20"/>
                <w:szCs w:val="20"/>
              </w:rPr>
              <w:t>100 mg</w:t>
            </w:r>
          </w:p>
        </w:tc>
      </w:tr>
    </w:tbl>
    <w:p w:rsidR="0059607B" w:rsidRPr="004464B0" w:rsidRDefault="0059607B" w:rsidP="00393156">
      <w:pPr>
        <w:spacing w:after="0"/>
        <w:jc w:val="both"/>
        <w:rPr>
          <w:rFonts w:cstheme="minorHAnsi"/>
          <w:b/>
          <w:bCs/>
          <w:sz w:val="20"/>
          <w:szCs w:val="20"/>
        </w:rPr>
      </w:pPr>
    </w:p>
    <w:p w:rsidR="002536E2" w:rsidRPr="004464B0" w:rsidRDefault="002536E2" w:rsidP="004464B0">
      <w:pPr>
        <w:spacing w:after="0"/>
        <w:jc w:val="both"/>
        <w:rPr>
          <w:rFonts w:cstheme="minorHAnsi"/>
          <w:sz w:val="20"/>
          <w:szCs w:val="20"/>
        </w:rPr>
      </w:pPr>
      <w:r w:rsidRPr="004464B0">
        <w:rPr>
          <w:rFonts w:cstheme="minorHAnsi"/>
          <w:b/>
          <w:bCs/>
          <w:sz w:val="20"/>
          <w:szCs w:val="20"/>
        </w:rPr>
        <w:t xml:space="preserve">Autre composition : </w:t>
      </w:r>
      <w:r w:rsidR="00393156" w:rsidRPr="004464B0">
        <w:rPr>
          <w:rFonts w:cstheme="minorHAnsi"/>
          <w:sz w:val="20"/>
          <w:szCs w:val="20"/>
        </w:rPr>
        <w:t>Di-calcium de phosphate, Stéarate de magnésium</w:t>
      </w:r>
      <w:r w:rsidR="00393156" w:rsidRPr="004464B0">
        <w:rPr>
          <w:rFonts w:cstheme="minorHAnsi"/>
          <w:b/>
          <w:bCs/>
          <w:sz w:val="20"/>
          <w:szCs w:val="20"/>
        </w:rPr>
        <w:t xml:space="preserve">, </w:t>
      </w:r>
      <w:r w:rsidR="00393156" w:rsidRPr="004464B0">
        <w:rPr>
          <w:rFonts w:cstheme="minorHAnsi"/>
          <w:sz w:val="20"/>
          <w:szCs w:val="20"/>
        </w:rPr>
        <w:t>Dioxyde de silicone, Talc,</w:t>
      </w:r>
      <w:r w:rsidR="00393156" w:rsidRPr="004464B0">
        <w:rPr>
          <w:rFonts w:cstheme="minorHAnsi"/>
          <w:b/>
          <w:bCs/>
          <w:sz w:val="20"/>
          <w:szCs w:val="20"/>
        </w:rPr>
        <w:t xml:space="preserve"> </w:t>
      </w:r>
      <w:r w:rsidR="00393156" w:rsidRPr="004464B0">
        <w:rPr>
          <w:rFonts w:cstheme="minorHAnsi"/>
          <w:sz w:val="20"/>
          <w:szCs w:val="20"/>
        </w:rPr>
        <w:t>Excédents de vitamines.</w:t>
      </w:r>
    </w:p>
    <w:p w:rsidR="00CB7261" w:rsidRPr="004464B0" w:rsidRDefault="00CB7261" w:rsidP="004464B0">
      <w:pPr>
        <w:spacing w:after="0"/>
        <w:jc w:val="both"/>
        <w:rPr>
          <w:rFonts w:cstheme="minorHAnsi"/>
          <w:b/>
          <w:bCs/>
          <w:sz w:val="20"/>
          <w:szCs w:val="20"/>
        </w:rPr>
      </w:pPr>
    </w:p>
    <w:p w:rsidR="00CB7261" w:rsidRPr="004464B0" w:rsidRDefault="002536E2" w:rsidP="004464B0">
      <w:pPr>
        <w:spacing w:after="0"/>
        <w:jc w:val="both"/>
        <w:rPr>
          <w:rFonts w:cstheme="minorHAnsi"/>
          <w:b/>
          <w:bCs/>
          <w:sz w:val="20"/>
          <w:szCs w:val="20"/>
          <w:u w:val="single"/>
        </w:rPr>
      </w:pPr>
      <w:r w:rsidRPr="004464B0">
        <w:rPr>
          <w:rFonts w:cstheme="minorHAnsi"/>
          <w:b/>
          <w:bCs/>
          <w:sz w:val="20"/>
          <w:szCs w:val="20"/>
          <w:u w:val="single"/>
        </w:rPr>
        <w:t>LA DESCRIPTION</w:t>
      </w:r>
    </w:p>
    <w:p w:rsidR="00D600BD" w:rsidRPr="00D40FD3" w:rsidRDefault="00D600BD" w:rsidP="00D40FD3">
      <w:pPr>
        <w:spacing w:after="0"/>
        <w:jc w:val="both"/>
        <w:rPr>
          <w:rFonts w:cstheme="minorHAnsi"/>
          <w:sz w:val="20"/>
          <w:szCs w:val="20"/>
        </w:rPr>
      </w:pPr>
      <w:r w:rsidRPr="00D40FD3">
        <w:rPr>
          <w:rFonts w:cstheme="minorHAnsi"/>
          <w:b/>
          <w:bCs/>
          <w:sz w:val="20"/>
          <w:szCs w:val="20"/>
        </w:rPr>
        <w:t>La coenzyme Q10</w:t>
      </w:r>
      <w:r w:rsidRPr="00D40FD3">
        <w:rPr>
          <w:rFonts w:cstheme="minorHAnsi"/>
          <w:sz w:val="20"/>
          <w:szCs w:val="20"/>
        </w:rPr>
        <w:t xml:space="preserve"> est une biomolécule liposoluble de type vitamine qui présente de multiples avantages pour la santé. On la trouve dans tout le corps, en particulier dans les organes vitaux comme le foie, les reins, le pancréas et le cœur. Dans la cellule, les mitochondries contiennent 40 à 50% de </w:t>
      </w:r>
      <w:r w:rsidRPr="00D40FD3">
        <w:rPr>
          <w:rFonts w:cstheme="minorHAnsi"/>
          <w:b/>
          <w:bCs/>
          <w:sz w:val="20"/>
          <w:szCs w:val="20"/>
        </w:rPr>
        <w:t>la coenzyme</w:t>
      </w:r>
      <w:r w:rsidRPr="00D40FD3">
        <w:rPr>
          <w:rFonts w:cstheme="minorHAnsi"/>
          <w:sz w:val="20"/>
          <w:szCs w:val="20"/>
        </w:rPr>
        <w:t xml:space="preserve"> cellulaire totale </w:t>
      </w:r>
      <w:r w:rsidRPr="00D40FD3">
        <w:rPr>
          <w:rFonts w:cstheme="minorHAnsi"/>
          <w:b/>
          <w:bCs/>
          <w:sz w:val="20"/>
          <w:szCs w:val="20"/>
        </w:rPr>
        <w:t>Q10</w:t>
      </w:r>
      <w:r w:rsidRPr="00D40FD3">
        <w:rPr>
          <w:rFonts w:cstheme="minorHAnsi"/>
          <w:sz w:val="20"/>
          <w:szCs w:val="20"/>
        </w:rPr>
        <w:t xml:space="preserve">. </w:t>
      </w:r>
      <w:r w:rsidRPr="00D40FD3">
        <w:rPr>
          <w:rFonts w:cstheme="minorHAnsi"/>
          <w:b/>
          <w:bCs/>
          <w:sz w:val="20"/>
          <w:szCs w:val="20"/>
        </w:rPr>
        <w:t xml:space="preserve">La </w:t>
      </w:r>
      <w:r w:rsidR="00D40FD3" w:rsidRPr="00D40FD3">
        <w:rPr>
          <w:rFonts w:cstheme="minorHAnsi"/>
          <w:b/>
          <w:bCs/>
          <w:sz w:val="20"/>
          <w:szCs w:val="20"/>
        </w:rPr>
        <w:t xml:space="preserve">coenzyme Q10 </w:t>
      </w:r>
      <w:r w:rsidR="00D40FD3">
        <w:rPr>
          <w:rFonts w:cstheme="minorHAnsi"/>
          <w:sz w:val="20"/>
          <w:szCs w:val="20"/>
        </w:rPr>
        <w:t>est</w:t>
      </w:r>
      <w:r w:rsidRPr="00D40FD3">
        <w:rPr>
          <w:rFonts w:cstheme="minorHAnsi"/>
          <w:sz w:val="20"/>
          <w:szCs w:val="20"/>
        </w:rPr>
        <w:t xml:space="preserve"> synthé</w:t>
      </w:r>
      <w:r w:rsidR="002105AC">
        <w:rPr>
          <w:rFonts w:cstheme="minorHAnsi"/>
          <w:sz w:val="20"/>
          <w:szCs w:val="20"/>
        </w:rPr>
        <w:t xml:space="preserve">tisée à partir de l'acide aminé </w:t>
      </w:r>
      <w:r w:rsidRPr="00D40FD3">
        <w:rPr>
          <w:rFonts w:cstheme="minorHAnsi"/>
          <w:sz w:val="20"/>
          <w:szCs w:val="20"/>
        </w:rPr>
        <w:t>tyrosine.</w:t>
      </w:r>
    </w:p>
    <w:p w:rsidR="00D600BD" w:rsidRPr="00D40FD3" w:rsidRDefault="00D600BD" w:rsidP="00D40FD3">
      <w:pPr>
        <w:spacing w:after="0"/>
        <w:jc w:val="both"/>
        <w:rPr>
          <w:rFonts w:cstheme="minorHAnsi"/>
          <w:sz w:val="20"/>
          <w:szCs w:val="20"/>
        </w:rPr>
      </w:pPr>
    </w:p>
    <w:p w:rsidR="00D600BD" w:rsidRPr="00D40FD3" w:rsidRDefault="00D600BD" w:rsidP="00D40FD3">
      <w:pPr>
        <w:spacing w:after="0"/>
        <w:jc w:val="both"/>
        <w:rPr>
          <w:rFonts w:cstheme="minorHAnsi"/>
          <w:sz w:val="20"/>
          <w:szCs w:val="20"/>
        </w:rPr>
      </w:pPr>
      <w:r w:rsidRPr="00504B28">
        <w:rPr>
          <w:rFonts w:cstheme="minorHAnsi"/>
          <w:b/>
          <w:bCs/>
          <w:sz w:val="20"/>
          <w:szCs w:val="20"/>
        </w:rPr>
        <w:t>La coenzyme Q10</w:t>
      </w:r>
      <w:r w:rsidRPr="00D40FD3">
        <w:rPr>
          <w:rFonts w:cstheme="minorHAnsi"/>
          <w:sz w:val="20"/>
          <w:szCs w:val="20"/>
        </w:rPr>
        <w:t xml:space="preserve"> est essentielle au fonctionnement normal des</w:t>
      </w:r>
      <w:r w:rsidR="00D40FD3">
        <w:rPr>
          <w:rFonts w:cstheme="minorHAnsi"/>
          <w:sz w:val="20"/>
          <w:szCs w:val="20"/>
        </w:rPr>
        <w:t xml:space="preserve"> </w:t>
      </w:r>
      <w:r w:rsidRPr="00D40FD3">
        <w:rPr>
          <w:rFonts w:cstheme="minorHAnsi"/>
          <w:sz w:val="20"/>
          <w:szCs w:val="20"/>
        </w:rPr>
        <w:t xml:space="preserve">organes internes. La fonction biochimique principale de la </w:t>
      </w:r>
      <w:r w:rsidRPr="00504B28">
        <w:rPr>
          <w:rFonts w:cstheme="minorHAnsi"/>
          <w:b/>
          <w:bCs/>
          <w:sz w:val="20"/>
          <w:szCs w:val="20"/>
        </w:rPr>
        <w:t>coenzyme Q10</w:t>
      </w:r>
      <w:r w:rsidRPr="00D40FD3">
        <w:rPr>
          <w:rFonts w:cstheme="minorHAnsi"/>
          <w:sz w:val="20"/>
          <w:szCs w:val="20"/>
        </w:rPr>
        <w:t xml:space="preserve"> est de servir de cofacteur dans les mitochondries. </w:t>
      </w:r>
      <w:r w:rsidRPr="00504B28">
        <w:rPr>
          <w:rFonts w:cstheme="minorHAnsi"/>
          <w:b/>
          <w:bCs/>
          <w:sz w:val="20"/>
          <w:szCs w:val="20"/>
        </w:rPr>
        <w:t>La coenzyme Q10</w:t>
      </w:r>
      <w:r w:rsidRPr="00D40FD3">
        <w:rPr>
          <w:rFonts w:cstheme="minorHAnsi"/>
          <w:sz w:val="20"/>
          <w:szCs w:val="20"/>
        </w:rPr>
        <w:t xml:space="preserve"> est l'un des antioxydants lipidiques importants qui éliminent</w:t>
      </w:r>
      <w:r w:rsidR="00D40FD3">
        <w:rPr>
          <w:rFonts w:cstheme="minorHAnsi"/>
          <w:sz w:val="20"/>
          <w:szCs w:val="20"/>
        </w:rPr>
        <w:t xml:space="preserve"> </w:t>
      </w:r>
      <w:r w:rsidRPr="00D40FD3">
        <w:rPr>
          <w:rFonts w:cstheme="minorHAnsi"/>
          <w:sz w:val="20"/>
          <w:szCs w:val="20"/>
        </w:rPr>
        <w:t>les radicaux libres existants et empêchent la génération de nouveaux radicaux libres, ce qui entraîne de graves dommages aux structures de l'ADN et des protéines.</w:t>
      </w:r>
    </w:p>
    <w:p w:rsidR="00D600BD" w:rsidRPr="00D40FD3" w:rsidRDefault="00D600BD" w:rsidP="00D40FD3">
      <w:pPr>
        <w:spacing w:after="0"/>
        <w:jc w:val="both"/>
        <w:rPr>
          <w:rFonts w:cstheme="minorHAnsi"/>
          <w:sz w:val="20"/>
          <w:szCs w:val="20"/>
        </w:rPr>
      </w:pPr>
    </w:p>
    <w:p w:rsidR="00D600BD" w:rsidRPr="00D40FD3" w:rsidRDefault="00D600BD" w:rsidP="00504B28">
      <w:pPr>
        <w:spacing w:after="0"/>
        <w:jc w:val="both"/>
        <w:rPr>
          <w:rFonts w:cstheme="minorHAnsi"/>
          <w:sz w:val="20"/>
          <w:szCs w:val="20"/>
        </w:rPr>
      </w:pPr>
      <w:r w:rsidRPr="00504B28">
        <w:rPr>
          <w:rFonts w:cstheme="minorHAnsi"/>
          <w:b/>
          <w:bCs/>
          <w:sz w:val="20"/>
          <w:szCs w:val="20"/>
        </w:rPr>
        <w:t>La coenzyme Q10</w:t>
      </w:r>
      <w:r w:rsidRPr="00D40FD3">
        <w:rPr>
          <w:rFonts w:cstheme="minorHAnsi"/>
          <w:sz w:val="20"/>
          <w:szCs w:val="20"/>
        </w:rPr>
        <w:t xml:space="preserve"> stimule considérablement le système immunitaire et les performances physiques, elle réd</w:t>
      </w:r>
      <w:r w:rsidR="00D40FD3">
        <w:rPr>
          <w:rFonts w:cstheme="minorHAnsi"/>
          <w:sz w:val="20"/>
          <w:szCs w:val="20"/>
        </w:rPr>
        <w:t xml:space="preserve">uit également le temps de </w:t>
      </w:r>
      <w:r w:rsidRPr="00D40FD3">
        <w:rPr>
          <w:rFonts w:cstheme="minorHAnsi"/>
          <w:sz w:val="20"/>
          <w:szCs w:val="20"/>
        </w:rPr>
        <w:t>récupération entre les séances d'entraînement. Les cellules et les tissus</w:t>
      </w:r>
      <w:r w:rsidR="00D40FD3">
        <w:rPr>
          <w:rFonts w:cstheme="minorHAnsi"/>
          <w:sz w:val="20"/>
          <w:szCs w:val="20"/>
        </w:rPr>
        <w:t xml:space="preserve"> </w:t>
      </w:r>
      <w:r w:rsidRPr="00D40FD3">
        <w:rPr>
          <w:rFonts w:cstheme="minorHAnsi"/>
          <w:sz w:val="20"/>
          <w:szCs w:val="20"/>
        </w:rPr>
        <w:t>associés au système immunitaire sont fortement dépendants de l'énergie et une concentration adéquate d</w:t>
      </w:r>
      <w:r w:rsidR="00D40FD3">
        <w:rPr>
          <w:rFonts w:cstheme="minorHAnsi"/>
          <w:sz w:val="20"/>
          <w:szCs w:val="20"/>
        </w:rPr>
        <w:t xml:space="preserve">e </w:t>
      </w:r>
      <w:r w:rsidR="00D40FD3" w:rsidRPr="00504B28">
        <w:rPr>
          <w:rFonts w:cstheme="minorHAnsi"/>
          <w:b/>
          <w:bCs/>
          <w:sz w:val="20"/>
          <w:szCs w:val="20"/>
        </w:rPr>
        <w:t>Coenzyme</w:t>
      </w:r>
      <w:r w:rsidR="00504B28" w:rsidRPr="00504B28">
        <w:rPr>
          <w:rFonts w:cstheme="minorHAnsi"/>
          <w:b/>
          <w:bCs/>
          <w:sz w:val="20"/>
          <w:szCs w:val="20"/>
        </w:rPr>
        <w:t xml:space="preserve"> </w:t>
      </w:r>
      <w:r w:rsidR="00D40FD3" w:rsidRPr="00504B28">
        <w:rPr>
          <w:rFonts w:cstheme="minorHAnsi"/>
          <w:b/>
          <w:bCs/>
          <w:sz w:val="20"/>
          <w:szCs w:val="20"/>
        </w:rPr>
        <w:t>Q10</w:t>
      </w:r>
      <w:r w:rsidR="00D40FD3">
        <w:rPr>
          <w:rFonts w:cstheme="minorHAnsi"/>
          <w:sz w:val="20"/>
          <w:szCs w:val="20"/>
        </w:rPr>
        <w:t xml:space="preserve"> est </w:t>
      </w:r>
      <w:r w:rsidR="00D40FD3" w:rsidRPr="00D40FD3">
        <w:rPr>
          <w:rFonts w:cstheme="minorHAnsi"/>
          <w:sz w:val="20"/>
          <w:szCs w:val="20"/>
        </w:rPr>
        <w:t>impérative</w:t>
      </w:r>
      <w:r w:rsidRPr="00D40FD3">
        <w:rPr>
          <w:rFonts w:cstheme="minorHAnsi"/>
          <w:sz w:val="20"/>
          <w:szCs w:val="20"/>
        </w:rPr>
        <w:t xml:space="preserve"> pour le fonctionnement normal de ces cellules. </w:t>
      </w:r>
    </w:p>
    <w:p w:rsidR="00D600BD" w:rsidRPr="00D40FD3" w:rsidRDefault="00D600BD" w:rsidP="00D40FD3">
      <w:pPr>
        <w:spacing w:after="0"/>
        <w:jc w:val="both"/>
        <w:rPr>
          <w:rFonts w:cstheme="minorHAnsi"/>
          <w:sz w:val="20"/>
          <w:szCs w:val="20"/>
        </w:rPr>
      </w:pPr>
    </w:p>
    <w:p w:rsidR="00346212" w:rsidRDefault="00D600BD" w:rsidP="00D40FD3">
      <w:pPr>
        <w:spacing w:after="0"/>
        <w:jc w:val="both"/>
        <w:rPr>
          <w:rFonts w:cstheme="minorHAnsi"/>
          <w:sz w:val="20"/>
          <w:szCs w:val="20"/>
        </w:rPr>
      </w:pPr>
      <w:r w:rsidRPr="00504B28">
        <w:rPr>
          <w:rFonts w:cstheme="minorHAnsi"/>
          <w:b/>
          <w:bCs/>
          <w:sz w:val="20"/>
          <w:szCs w:val="20"/>
        </w:rPr>
        <w:t>La coenzyme Q10</w:t>
      </w:r>
      <w:r w:rsidRPr="00D40FD3">
        <w:rPr>
          <w:rFonts w:cstheme="minorHAnsi"/>
          <w:sz w:val="20"/>
          <w:szCs w:val="20"/>
        </w:rPr>
        <w:t xml:space="preserve"> possède de fortes activités </w:t>
      </w:r>
      <w:proofErr w:type="spellStart"/>
      <w:r w:rsidRPr="00D40FD3">
        <w:rPr>
          <w:rFonts w:cstheme="minorHAnsi"/>
          <w:sz w:val="20"/>
          <w:szCs w:val="20"/>
        </w:rPr>
        <w:t>cardioprotectrices</w:t>
      </w:r>
      <w:proofErr w:type="spellEnd"/>
      <w:r w:rsidRPr="00D40FD3">
        <w:rPr>
          <w:rFonts w:cstheme="minorHAnsi"/>
          <w:sz w:val="20"/>
          <w:szCs w:val="20"/>
        </w:rPr>
        <w:t xml:space="preserve">. Elle protège les muscles cardiaques en stabilisant les canaux ioniques myocardiques dépendants du calcium et en préservant l'activité ATPase sodium-potassium myocardique. </w:t>
      </w:r>
      <w:r w:rsidRPr="00504B28">
        <w:rPr>
          <w:rFonts w:cstheme="minorHAnsi"/>
          <w:b/>
          <w:bCs/>
          <w:sz w:val="20"/>
          <w:szCs w:val="20"/>
        </w:rPr>
        <w:t>La coenzyme Q10</w:t>
      </w:r>
      <w:r w:rsidRPr="00D40FD3">
        <w:rPr>
          <w:rFonts w:cstheme="minorHAnsi"/>
          <w:sz w:val="20"/>
          <w:szCs w:val="20"/>
        </w:rPr>
        <w:t xml:space="preserve"> améliore les niveaux de HDL, réduit la formation de plaque dans les artères et soutient des fonctions cardiaques saines. Elle réduit également les niveaux de marqueurs inflammatoires, associés à divers troubles cardiovasculaires. </w:t>
      </w:r>
      <w:r w:rsidRPr="00504B28">
        <w:rPr>
          <w:rFonts w:cstheme="minorHAnsi"/>
          <w:b/>
          <w:bCs/>
          <w:sz w:val="20"/>
          <w:szCs w:val="20"/>
        </w:rPr>
        <w:t>La coenzyme Q10</w:t>
      </w:r>
      <w:r w:rsidRPr="00D40FD3">
        <w:rPr>
          <w:rFonts w:cstheme="minorHAnsi"/>
          <w:sz w:val="20"/>
          <w:szCs w:val="20"/>
        </w:rPr>
        <w:t xml:space="preserve"> possède de fortes propriétés</w:t>
      </w:r>
      <w:r w:rsidR="00D40FD3">
        <w:rPr>
          <w:rFonts w:cstheme="minorHAnsi"/>
          <w:sz w:val="20"/>
          <w:szCs w:val="20"/>
        </w:rPr>
        <w:t xml:space="preserve"> </w:t>
      </w:r>
      <w:r w:rsidRPr="00D40FD3">
        <w:rPr>
          <w:rFonts w:cstheme="minorHAnsi"/>
          <w:sz w:val="20"/>
          <w:szCs w:val="20"/>
        </w:rPr>
        <w:t>anti-inflammatoires et elle est utile pour soulager l'angine de poitrine.</w:t>
      </w:r>
    </w:p>
    <w:p w:rsidR="00D40FD3" w:rsidRPr="00D40FD3" w:rsidRDefault="00D40FD3" w:rsidP="00D40FD3">
      <w:pPr>
        <w:spacing w:after="0"/>
        <w:jc w:val="both"/>
        <w:rPr>
          <w:rFonts w:cstheme="minorHAnsi"/>
          <w:sz w:val="20"/>
          <w:szCs w:val="20"/>
        </w:rPr>
      </w:pPr>
    </w:p>
    <w:p w:rsidR="0030009E" w:rsidRPr="004464B0" w:rsidRDefault="00346212" w:rsidP="004464B0">
      <w:pPr>
        <w:spacing w:after="0"/>
        <w:jc w:val="both"/>
        <w:rPr>
          <w:rFonts w:cstheme="minorHAnsi"/>
          <w:sz w:val="20"/>
          <w:szCs w:val="20"/>
        </w:rPr>
      </w:pPr>
      <w:r w:rsidRPr="004464B0">
        <w:rPr>
          <w:rFonts w:cstheme="minorHAnsi"/>
          <w:b/>
          <w:bCs/>
          <w:sz w:val="20"/>
          <w:szCs w:val="20"/>
        </w:rPr>
        <w:t xml:space="preserve">La coenzyme Q10 </w:t>
      </w:r>
      <w:r w:rsidRPr="004464B0">
        <w:rPr>
          <w:rFonts w:cstheme="minorHAnsi"/>
          <w:sz w:val="20"/>
          <w:szCs w:val="20"/>
        </w:rPr>
        <w:t>soutient activement la fonction cérébrale et protège les cellules cérébrales contre le st</w:t>
      </w:r>
      <w:r w:rsidR="002105AC">
        <w:rPr>
          <w:rFonts w:cstheme="minorHAnsi"/>
          <w:sz w:val="20"/>
          <w:szCs w:val="20"/>
        </w:rPr>
        <w:t>ress oxydatif. En complément, elle</w:t>
      </w:r>
      <w:r w:rsidRPr="004464B0">
        <w:rPr>
          <w:rFonts w:cstheme="minorHAnsi"/>
          <w:sz w:val="20"/>
          <w:szCs w:val="20"/>
        </w:rPr>
        <w:t xml:space="preserve"> est utile pour retarder la progression des troubles neurodégénératifs comme la maladie de Parkinson et la maladie d’Alzheimer.</w:t>
      </w:r>
    </w:p>
    <w:p w:rsidR="00D23F42" w:rsidRPr="004464B0" w:rsidRDefault="00D23F42" w:rsidP="004464B0">
      <w:pPr>
        <w:spacing w:after="0"/>
        <w:jc w:val="both"/>
        <w:rPr>
          <w:rFonts w:cstheme="minorHAnsi"/>
          <w:b/>
          <w:bCs/>
          <w:sz w:val="20"/>
          <w:szCs w:val="20"/>
          <w:u w:val="single"/>
        </w:rPr>
      </w:pPr>
    </w:p>
    <w:p w:rsidR="002536E2" w:rsidRPr="004464B0" w:rsidRDefault="004078E6" w:rsidP="004464B0">
      <w:pPr>
        <w:spacing w:after="0"/>
        <w:jc w:val="both"/>
        <w:rPr>
          <w:rFonts w:cstheme="minorHAnsi"/>
          <w:b/>
          <w:bCs/>
          <w:sz w:val="20"/>
          <w:szCs w:val="20"/>
          <w:u w:val="single"/>
        </w:rPr>
      </w:pPr>
      <w:r>
        <w:rPr>
          <w:rFonts w:cstheme="minorHAnsi"/>
          <w:b/>
          <w:bCs/>
          <w:sz w:val="20"/>
          <w:szCs w:val="20"/>
          <w:u w:val="single"/>
        </w:rPr>
        <w:t>INDICATION</w:t>
      </w:r>
      <w:r w:rsidR="00C226D5" w:rsidRPr="004464B0">
        <w:rPr>
          <w:rFonts w:cstheme="minorHAnsi"/>
          <w:b/>
          <w:bCs/>
          <w:sz w:val="20"/>
          <w:szCs w:val="20"/>
          <w:u w:val="single"/>
        </w:rPr>
        <w:t xml:space="preserve"> :</w:t>
      </w:r>
    </w:p>
    <w:p w:rsidR="00346212" w:rsidRPr="004464B0" w:rsidRDefault="00346212" w:rsidP="004464B0">
      <w:pPr>
        <w:pStyle w:val="Paragraphedeliste"/>
        <w:numPr>
          <w:ilvl w:val="0"/>
          <w:numId w:val="6"/>
        </w:numPr>
        <w:tabs>
          <w:tab w:val="center" w:pos="927"/>
        </w:tabs>
        <w:spacing w:after="0"/>
        <w:ind w:left="567"/>
        <w:jc w:val="both"/>
        <w:rPr>
          <w:rFonts w:cstheme="minorHAnsi"/>
          <w:sz w:val="20"/>
          <w:szCs w:val="20"/>
        </w:rPr>
      </w:pPr>
      <w:r w:rsidRPr="004464B0">
        <w:rPr>
          <w:rFonts w:cstheme="minorHAnsi"/>
          <w:sz w:val="20"/>
          <w:szCs w:val="20"/>
        </w:rPr>
        <w:t>Angine de poitrine</w:t>
      </w:r>
    </w:p>
    <w:p w:rsidR="00346212" w:rsidRPr="004464B0" w:rsidRDefault="00346212" w:rsidP="004464B0">
      <w:pPr>
        <w:pStyle w:val="Paragraphedeliste"/>
        <w:numPr>
          <w:ilvl w:val="0"/>
          <w:numId w:val="6"/>
        </w:numPr>
        <w:tabs>
          <w:tab w:val="center" w:pos="927"/>
        </w:tabs>
        <w:spacing w:after="0"/>
        <w:ind w:left="567"/>
        <w:jc w:val="both"/>
        <w:rPr>
          <w:rFonts w:cstheme="minorHAnsi"/>
          <w:sz w:val="20"/>
          <w:szCs w:val="20"/>
        </w:rPr>
      </w:pPr>
      <w:r w:rsidRPr="004464B0">
        <w:rPr>
          <w:rFonts w:cstheme="minorHAnsi"/>
          <w:sz w:val="20"/>
          <w:szCs w:val="20"/>
        </w:rPr>
        <w:t>Maladie de l'artère coronaire</w:t>
      </w:r>
    </w:p>
    <w:p w:rsidR="00346212" w:rsidRPr="004464B0" w:rsidRDefault="00346212" w:rsidP="004464B0">
      <w:pPr>
        <w:pStyle w:val="Paragraphedeliste"/>
        <w:numPr>
          <w:ilvl w:val="0"/>
          <w:numId w:val="6"/>
        </w:numPr>
        <w:tabs>
          <w:tab w:val="center" w:pos="927"/>
        </w:tabs>
        <w:spacing w:after="0"/>
        <w:ind w:left="567"/>
        <w:jc w:val="both"/>
        <w:rPr>
          <w:rFonts w:cstheme="minorHAnsi"/>
          <w:sz w:val="20"/>
          <w:szCs w:val="20"/>
        </w:rPr>
      </w:pPr>
      <w:r w:rsidRPr="004464B0">
        <w:rPr>
          <w:rFonts w:cstheme="minorHAnsi"/>
          <w:sz w:val="20"/>
          <w:szCs w:val="20"/>
        </w:rPr>
        <w:t>Infarctus aigu du myocarde</w:t>
      </w:r>
    </w:p>
    <w:p w:rsidR="00346212" w:rsidRPr="004464B0" w:rsidRDefault="00346212" w:rsidP="004464B0">
      <w:pPr>
        <w:pStyle w:val="Paragraphedeliste"/>
        <w:numPr>
          <w:ilvl w:val="0"/>
          <w:numId w:val="6"/>
        </w:numPr>
        <w:tabs>
          <w:tab w:val="center" w:pos="927"/>
        </w:tabs>
        <w:spacing w:after="0"/>
        <w:ind w:left="567"/>
        <w:jc w:val="both"/>
        <w:rPr>
          <w:rFonts w:cstheme="minorHAnsi"/>
          <w:sz w:val="20"/>
          <w:szCs w:val="20"/>
        </w:rPr>
      </w:pPr>
      <w:r w:rsidRPr="004464B0">
        <w:rPr>
          <w:rFonts w:cstheme="minorHAnsi"/>
          <w:sz w:val="20"/>
          <w:szCs w:val="20"/>
        </w:rPr>
        <w:lastRenderedPageBreak/>
        <w:t>Hypertension</w:t>
      </w:r>
    </w:p>
    <w:p w:rsidR="00346212" w:rsidRPr="004464B0" w:rsidRDefault="00346212" w:rsidP="004464B0">
      <w:pPr>
        <w:pStyle w:val="Paragraphedeliste"/>
        <w:numPr>
          <w:ilvl w:val="0"/>
          <w:numId w:val="6"/>
        </w:numPr>
        <w:tabs>
          <w:tab w:val="center" w:pos="927"/>
        </w:tabs>
        <w:spacing w:after="0"/>
        <w:ind w:left="567"/>
        <w:jc w:val="both"/>
        <w:rPr>
          <w:rFonts w:cstheme="minorHAnsi"/>
          <w:sz w:val="20"/>
          <w:szCs w:val="20"/>
        </w:rPr>
      </w:pPr>
      <w:r w:rsidRPr="004464B0">
        <w:rPr>
          <w:rFonts w:cstheme="minorHAnsi"/>
          <w:sz w:val="20"/>
          <w:szCs w:val="20"/>
        </w:rPr>
        <w:t>Insuffisance cardiaque</w:t>
      </w:r>
    </w:p>
    <w:p w:rsidR="00346212" w:rsidRPr="004464B0" w:rsidRDefault="00346212" w:rsidP="004464B0">
      <w:pPr>
        <w:pStyle w:val="Paragraphedeliste"/>
        <w:numPr>
          <w:ilvl w:val="0"/>
          <w:numId w:val="6"/>
        </w:numPr>
        <w:tabs>
          <w:tab w:val="center" w:pos="927"/>
        </w:tabs>
        <w:spacing w:after="0"/>
        <w:ind w:left="567"/>
        <w:jc w:val="both"/>
        <w:rPr>
          <w:rFonts w:cstheme="minorHAnsi"/>
          <w:sz w:val="20"/>
          <w:szCs w:val="20"/>
        </w:rPr>
      </w:pPr>
      <w:r w:rsidRPr="004464B0">
        <w:rPr>
          <w:rFonts w:cstheme="minorHAnsi"/>
          <w:sz w:val="20"/>
          <w:szCs w:val="20"/>
        </w:rPr>
        <w:t>Le dysfonctionnement endothélial</w:t>
      </w:r>
    </w:p>
    <w:p w:rsidR="00346212" w:rsidRPr="004464B0" w:rsidRDefault="00346212" w:rsidP="004464B0">
      <w:pPr>
        <w:pStyle w:val="Paragraphedeliste"/>
        <w:numPr>
          <w:ilvl w:val="0"/>
          <w:numId w:val="6"/>
        </w:numPr>
        <w:tabs>
          <w:tab w:val="center" w:pos="927"/>
        </w:tabs>
        <w:spacing w:after="0"/>
        <w:ind w:left="567"/>
        <w:jc w:val="both"/>
        <w:rPr>
          <w:rFonts w:cstheme="minorHAnsi"/>
          <w:sz w:val="20"/>
          <w:szCs w:val="20"/>
        </w:rPr>
      </w:pPr>
      <w:r w:rsidRPr="004464B0">
        <w:rPr>
          <w:rFonts w:cstheme="minorHAnsi"/>
          <w:sz w:val="20"/>
          <w:szCs w:val="20"/>
        </w:rPr>
        <w:t>Céphalée migraineuse</w:t>
      </w:r>
    </w:p>
    <w:p w:rsidR="004464B0" w:rsidRPr="004464B0" w:rsidRDefault="004464B0" w:rsidP="004464B0">
      <w:pPr>
        <w:pStyle w:val="Paragraphedeliste"/>
        <w:numPr>
          <w:ilvl w:val="0"/>
          <w:numId w:val="6"/>
        </w:numPr>
        <w:tabs>
          <w:tab w:val="center" w:pos="927"/>
        </w:tabs>
        <w:spacing w:after="0"/>
        <w:ind w:left="567"/>
        <w:jc w:val="both"/>
        <w:rPr>
          <w:rFonts w:cstheme="minorHAnsi"/>
          <w:sz w:val="20"/>
          <w:szCs w:val="20"/>
        </w:rPr>
      </w:pPr>
      <w:r w:rsidRPr="004464B0">
        <w:rPr>
          <w:rFonts w:cstheme="minorHAnsi"/>
          <w:sz w:val="20"/>
          <w:szCs w:val="20"/>
        </w:rPr>
        <w:t>Dystrophie musculaire</w:t>
      </w:r>
    </w:p>
    <w:p w:rsidR="00346212" w:rsidRPr="004464B0" w:rsidRDefault="00346212" w:rsidP="004464B0">
      <w:pPr>
        <w:pStyle w:val="Paragraphedeliste"/>
        <w:numPr>
          <w:ilvl w:val="0"/>
          <w:numId w:val="6"/>
        </w:numPr>
        <w:tabs>
          <w:tab w:val="center" w:pos="927"/>
        </w:tabs>
        <w:spacing w:after="0"/>
        <w:ind w:left="567"/>
        <w:jc w:val="both"/>
        <w:rPr>
          <w:rFonts w:cstheme="minorHAnsi"/>
          <w:sz w:val="20"/>
          <w:szCs w:val="20"/>
        </w:rPr>
      </w:pPr>
      <w:r w:rsidRPr="004464B0">
        <w:rPr>
          <w:rFonts w:cstheme="minorHAnsi"/>
          <w:sz w:val="20"/>
          <w:szCs w:val="20"/>
        </w:rPr>
        <w:t>Myopathie induite par les statines</w:t>
      </w:r>
    </w:p>
    <w:p w:rsidR="00346212" w:rsidRPr="004464B0" w:rsidRDefault="00346212" w:rsidP="004464B0">
      <w:pPr>
        <w:pStyle w:val="Paragraphedeliste"/>
        <w:numPr>
          <w:ilvl w:val="0"/>
          <w:numId w:val="6"/>
        </w:numPr>
        <w:tabs>
          <w:tab w:val="center" w:pos="927"/>
        </w:tabs>
        <w:spacing w:after="0"/>
        <w:ind w:left="567"/>
        <w:jc w:val="both"/>
        <w:rPr>
          <w:rFonts w:cstheme="minorHAnsi"/>
          <w:sz w:val="20"/>
          <w:szCs w:val="20"/>
        </w:rPr>
      </w:pPr>
      <w:r w:rsidRPr="004464B0">
        <w:rPr>
          <w:rFonts w:cstheme="minorHAnsi"/>
          <w:sz w:val="20"/>
          <w:szCs w:val="20"/>
        </w:rPr>
        <w:t xml:space="preserve">Maladie </w:t>
      </w:r>
      <w:proofErr w:type="spellStart"/>
      <w:r w:rsidRPr="004464B0">
        <w:rPr>
          <w:rFonts w:cstheme="minorHAnsi"/>
          <w:sz w:val="20"/>
          <w:szCs w:val="20"/>
        </w:rPr>
        <w:t>péridontale</w:t>
      </w:r>
      <w:proofErr w:type="spellEnd"/>
    </w:p>
    <w:p w:rsidR="004464B0" w:rsidRPr="004464B0" w:rsidRDefault="004464B0" w:rsidP="004464B0">
      <w:pPr>
        <w:pStyle w:val="Paragraphedeliste"/>
        <w:numPr>
          <w:ilvl w:val="0"/>
          <w:numId w:val="6"/>
        </w:numPr>
        <w:tabs>
          <w:tab w:val="center" w:pos="927"/>
        </w:tabs>
        <w:spacing w:after="0"/>
        <w:ind w:left="567"/>
        <w:jc w:val="both"/>
        <w:rPr>
          <w:rFonts w:cstheme="minorHAnsi"/>
          <w:sz w:val="20"/>
          <w:szCs w:val="20"/>
        </w:rPr>
      </w:pPr>
      <w:r w:rsidRPr="004464B0">
        <w:rPr>
          <w:rFonts w:cstheme="minorHAnsi"/>
          <w:sz w:val="20"/>
          <w:szCs w:val="20"/>
        </w:rPr>
        <w:t>Oligospermie</w:t>
      </w:r>
    </w:p>
    <w:p w:rsidR="004464B0" w:rsidRPr="004464B0" w:rsidRDefault="004464B0" w:rsidP="004464B0">
      <w:pPr>
        <w:pStyle w:val="Paragraphedeliste"/>
        <w:numPr>
          <w:ilvl w:val="0"/>
          <w:numId w:val="6"/>
        </w:numPr>
        <w:tabs>
          <w:tab w:val="center" w:pos="927"/>
        </w:tabs>
        <w:spacing w:after="0"/>
        <w:ind w:left="567"/>
        <w:jc w:val="both"/>
        <w:rPr>
          <w:rFonts w:cstheme="minorHAnsi"/>
          <w:sz w:val="20"/>
          <w:szCs w:val="20"/>
        </w:rPr>
      </w:pPr>
      <w:r w:rsidRPr="004464B0">
        <w:rPr>
          <w:rFonts w:cstheme="minorHAnsi"/>
          <w:sz w:val="20"/>
          <w:szCs w:val="20"/>
        </w:rPr>
        <w:t>La maladie de Parkinson</w:t>
      </w:r>
    </w:p>
    <w:p w:rsidR="004464B0" w:rsidRPr="004464B0" w:rsidRDefault="004464B0" w:rsidP="004464B0">
      <w:pPr>
        <w:pStyle w:val="Paragraphedeliste"/>
        <w:numPr>
          <w:ilvl w:val="0"/>
          <w:numId w:val="6"/>
        </w:numPr>
        <w:tabs>
          <w:tab w:val="center" w:pos="927"/>
        </w:tabs>
        <w:spacing w:after="0"/>
        <w:ind w:left="567"/>
        <w:jc w:val="both"/>
        <w:rPr>
          <w:rFonts w:cstheme="minorHAnsi"/>
          <w:sz w:val="20"/>
          <w:szCs w:val="20"/>
        </w:rPr>
      </w:pPr>
      <w:r w:rsidRPr="004464B0">
        <w:rPr>
          <w:rFonts w:cstheme="minorHAnsi"/>
          <w:sz w:val="20"/>
          <w:szCs w:val="20"/>
        </w:rPr>
        <w:t>La maladie d'Alzheimer</w:t>
      </w:r>
    </w:p>
    <w:p w:rsidR="0030009E" w:rsidRPr="004464B0" w:rsidRDefault="00346212" w:rsidP="004464B0">
      <w:pPr>
        <w:pStyle w:val="Paragraphedeliste"/>
        <w:numPr>
          <w:ilvl w:val="0"/>
          <w:numId w:val="6"/>
        </w:numPr>
        <w:tabs>
          <w:tab w:val="center" w:pos="927"/>
        </w:tabs>
        <w:spacing w:after="0"/>
        <w:ind w:left="567"/>
        <w:jc w:val="both"/>
        <w:rPr>
          <w:rFonts w:cstheme="minorHAnsi"/>
          <w:sz w:val="20"/>
          <w:szCs w:val="20"/>
        </w:rPr>
      </w:pPr>
      <w:r w:rsidRPr="004464B0">
        <w:rPr>
          <w:rFonts w:cstheme="minorHAnsi"/>
          <w:sz w:val="20"/>
          <w:szCs w:val="20"/>
        </w:rPr>
        <w:t>Maladie de Huntington</w:t>
      </w:r>
    </w:p>
    <w:p w:rsidR="004464B0" w:rsidRPr="004464B0" w:rsidRDefault="004464B0" w:rsidP="004464B0">
      <w:pPr>
        <w:pStyle w:val="Paragraphedeliste"/>
        <w:tabs>
          <w:tab w:val="center" w:pos="927"/>
        </w:tabs>
        <w:spacing w:after="0"/>
        <w:ind w:left="567"/>
        <w:jc w:val="both"/>
        <w:rPr>
          <w:rFonts w:cstheme="minorHAnsi"/>
          <w:sz w:val="20"/>
          <w:szCs w:val="20"/>
        </w:rPr>
      </w:pPr>
    </w:p>
    <w:p w:rsidR="002536E2" w:rsidRPr="004464B0" w:rsidRDefault="004E3701" w:rsidP="004464B0">
      <w:pPr>
        <w:spacing w:after="0"/>
        <w:jc w:val="both"/>
        <w:rPr>
          <w:rFonts w:cstheme="minorHAnsi"/>
          <w:b/>
          <w:bCs/>
          <w:sz w:val="20"/>
          <w:szCs w:val="20"/>
          <w:u w:val="single"/>
        </w:rPr>
      </w:pPr>
      <w:r>
        <w:rPr>
          <w:rFonts w:cstheme="minorHAnsi"/>
          <w:b/>
          <w:bCs/>
          <w:sz w:val="20"/>
          <w:szCs w:val="20"/>
          <w:u w:val="single"/>
        </w:rPr>
        <w:t>POSOLOGIE</w:t>
      </w:r>
      <w:r w:rsidR="002536E2" w:rsidRPr="004464B0">
        <w:rPr>
          <w:rFonts w:cstheme="minorHAnsi"/>
          <w:b/>
          <w:bCs/>
          <w:sz w:val="20"/>
          <w:szCs w:val="20"/>
          <w:u w:val="single"/>
        </w:rPr>
        <w:t xml:space="preserve"> :</w:t>
      </w:r>
    </w:p>
    <w:p w:rsidR="002536E2" w:rsidRPr="004464B0" w:rsidRDefault="00C226D5" w:rsidP="00103A99">
      <w:pPr>
        <w:spacing w:after="0"/>
        <w:jc w:val="both"/>
        <w:rPr>
          <w:rFonts w:cstheme="minorHAnsi"/>
          <w:sz w:val="20"/>
          <w:szCs w:val="20"/>
        </w:rPr>
      </w:pPr>
      <w:r w:rsidRPr="004464B0">
        <w:rPr>
          <w:rFonts w:cstheme="minorHAnsi"/>
          <w:sz w:val="20"/>
          <w:szCs w:val="20"/>
        </w:rPr>
        <w:t xml:space="preserve">1 à 2 </w:t>
      </w:r>
      <w:r w:rsidR="00D23F42" w:rsidRPr="004464B0">
        <w:rPr>
          <w:rFonts w:cstheme="minorHAnsi"/>
          <w:sz w:val="20"/>
          <w:szCs w:val="20"/>
        </w:rPr>
        <w:t>gélule</w:t>
      </w:r>
      <w:r w:rsidRPr="004464B0">
        <w:rPr>
          <w:rFonts w:cstheme="minorHAnsi"/>
          <w:sz w:val="20"/>
          <w:szCs w:val="20"/>
        </w:rPr>
        <w:t xml:space="preserve">s par jour </w:t>
      </w:r>
      <w:r w:rsidR="002536E2" w:rsidRPr="004464B0">
        <w:rPr>
          <w:rFonts w:cstheme="minorHAnsi"/>
          <w:sz w:val="20"/>
          <w:szCs w:val="20"/>
        </w:rPr>
        <w:t>ou selon les directives du médecin</w:t>
      </w:r>
      <w:r w:rsidR="00103A99">
        <w:rPr>
          <w:rFonts w:cstheme="minorHAnsi"/>
          <w:sz w:val="20"/>
          <w:szCs w:val="20"/>
        </w:rPr>
        <w:t xml:space="preserve"> ou pharmacien</w:t>
      </w:r>
      <w:r w:rsidRPr="004464B0">
        <w:rPr>
          <w:rFonts w:cstheme="minorHAnsi"/>
          <w:sz w:val="20"/>
          <w:szCs w:val="20"/>
        </w:rPr>
        <w:t>.</w:t>
      </w:r>
    </w:p>
    <w:p w:rsidR="002536E2" w:rsidRPr="004464B0" w:rsidRDefault="002536E2" w:rsidP="004464B0">
      <w:pPr>
        <w:spacing w:after="0"/>
        <w:jc w:val="both"/>
        <w:rPr>
          <w:rFonts w:cstheme="minorHAnsi"/>
          <w:sz w:val="20"/>
          <w:szCs w:val="20"/>
        </w:rPr>
      </w:pPr>
    </w:p>
    <w:p w:rsidR="002536E2" w:rsidRPr="004464B0" w:rsidRDefault="002536E2" w:rsidP="004464B0">
      <w:pPr>
        <w:spacing w:after="0"/>
        <w:jc w:val="both"/>
        <w:rPr>
          <w:rFonts w:cstheme="minorHAnsi"/>
          <w:b/>
          <w:bCs/>
          <w:sz w:val="20"/>
          <w:szCs w:val="20"/>
          <w:u w:val="single"/>
        </w:rPr>
      </w:pPr>
      <w:r w:rsidRPr="004464B0">
        <w:rPr>
          <w:rFonts w:cstheme="minorHAnsi"/>
          <w:b/>
          <w:bCs/>
          <w:sz w:val="20"/>
          <w:szCs w:val="20"/>
          <w:u w:val="single"/>
        </w:rPr>
        <w:t>CONTRE-INDICATIONS :</w:t>
      </w:r>
    </w:p>
    <w:p w:rsidR="0030009E" w:rsidRPr="004464B0" w:rsidRDefault="00346212" w:rsidP="00F47BE0">
      <w:pPr>
        <w:spacing w:after="0"/>
        <w:jc w:val="both"/>
        <w:rPr>
          <w:rFonts w:cstheme="minorHAnsi"/>
          <w:sz w:val="20"/>
          <w:szCs w:val="20"/>
        </w:rPr>
      </w:pPr>
      <w:r w:rsidRPr="004464B0">
        <w:rPr>
          <w:rFonts w:cstheme="minorHAnsi"/>
          <w:sz w:val="20"/>
          <w:szCs w:val="20"/>
        </w:rPr>
        <w:t xml:space="preserve">Les </w:t>
      </w:r>
      <w:r w:rsidR="00F47BE0">
        <w:rPr>
          <w:rFonts w:cstheme="minorHAnsi"/>
          <w:sz w:val="20"/>
          <w:szCs w:val="20"/>
        </w:rPr>
        <w:t>gélule</w:t>
      </w:r>
      <w:r w:rsidRPr="004464B0">
        <w:rPr>
          <w:rFonts w:cstheme="minorHAnsi"/>
          <w:sz w:val="20"/>
          <w:szCs w:val="20"/>
        </w:rPr>
        <w:t xml:space="preserve">s </w:t>
      </w:r>
      <w:r w:rsidR="004464B0" w:rsidRPr="004464B0">
        <w:rPr>
          <w:rFonts w:cstheme="minorHAnsi"/>
          <w:b/>
          <w:bCs/>
          <w:sz w:val="20"/>
          <w:szCs w:val="20"/>
        </w:rPr>
        <w:t xml:space="preserve">MAXICARDIO® </w:t>
      </w:r>
      <w:r w:rsidRPr="004464B0">
        <w:rPr>
          <w:rFonts w:cstheme="minorHAnsi"/>
          <w:sz w:val="20"/>
          <w:szCs w:val="20"/>
        </w:rPr>
        <w:t>sont contre-indiquées chez les patients présentant une hypersensibilité à ses ingrédients. Il est également contre-indiqué chez les patients présentant une pression artérielle anormalement basse, des maladies rénales et des problèmes hépatiques.</w:t>
      </w:r>
    </w:p>
    <w:p w:rsidR="00346212" w:rsidRPr="004464B0" w:rsidRDefault="00346212" w:rsidP="004464B0">
      <w:pPr>
        <w:spacing w:after="0"/>
        <w:jc w:val="both"/>
        <w:rPr>
          <w:rFonts w:cstheme="minorHAnsi"/>
          <w:sz w:val="20"/>
          <w:szCs w:val="20"/>
        </w:rPr>
      </w:pPr>
    </w:p>
    <w:p w:rsidR="002536E2" w:rsidRPr="004464B0" w:rsidRDefault="002536E2" w:rsidP="004464B0">
      <w:pPr>
        <w:spacing w:after="0"/>
        <w:jc w:val="both"/>
        <w:rPr>
          <w:rFonts w:cstheme="minorHAnsi"/>
          <w:b/>
          <w:bCs/>
          <w:sz w:val="20"/>
          <w:szCs w:val="20"/>
          <w:u w:val="single"/>
        </w:rPr>
      </w:pPr>
      <w:r w:rsidRPr="004464B0">
        <w:rPr>
          <w:rFonts w:cstheme="minorHAnsi"/>
          <w:b/>
          <w:bCs/>
          <w:sz w:val="20"/>
          <w:szCs w:val="20"/>
          <w:u w:val="single"/>
        </w:rPr>
        <w:t>EFFETS INDÉSIRABLES :</w:t>
      </w:r>
    </w:p>
    <w:p w:rsidR="00FA3D51" w:rsidRPr="004464B0" w:rsidRDefault="00346212" w:rsidP="004464B0">
      <w:pPr>
        <w:spacing w:after="0"/>
        <w:jc w:val="both"/>
        <w:rPr>
          <w:rFonts w:cstheme="minorHAnsi"/>
          <w:sz w:val="20"/>
          <w:szCs w:val="20"/>
        </w:rPr>
      </w:pPr>
      <w:r w:rsidRPr="004464B0">
        <w:rPr>
          <w:rFonts w:cstheme="minorHAnsi"/>
          <w:sz w:val="20"/>
          <w:szCs w:val="20"/>
        </w:rPr>
        <w:t>Les effets indésirables de ce complément sont des troubles gastro-intestinaux, des nausées, des vomissements, des brûlures d'estomac, de la diarrhée, des convulsions, une perte d'appétit, des maux d'estomac et des crampes abdominales.</w:t>
      </w:r>
    </w:p>
    <w:p w:rsidR="0030009E" w:rsidRPr="004464B0" w:rsidRDefault="0030009E" w:rsidP="004464B0">
      <w:pPr>
        <w:spacing w:after="0"/>
        <w:jc w:val="both"/>
        <w:rPr>
          <w:rFonts w:cstheme="minorHAnsi"/>
          <w:sz w:val="20"/>
          <w:szCs w:val="20"/>
        </w:rPr>
      </w:pPr>
    </w:p>
    <w:p w:rsidR="002536E2" w:rsidRPr="004464B0" w:rsidRDefault="001B0C85" w:rsidP="004464B0">
      <w:pPr>
        <w:spacing w:after="0"/>
        <w:jc w:val="both"/>
        <w:rPr>
          <w:rFonts w:cstheme="minorHAnsi"/>
          <w:b/>
          <w:bCs/>
          <w:sz w:val="20"/>
          <w:szCs w:val="20"/>
          <w:u w:val="single"/>
        </w:rPr>
      </w:pPr>
      <w:r w:rsidRPr="004464B0">
        <w:rPr>
          <w:rFonts w:cstheme="minorHAnsi"/>
          <w:b/>
          <w:bCs/>
          <w:sz w:val="20"/>
          <w:szCs w:val="20"/>
          <w:u w:val="single"/>
        </w:rPr>
        <w:t xml:space="preserve">LES </w:t>
      </w:r>
      <w:r w:rsidR="002536E2" w:rsidRPr="004464B0">
        <w:rPr>
          <w:rFonts w:cstheme="minorHAnsi"/>
          <w:b/>
          <w:bCs/>
          <w:sz w:val="20"/>
          <w:szCs w:val="20"/>
          <w:u w:val="single"/>
        </w:rPr>
        <w:t>PRÉCAUTION</w:t>
      </w:r>
      <w:r w:rsidRPr="004464B0">
        <w:rPr>
          <w:rFonts w:cstheme="minorHAnsi"/>
          <w:b/>
          <w:bCs/>
          <w:sz w:val="20"/>
          <w:szCs w:val="20"/>
          <w:u w:val="single"/>
        </w:rPr>
        <w:t>S D’EMPLOI</w:t>
      </w:r>
      <w:r w:rsidR="002536E2" w:rsidRPr="004464B0">
        <w:rPr>
          <w:rFonts w:cstheme="minorHAnsi"/>
          <w:b/>
          <w:bCs/>
          <w:sz w:val="20"/>
          <w:szCs w:val="20"/>
          <w:u w:val="single"/>
        </w:rPr>
        <w:t xml:space="preserve"> :</w:t>
      </w:r>
    </w:p>
    <w:p w:rsidR="00346212" w:rsidRPr="004464B0" w:rsidRDefault="004464B0" w:rsidP="004464B0">
      <w:pPr>
        <w:spacing w:after="0"/>
        <w:jc w:val="both"/>
        <w:rPr>
          <w:rFonts w:cstheme="minorHAnsi"/>
          <w:sz w:val="20"/>
          <w:szCs w:val="20"/>
        </w:rPr>
      </w:pPr>
      <w:r w:rsidRPr="004464B0">
        <w:rPr>
          <w:rFonts w:cstheme="minorHAnsi"/>
          <w:b/>
          <w:bCs/>
          <w:sz w:val="20"/>
          <w:szCs w:val="20"/>
        </w:rPr>
        <w:t xml:space="preserve">MAXICARDIO® </w:t>
      </w:r>
      <w:r w:rsidR="00346212" w:rsidRPr="004464B0">
        <w:rPr>
          <w:rFonts w:cstheme="minorHAnsi"/>
          <w:sz w:val="20"/>
          <w:szCs w:val="20"/>
        </w:rPr>
        <w:t xml:space="preserve">est considéré comme sûr lorsqu'il est administré selon l'utilisation recommandée, même pendant la grossesse et l'allaitement. Cependant, il est préférable de consulter votre médecin </w:t>
      </w:r>
      <w:r w:rsidR="00103A99">
        <w:rPr>
          <w:rFonts w:cstheme="minorHAnsi"/>
          <w:sz w:val="20"/>
          <w:szCs w:val="20"/>
        </w:rPr>
        <w:t xml:space="preserve">ou pharmacien </w:t>
      </w:r>
      <w:r w:rsidR="00346212" w:rsidRPr="004464B0">
        <w:rPr>
          <w:rFonts w:cstheme="minorHAnsi"/>
          <w:sz w:val="20"/>
          <w:szCs w:val="20"/>
        </w:rPr>
        <w:t>avant d'utiliser ce produit.</w:t>
      </w:r>
    </w:p>
    <w:p w:rsidR="00346212" w:rsidRPr="004464B0" w:rsidRDefault="00346212" w:rsidP="004464B0">
      <w:pPr>
        <w:spacing w:after="0"/>
        <w:jc w:val="both"/>
        <w:rPr>
          <w:rFonts w:cstheme="minorHAnsi"/>
          <w:sz w:val="20"/>
          <w:szCs w:val="20"/>
        </w:rPr>
      </w:pPr>
    </w:p>
    <w:p w:rsidR="00FA3D51" w:rsidRPr="004464B0" w:rsidRDefault="00346212" w:rsidP="004464B0">
      <w:pPr>
        <w:spacing w:after="0"/>
        <w:jc w:val="both"/>
        <w:rPr>
          <w:rFonts w:cstheme="minorHAnsi"/>
          <w:sz w:val="20"/>
          <w:szCs w:val="20"/>
        </w:rPr>
      </w:pPr>
      <w:r w:rsidRPr="004464B0">
        <w:rPr>
          <w:rFonts w:cstheme="minorHAnsi"/>
          <w:sz w:val="20"/>
          <w:szCs w:val="20"/>
        </w:rPr>
        <w:t xml:space="preserve">Si vous avez un problème de santé antérieur, il est préférable d'en discuter avec votre médecin </w:t>
      </w:r>
      <w:r w:rsidR="00103A99">
        <w:rPr>
          <w:rFonts w:cstheme="minorHAnsi"/>
          <w:sz w:val="20"/>
          <w:szCs w:val="20"/>
        </w:rPr>
        <w:t xml:space="preserve">ou pharmacien </w:t>
      </w:r>
      <w:r w:rsidRPr="004464B0">
        <w:rPr>
          <w:rFonts w:cstheme="minorHAnsi"/>
          <w:sz w:val="20"/>
          <w:szCs w:val="20"/>
        </w:rPr>
        <w:t>avant d'utiliser ce produit.</w:t>
      </w:r>
      <w:bookmarkStart w:id="0" w:name="_GoBack"/>
      <w:bookmarkEnd w:id="0"/>
    </w:p>
    <w:p w:rsidR="008F6D5D" w:rsidRPr="004464B0" w:rsidRDefault="008F6D5D" w:rsidP="004464B0">
      <w:pPr>
        <w:spacing w:after="0"/>
        <w:jc w:val="both"/>
        <w:rPr>
          <w:rFonts w:cstheme="minorHAnsi"/>
          <w:sz w:val="20"/>
          <w:szCs w:val="20"/>
        </w:rPr>
      </w:pPr>
    </w:p>
    <w:p w:rsidR="002536E2" w:rsidRPr="004464B0" w:rsidRDefault="002536E2" w:rsidP="004464B0">
      <w:pPr>
        <w:spacing w:after="0"/>
        <w:jc w:val="both"/>
        <w:rPr>
          <w:rFonts w:cstheme="minorHAnsi"/>
          <w:b/>
          <w:bCs/>
          <w:sz w:val="20"/>
          <w:szCs w:val="20"/>
          <w:u w:val="single"/>
        </w:rPr>
      </w:pPr>
      <w:r w:rsidRPr="004464B0">
        <w:rPr>
          <w:rFonts w:cstheme="minorHAnsi"/>
          <w:b/>
          <w:bCs/>
          <w:sz w:val="20"/>
          <w:szCs w:val="20"/>
          <w:u w:val="single"/>
        </w:rPr>
        <w:t>PRÉSENTATION :</w:t>
      </w:r>
    </w:p>
    <w:p w:rsidR="00D23F42" w:rsidRPr="004464B0" w:rsidRDefault="00D23F42" w:rsidP="00AF208D">
      <w:pPr>
        <w:spacing w:after="0"/>
        <w:jc w:val="both"/>
        <w:rPr>
          <w:rFonts w:cstheme="minorHAnsi"/>
          <w:sz w:val="20"/>
          <w:szCs w:val="20"/>
        </w:rPr>
      </w:pPr>
      <w:r w:rsidRPr="004464B0">
        <w:rPr>
          <w:rFonts w:cstheme="minorHAnsi"/>
          <w:sz w:val="20"/>
          <w:szCs w:val="20"/>
        </w:rPr>
        <w:t xml:space="preserve">Les gélules </w:t>
      </w:r>
      <w:r w:rsidR="00AF208D" w:rsidRPr="004464B0">
        <w:rPr>
          <w:rFonts w:cstheme="minorHAnsi"/>
          <w:b/>
          <w:bCs/>
          <w:sz w:val="20"/>
          <w:szCs w:val="20"/>
        </w:rPr>
        <w:t>MAXICARDIO®</w:t>
      </w:r>
      <w:r w:rsidRPr="004464B0">
        <w:rPr>
          <w:rFonts w:cstheme="minorHAnsi"/>
          <w:sz w:val="20"/>
          <w:szCs w:val="20"/>
        </w:rPr>
        <w:t xml:space="preserve"> sont disponibles dans des piluliers de 30 gélules.</w:t>
      </w:r>
    </w:p>
    <w:p w:rsidR="0030009E" w:rsidRPr="004464B0" w:rsidRDefault="0030009E" w:rsidP="004464B0">
      <w:pPr>
        <w:spacing w:after="0"/>
        <w:jc w:val="both"/>
        <w:rPr>
          <w:rFonts w:cstheme="minorHAnsi"/>
          <w:sz w:val="20"/>
          <w:szCs w:val="20"/>
        </w:rPr>
      </w:pPr>
    </w:p>
    <w:p w:rsidR="002536E2" w:rsidRPr="004464B0" w:rsidRDefault="002536E2" w:rsidP="004464B0">
      <w:pPr>
        <w:spacing w:after="0"/>
        <w:jc w:val="both"/>
        <w:rPr>
          <w:rFonts w:cstheme="minorHAnsi"/>
          <w:b/>
          <w:bCs/>
          <w:sz w:val="20"/>
          <w:szCs w:val="20"/>
          <w:u w:val="single"/>
        </w:rPr>
      </w:pPr>
      <w:r w:rsidRPr="004464B0">
        <w:rPr>
          <w:rFonts w:cstheme="minorHAnsi"/>
          <w:b/>
          <w:bCs/>
          <w:sz w:val="20"/>
          <w:szCs w:val="20"/>
          <w:u w:val="single"/>
        </w:rPr>
        <w:t>AVERTISSEMENT</w:t>
      </w:r>
      <w:r w:rsidR="00893C60" w:rsidRPr="004464B0">
        <w:rPr>
          <w:rFonts w:cstheme="minorHAnsi"/>
          <w:b/>
          <w:bCs/>
          <w:sz w:val="20"/>
          <w:szCs w:val="20"/>
          <w:u w:val="single"/>
        </w:rPr>
        <w:t xml:space="preserve"> </w:t>
      </w:r>
      <w:r w:rsidRPr="004464B0">
        <w:rPr>
          <w:rFonts w:cstheme="minorHAnsi"/>
          <w:b/>
          <w:bCs/>
          <w:sz w:val="20"/>
          <w:szCs w:val="20"/>
          <w:u w:val="single"/>
        </w:rPr>
        <w:t>:</w:t>
      </w:r>
    </w:p>
    <w:p w:rsidR="002536E2" w:rsidRPr="004464B0" w:rsidRDefault="001137EE" w:rsidP="004464B0">
      <w:pPr>
        <w:spacing w:after="0"/>
        <w:jc w:val="both"/>
        <w:rPr>
          <w:rFonts w:cstheme="minorHAnsi"/>
          <w:sz w:val="20"/>
          <w:szCs w:val="20"/>
        </w:rPr>
      </w:pPr>
      <w:r w:rsidRPr="004464B0">
        <w:rPr>
          <w:rFonts w:cstheme="minorHAnsi"/>
          <w:sz w:val="20"/>
          <w:szCs w:val="20"/>
        </w:rPr>
        <w:t xml:space="preserve">Lisez toujours les instructions du produit avant utilisation. Ne pas dépasser la dose recommandée. Si vous souffrez d'allergies alimentaires, assurez-vous d'en parler à votre professionnel </w:t>
      </w:r>
      <w:r w:rsidR="0022297D" w:rsidRPr="004464B0">
        <w:rPr>
          <w:rFonts w:cstheme="minorHAnsi"/>
          <w:sz w:val="20"/>
          <w:szCs w:val="20"/>
        </w:rPr>
        <w:t xml:space="preserve">de la santé avant d'utiliser ce produit. </w:t>
      </w:r>
      <w:r w:rsidRPr="004464B0">
        <w:rPr>
          <w:rFonts w:cstheme="minorHAnsi"/>
          <w:sz w:val="20"/>
          <w:szCs w:val="20"/>
        </w:rPr>
        <w:t>Les suppléments de vitamines, d'acides aminés, de minéraux ou de plantes médicinales ne sont pas destinés à traiter ou prévenir une maladie. Les compléments alimentaires ne doivent pas remplacer une alimentation équilibrée et variée et un mode de vie sain. Veuillez consulter votre professionnel de la santé avant de tirer des conclusions concernant votre état de santé. Jetez correctement ce supplément lorsqu'il est expiré ou qu'il n'est plus nécessaire. Conserver dans un endroit frais, sec, sombre et à l'abri de la lumière directe du soleil. Ne pas réfrigérer. Gardez ce produit hors de portée des enfants.</w:t>
      </w:r>
    </w:p>
    <w:sectPr w:rsidR="002536E2" w:rsidRPr="004464B0" w:rsidSect="00103A99">
      <w:footerReference w:type="default" r:id="rId8"/>
      <w:pgSz w:w="11906" w:h="16838" w:code="9"/>
      <w:pgMar w:top="284" w:right="567" w:bottom="284" w:left="567" w:header="709" w:footer="0" w:gutter="0"/>
      <w:cols w:num="2" w:space="28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C85" w:rsidRDefault="001B0C85" w:rsidP="007008A5">
      <w:pPr>
        <w:spacing w:after="0" w:line="240" w:lineRule="auto"/>
      </w:pPr>
      <w:r>
        <w:separator/>
      </w:r>
    </w:p>
  </w:endnote>
  <w:endnote w:type="continuationSeparator" w:id="0">
    <w:p w:rsidR="001B0C85" w:rsidRDefault="001B0C85" w:rsidP="00700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1044843"/>
      <w:docPartObj>
        <w:docPartGallery w:val="Page Numbers (Bottom of Page)"/>
        <w:docPartUnique/>
      </w:docPartObj>
    </w:sdtPr>
    <w:sdtEndPr/>
    <w:sdtContent>
      <w:p w:rsidR="001B0C85" w:rsidRDefault="001B0C85">
        <w:pPr>
          <w:pStyle w:val="Pieddepage"/>
          <w:jc w:val="center"/>
        </w:pPr>
        <w:r>
          <w:fldChar w:fldCharType="begin"/>
        </w:r>
        <w:r>
          <w:instrText>PAGE   \* MERGEFORMAT</w:instrText>
        </w:r>
        <w:r>
          <w:fldChar w:fldCharType="separate"/>
        </w:r>
        <w:r w:rsidR="00504B28">
          <w:rPr>
            <w:noProof/>
          </w:rPr>
          <w:t>1</w:t>
        </w:r>
        <w:r>
          <w:fldChar w:fldCharType="end"/>
        </w:r>
      </w:p>
    </w:sdtContent>
  </w:sdt>
  <w:p w:rsidR="001B0C85" w:rsidRDefault="001B0C8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C85" w:rsidRDefault="001B0C85" w:rsidP="007008A5">
      <w:pPr>
        <w:spacing w:after="0" w:line="240" w:lineRule="auto"/>
      </w:pPr>
      <w:r>
        <w:separator/>
      </w:r>
    </w:p>
  </w:footnote>
  <w:footnote w:type="continuationSeparator" w:id="0">
    <w:p w:rsidR="001B0C85" w:rsidRDefault="001B0C85" w:rsidP="00700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10AB0"/>
    <w:multiLevelType w:val="hybridMultilevel"/>
    <w:tmpl w:val="577A7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A41756F"/>
    <w:multiLevelType w:val="hybridMultilevel"/>
    <w:tmpl w:val="DE92350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5CFB4BFF"/>
    <w:multiLevelType w:val="hybridMultilevel"/>
    <w:tmpl w:val="6374D01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15:restartNumberingAfterBreak="0">
    <w:nsid w:val="5E7D3BA6"/>
    <w:multiLevelType w:val="hybridMultilevel"/>
    <w:tmpl w:val="0910194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15:restartNumberingAfterBreak="0">
    <w:nsid w:val="5F7314BB"/>
    <w:multiLevelType w:val="hybridMultilevel"/>
    <w:tmpl w:val="17B603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49E2266"/>
    <w:multiLevelType w:val="hybridMultilevel"/>
    <w:tmpl w:val="D32E431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6E2"/>
    <w:rsid w:val="00061A2C"/>
    <w:rsid w:val="00103A99"/>
    <w:rsid w:val="001137EE"/>
    <w:rsid w:val="001B0C85"/>
    <w:rsid w:val="002105AC"/>
    <w:rsid w:val="0022297D"/>
    <w:rsid w:val="0025164C"/>
    <w:rsid w:val="002536E2"/>
    <w:rsid w:val="00261BAB"/>
    <w:rsid w:val="00261BCD"/>
    <w:rsid w:val="002C0930"/>
    <w:rsid w:val="0030009E"/>
    <w:rsid w:val="00346212"/>
    <w:rsid w:val="00387F99"/>
    <w:rsid w:val="00393156"/>
    <w:rsid w:val="004078E6"/>
    <w:rsid w:val="004464B0"/>
    <w:rsid w:val="0049218A"/>
    <w:rsid w:val="004E3701"/>
    <w:rsid w:val="00504B28"/>
    <w:rsid w:val="0059607B"/>
    <w:rsid w:val="007008A5"/>
    <w:rsid w:val="0073380D"/>
    <w:rsid w:val="008869B4"/>
    <w:rsid w:val="00893C60"/>
    <w:rsid w:val="008F18C5"/>
    <w:rsid w:val="008F6D5D"/>
    <w:rsid w:val="00966FDE"/>
    <w:rsid w:val="009C3C67"/>
    <w:rsid w:val="009F1DF9"/>
    <w:rsid w:val="00A50D39"/>
    <w:rsid w:val="00AF208D"/>
    <w:rsid w:val="00B53F4A"/>
    <w:rsid w:val="00C226D5"/>
    <w:rsid w:val="00C32699"/>
    <w:rsid w:val="00CB7261"/>
    <w:rsid w:val="00D23F42"/>
    <w:rsid w:val="00D40FD3"/>
    <w:rsid w:val="00D600BD"/>
    <w:rsid w:val="00DC292A"/>
    <w:rsid w:val="00E43E47"/>
    <w:rsid w:val="00EA29A5"/>
    <w:rsid w:val="00F47BE0"/>
    <w:rsid w:val="00FA3D5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B20F8B4"/>
  <w15:chartTrackingRefBased/>
  <w15:docId w15:val="{3813208A-B4E4-4289-9BBA-27A58B1D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53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008A5"/>
    <w:pPr>
      <w:ind w:left="720"/>
      <w:contextualSpacing/>
    </w:pPr>
  </w:style>
  <w:style w:type="paragraph" w:styleId="En-tte">
    <w:name w:val="header"/>
    <w:basedOn w:val="Normal"/>
    <w:link w:val="En-tteCar"/>
    <w:uiPriority w:val="99"/>
    <w:unhideWhenUsed/>
    <w:rsid w:val="007008A5"/>
    <w:pPr>
      <w:tabs>
        <w:tab w:val="center" w:pos="4536"/>
        <w:tab w:val="right" w:pos="9072"/>
      </w:tabs>
      <w:spacing w:after="0" w:line="240" w:lineRule="auto"/>
    </w:pPr>
  </w:style>
  <w:style w:type="character" w:customStyle="1" w:styleId="En-tteCar">
    <w:name w:val="En-tête Car"/>
    <w:basedOn w:val="Policepardfaut"/>
    <w:link w:val="En-tte"/>
    <w:uiPriority w:val="99"/>
    <w:rsid w:val="007008A5"/>
  </w:style>
  <w:style w:type="paragraph" w:styleId="Pieddepage">
    <w:name w:val="footer"/>
    <w:basedOn w:val="Normal"/>
    <w:link w:val="PieddepageCar"/>
    <w:uiPriority w:val="99"/>
    <w:unhideWhenUsed/>
    <w:rsid w:val="007008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0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D54D2-8D98-4BD2-99F5-C8AE5381C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716</Words>
  <Characters>3939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Drani</dc:creator>
  <cp:keywords/>
  <dc:description/>
  <cp:lastModifiedBy>Sana Drani</cp:lastModifiedBy>
  <cp:revision>12</cp:revision>
  <cp:lastPrinted>2020-12-29T19:32:00Z</cp:lastPrinted>
  <dcterms:created xsi:type="dcterms:W3CDTF">2020-12-29T19:40:00Z</dcterms:created>
  <dcterms:modified xsi:type="dcterms:W3CDTF">2021-03-16T15:34:00Z</dcterms:modified>
</cp:coreProperties>
</file>