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EA29A5" w:rsidRDefault="0059607B" w:rsidP="002536E2">
      <w:pPr>
        <w:jc w:val="center"/>
        <w:rPr>
          <w:rFonts w:cstheme="minorHAnsi"/>
          <w:b/>
          <w:bCs/>
          <w:sz w:val="32"/>
          <w:szCs w:val="32"/>
        </w:rPr>
      </w:pPr>
      <w:r>
        <w:rPr>
          <w:rFonts w:cstheme="minorHAnsi"/>
          <w:b/>
          <w:bCs/>
          <w:sz w:val="32"/>
          <w:szCs w:val="32"/>
        </w:rPr>
        <w:t>PROMENO</w:t>
      </w:r>
      <w:r w:rsidR="001137EE" w:rsidRPr="00EA29A5">
        <w:rPr>
          <w:rFonts w:cstheme="minorHAnsi"/>
          <w:b/>
          <w:bCs/>
          <w:sz w:val="32"/>
          <w:szCs w:val="32"/>
        </w:rPr>
        <w:t xml:space="preserve">® </w:t>
      </w:r>
      <w:r w:rsidR="002536E2" w:rsidRPr="00EA29A5">
        <w:rPr>
          <w:rFonts w:cstheme="minorHAnsi"/>
          <w:b/>
          <w:bCs/>
          <w:sz w:val="32"/>
          <w:szCs w:val="32"/>
        </w:rPr>
        <w:t xml:space="preserve"> </w:t>
      </w:r>
    </w:p>
    <w:p w:rsidR="002536E2" w:rsidRPr="0073380D" w:rsidRDefault="007008A5" w:rsidP="0022297D">
      <w:pPr>
        <w:jc w:val="both"/>
        <w:rPr>
          <w:rFonts w:cstheme="minorHAnsi"/>
          <w:b/>
          <w:bCs/>
          <w:sz w:val="19"/>
          <w:szCs w:val="19"/>
          <w:u w:val="single"/>
        </w:rPr>
      </w:pPr>
      <w:r w:rsidRPr="0073380D">
        <w:rPr>
          <w:rFonts w:cstheme="minorHAnsi"/>
          <w:b/>
          <w:bCs/>
          <w:sz w:val="19"/>
          <w:szCs w:val="19"/>
          <w:u w:val="single"/>
        </w:rPr>
        <w:t>COMPOSITION</w:t>
      </w:r>
      <w:r w:rsidR="002536E2" w:rsidRPr="0073380D">
        <w:rPr>
          <w:rFonts w:cstheme="minorHAnsi"/>
          <w:b/>
          <w:bCs/>
          <w:sz w:val="19"/>
          <w:szCs w:val="19"/>
          <w:u w:val="single"/>
        </w:rPr>
        <w:t> :</w:t>
      </w:r>
    </w:p>
    <w:p w:rsidR="0059607B" w:rsidRPr="0073380D" w:rsidRDefault="0059607B" w:rsidP="00094C26">
      <w:pPr>
        <w:spacing w:after="0"/>
        <w:jc w:val="both"/>
        <w:rPr>
          <w:rFonts w:cstheme="minorHAnsi"/>
          <w:sz w:val="19"/>
          <w:szCs w:val="19"/>
        </w:rPr>
      </w:pPr>
      <w:r w:rsidRPr="0073380D">
        <w:rPr>
          <w:rFonts w:cstheme="minorHAnsi"/>
          <w:sz w:val="19"/>
          <w:szCs w:val="19"/>
        </w:rPr>
        <w:t xml:space="preserve">Chaque </w:t>
      </w:r>
      <w:r w:rsidR="00094C26">
        <w:rPr>
          <w:rFonts w:cstheme="minorHAnsi"/>
          <w:sz w:val="19"/>
          <w:szCs w:val="19"/>
        </w:rPr>
        <w:t>gélule</w:t>
      </w:r>
      <w:r w:rsidRPr="0073380D">
        <w:rPr>
          <w:rFonts w:cstheme="minorHAnsi"/>
          <w:sz w:val="19"/>
          <w:szCs w:val="19"/>
        </w:rPr>
        <w:t xml:space="preserve"> de </w:t>
      </w:r>
      <w:r w:rsidRPr="0073380D">
        <w:rPr>
          <w:rFonts w:cstheme="minorHAnsi"/>
          <w:b/>
          <w:bCs/>
          <w:sz w:val="19"/>
          <w:szCs w:val="19"/>
        </w:rPr>
        <w:t xml:space="preserve">PROMENO® </w:t>
      </w:r>
      <w:r w:rsidRPr="0073380D">
        <w:rPr>
          <w:rFonts w:cstheme="minorHAnsi"/>
          <w:sz w:val="19"/>
          <w:szCs w:val="19"/>
        </w:rPr>
        <w:t>contient :</w:t>
      </w:r>
    </w:p>
    <w:p w:rsidR="0059607B" w:rsidRPr="0073380D" w:rsidRDefault="0059607B" w:rsidP="0059607B">
      <w:pPr>
        <w:spacing w:after="0"/>
        <w:jc w:val="both"/>
        <w:rPr>
          <w:rFonts w:cstheme="minorHAnsi"/>
          <w:b/>
          <w:bCs/>
          <w:sz w:val="19"/>
          <w:szCs w:val="19"/>
        </w:rPr>
      </w:pPr>
    </w:p>
    <w:tbl>
      <w:tblPr>
        <w:tblStyle w:val="Grilledutableau"/>
        <w:tblW w:w="0" w:type="auto"/>
        <w:tblLook w:val="04A0" w:firstRow="1" w:lastRow="0" w:firstColumn="1" w:lastColumn="0" w:noHBand="0" w:noVBand="1"/>
      </w:tblPr>
      <w:tblGrid>
        <w:gridCol w:w="2673"/>
        <w:gridCol w:w="2560"/>
      </w:tblGrid>
      <w:tr w:rsidR="0059607B" w:rsidRPr="0073380D" w:rsidTr="007D6B03">
        <w:tc>
          <w:tcPr>
            <w:tcW w:w="4834" w:type="dxa"/>
          </w:tcPr>
          <w:p w:rsidR="0059607B" w:rsidRPr="0073380D" w:rsidRDefault="0059607B" w:rsidP="0059607B">
            <w:pPr>
              <w:spacing w:line="259" w:lineRule="auto"/>
              <w:jc w:val="both"/>
              <w:rPr>
                <w:rFonts w:cstheme="minorHAnsi"/>
                <w:b/>
                <w:bCs/>
                <w:sz w:val="19"/>
                <w:szCs w:val="19"/>
              </w:rPr>
            </w:pPr>
            <w:r w:rsidRPr="0073380D">
              <w:rPr>
                <w:rFonts w:cstheme="minorHAnsi"/>
                <w:b/>
                <w:bCs/>
                <w:sz w:val="19"/>
                <w:szCs w:val="19"/>
              </w:rPr>
              <w:t>Composant</w:t>
            </w:r>
          </w:p>
        </w:tc>
        <w:tc>
          <w:tcPr>
            <w:tcW w:w="4834" w:type="dxa"/>
          </w:tcPr>
          <w:p w:rsidR="0059607B" w:rsidRPr="0073380D" w:rsidRDefault="0059607B" w:rsidP="0059607B">
            <w:pPr>
              <w:spacing w:line="259" w:lineRule="auto"/>
              <w:jc w:val="both"/>
              <w:rPr>
                <w:rFonts w:cstheme="minorHAnsi"/>
                <w:b/>
                <w:bCs/>
                <w:sz w:val="19"/>
                <w:szCs w:val="19"/>
              </w:rPr>
            </w:pPr>
            <w:r w:rsidRPr="0073380D">
              <w:rPr>
                <w:rFonts w:cstheme="minorHAnsi"/>
                <w:b/>
                <w:bCs/>
                <w:sz w:val="19"/>
                <w:szCs w:val="19"/>
              </w:rPr>
              <w:t>Quantité</w:t>
            </w:r>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proofErr w:type="spellStart"/>
            <w:r w:rsidRPr="0073380D">
              <w:rPr>
                <w:rFonts w:cstheme="minorHAnsi"/>
                <w:sz w:val="19"/>
                <w:szCs w:val="19"/>
              </w:rPr>
              <w:t>Isoflavones</w:t>
            </w:r>
            <w:proofErr w:type="spellEnd"/>
            <w:r w:rsidRPr="0073380D">
              <w:rPr>
                <w:rFonts w:cstheme="minorHAnsi"/>
                <w:sz w:val="19"/>
                <w:szCs w:val="19"/>
              </w:rPr>
              <w:t xml:space="preserve"> de soja</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100 mg</w:t>
            </w:r>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 xml:space="preserve">Calcium </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100 mg</w:t>
            </w:r>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Vitamine E</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50 mg</w:t>
            </w:r>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Vitamine D3</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1000 UI</w:t>
            </w:r>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Bore</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 xml:space="preserve">150 </w:t>
            </w:r>
            <w:proofErr w:type="spellStart"/>
            <w:r w:rsidRPr="0073380D">
              <w:rPr>
                <w:rFonts w:cstheme="minorHAnsi"/>
                <w:sz w:val="19"/>
                <w:szCs w:val="19"/>
              </w:rPr>
              <w:t>mcg</w:t>
            </w:r>
            <w:proofErr w:type="spellEnd"/>
          </w:p>
        </w:tc>
      </w:tr>
      <w:tr w:rsidR="0059607B" w:rsidRPr="0073380D" w:rsidTr="007D6B03">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 xml:space="preserve">Sélénium </w:t>
            </w:r>
          </w:p>
        </w:tc>
        <w:tc>
          <w:tcPr>
            <w:tcW w:w="4834" w:type="dxa"/>
          </w:tcPr>
          <w:p w:rsidR="0059607B" w:rsidRPr="0073380D" w:rsidRDefault="0059607B" w:rsidP="0059607B">
            <w:pPr>
              <w:spacing w:line="259" w:lineRule="auto"/>
              <w:jc w:val="both"/>
              <w:rPr>
                <w:rFonts w:cstheme="minorHAnsi"/>
                <w:sz w:val="19"/>
                <w:szCs w:val="19"/>
              </w:rPr>
            </w:pPr>
            <w:r w:rsidRPr="0073380D">
              <w:rPr>
                <w:rFonts w:cstheme="minorHAnsi"/>
                <w:sz w:val="19"/>
                <w:szCs w:val="19"/>
              </w:rPr>
              <w:t xml:space="preserve">25 </w:t>
            </w:r>
            <w:proofErr w:type="spellStart"/>
            <w:r w:rsidRPr="0073380D">
              <w:rPr>
                <w:rFonts w:cstheme="minorHAnsi"/>
                <w:sz w:val="19"/>
                <w:szCs w:val="19"/>
              </w:rPr>
              <w:t>mcg</w:t>
            </w:r>
            <w:proofErr w:type="spellEnd"/>
          </w:p>
        </w:tc>
      </w:tr>
    </w:tbl>
    <w:p w:rsidR="0059607B" w:rsidRPr="0073380D" w:rsidRDefault="0059607B" w:rsidP="00393156">
      <w:pPr>
        <w:spacing w:after="0"/>
        <w:jc w:val="both"/>
        <w:rPr>
          <w:rFonts w:cstheme="minorHAnsi"/>
          <w:b/>
          <w:bCs/>
          <w:sz w:val="19"/>
          <w:szCs w:val="19"/>
        </w:rPr>
      </w:pPr>
    </w:p>
    <w:p w:rsidR="002536E2" w:rsidRPr="0073380D" w:rsidRDefault="002536E2" w:rsidP="00393156">
      <w:pPr>
        <w:spacing w:after="0"/>
        <w:jc w:val="both"/>
        <w:rPr>
          <w:rFonts w:cstheme="minorHAnsi"/>
          <w:sz w:val="19"/>
          <w:szCs w:val="19"/>
        </w:rPr>
      </w:pPr>
      <w:r w:rsidRPr="0073380D">
        <w:rPr>
          <w:rFonts w:cstheme="minorHAnsi"/>
          <w:b/>
          <w:bCs/>
          <w:sz w:val="19"/>
          <w:szCs w:val="19"/>
        </w:rPr>
        <w:t xml:space="preserve">Autre composition : </w:t>
      </w:r>
      <w:r w:rsidR="00393156" w:rsidRPr="0073380D">
        <w:rPr>
          <w:rFonts w:cstheme="minorHAnsi"/>
          <w:sz w:val="19"/>
          <w:szCs w:val="19"/>
        </w:rPr>
        <w:t>Di-calcium de phosphate, Stéarate de magnésium</w:t>
      </w:r>
      <w:r w:rsidR="00393156" w:rsidRPr="0073380D">
        <w:rPr>
          <w:rFonts w:cstheme="minorHAnsi"/>
          <w:b/>
          <w:bCs/>
          <w:sz w:val="19"/>
          <w:szCs w:val="19"/>
        </w:rPr>
        <w:t xml:space="preserve">, </w:t>
      </w:r>
      <w:r w:rsidR="00393156" w:rsidRPr="0073380D">
        <w:rPr>
          <w:rFonts w:cstheme="minorHAnsi"/>
          <w:sz w:val="19"/>
          <w:szCs w:val="19"/>
        </w:rPr>
        <w:t>Dioxyde de silicone, Talc,</w:t>
      </w:r>
      <w:r w:rsidR="00393156" w:rsidRPr="0073380D">
        <w:rPr>
          <w:rFonts w:cstheme="minorHAnsi"/>
          <w:b/>
          <w:bCs/>
          <w:sz w:val="19"/>
          <w:szCs w:val="19"/>
        </w:rPr>
        <w:t xml:space="preserve"> </w:t>
      </w:r>
      <w:r w:rsidR="00393156" w:rsidRPr="0073380D">
        <w:rPr>
          <w:rFonts w:cstheme="minorHAnsi"/>
          <w:sz w:val="19"/>
          <w:szCs w:val="19"/>
        </w:rPr>
        <w:t>Excédents de vitamines.</w:t>
      </w:r>
    </w:p>
    <w:p w:rsidR="00CB7261" w:rsidRPr="0073380D" w:rsidRDefault="00CB7261" w:rsidP="0022297D">
      <w:pPr>
        <w:spacing w:after="0"/>
        <w:jc w:val="both"/>
        <w:rPr>
          <w:rFonts w:cstheme="minorHAnsi"/>
          <w:b/>
          <w:bCs/>
          <w:sz w:val="19"/>
          <w:szCs w:val="19"/>
        </w:rPr>
      </w:pPr>
    </w:p>
    <w:p w:rsidR="00CB7261" w:rsidRPr="0073380D" w:rsidRDefault="002536E2" w:rsidP="008F6D5D">
      <w:pPr>
        <w:spacing w:after="0"/>
        <w:jc w:val="both"/>
        <w:rPr>
          <w:rFonts w:cstheme="minorHAnsi"/>
          <w:b/>
          <w:bCs/>
          <w:sz w:val="19"/>
          <w:szCs w:val="19"/>
          <w:u w:val="single"/>
        </w:rPr>
      </w:pPr>
      <w:r w:rsidRPr="0073380D">
        <w:rPr>
          <w:rFonts w:cstheme="minorHAnsi"/>
          <w:b/>
          <w:bCs/>
          <w:sz w:val="19"/>
          <w:szCs w:val="19"/>
          <w:u w:val="single"/>
        </w:rPr>
        <w:t>LA DESCRIPTION</w:t>
      </w:r>
    </w:p>
    <w:p w:rsidR="0059607B" w:rsidRDefault="0059607B" w:rsidP="00B205F1">
      <w:pPr>
        <w:spacing w:after="0"/>
        <w:jc w:val="both"/>
        <w:rPr>
          <w:rFonts w:cstheme="minorHAnsi"/>
          <w:sz w:val="19"/>
          <w:szCs w:val="19"/>
        </w:rPr>
      </w:pPr>
      <w:r w:rsidRPr="0073380D">
        <w:rPr>
          <w:rFonts w:cstheme="minorHAnsi"/>
          <w:sz w:val="19"/>
          <w:szCs w:val="19"/>
        </w:rPr>
        <w:t xml:space="preserve">La ménopause est l’étape cruciale de la vie de chaque femme. Elle marque la fin de la phase de fertilité et survient entre 45 et 55 ans, en fonction de divers facteurs. Pendant la phase de ménopause, les niveaux d'hormones œstrogènes sont réduits, ce qui entraîne une prise de poids soudaine, une transpiration abondante, des sautes d'humeur, de l'irritabilité, des bouffées de chaleur, des douleurs articulaires et des maux de tête fréquents. </w:t>
      </w:r>
    </w:p>
    <w:p w:rsidR="00B205F1" w:rsidRPr="0073380D" w:rsidRDefault="00B205F1" w:rsidP="00B205F1">
      <w:pPr>
        <w:spacing w:after="0"/>
        <w:jc w:val="both"/>
        <w:rPr>
          <w:rFonts w:cstheme="minorHAnsi"/>
          <w:sz w:val="19"/>
          <w:szCs w:val="19"/>
        </w:rPr>
      </w:pPr>
    </w:p>
    <w:p w:rsidR="0059607B" w:rsidRPr="0073380D" w:rsidRDefault="0059607B" w:rsidP="00B205F1">
      <w:pPr>
        <w:spacing w:after="0"/>
        <w:jc w:val="both"/>
        <w:rPr>
          <w:rFonts w:cstheme="minorHAnsi"/>
          <w:sz w:val="19"/>
          <w:szCs w:val="19"/>
        </w:rPr>
      </w:pPr>
      <w:r w:rsidRPr="0073380D">
        <w:rPr>
          <w:rFonts w:cstheme="minorHAnsi"/>
          <w:sz w:val="19"/>
          <w:szCs w:val="19"/>
        </w:rPr>
        <w:t xml:space="preserve">L'hormone œstrogène offre une protection contre diverses complications de santé telles que les troubles cardiovasculaires et l'ostéoporose chez la femme. La ménopause chez la femme pourrait entraîner un risque accru de troubles cardiaques et de troubles articulaires. Mais, une supplémentation régulière en </w:t>
      </w:r>
      <w:r w:rsidRPr="0073380D">
        <w:rPr>
          <w:rFonts w:cstheme="minorHAnsi"/>
          <w:b/>
          <w:bCs/>
          <w:sz w:val="19"/>
          <w:szCs w:val="19"/>
        </w:rPr>
        <w:t>vitamines,</w:t>
      </w:r>
      <w:r w:rsidRPr="0073380D">
        <w:rPr>
          <w:rFonts w:cstheme="minorHAnsi"/>
          <w:sz w:val="19"/>
          <w:szCs w:val="19"/>
        </w:rPr>
        <w:t xml:space="preserve"> </w:t>
      </w:r>
      <w:r w:rsidRPr="0073380D">
        <w:rPr>
          <w:rFonts w:cstheme="minorHAnsi"/>
          <w:b/>
          <w:bCs/>
          <w:sz w:val="19"/>
          <w:szCs w:val="19"/>
        </w:rPr>
        <w:t xml:space="preserve">minéraux </w:t>
      </w:r>
      <w:r w:rsidRPr="0073380D">
        <w:rPr>
          <w:rFonts w:cstheme="minorHAnsi"/>
          <w:sz w:val="19"/>
          <w:szCs w:val="19"/>
        </w:rPr>
        <w:t xml:space="preserve">et </w:t>
      </w:r>
      <w:proofErr w:type="spellStart"/>
      <w:r w:rsidRPr="0073380D">
        <w:rPr>
          <w:rFonts w:cstheme="minorHAnsi"/>
          <w:b/>
          <w:bCs/>
          <w:sz w:val="19"/>
          <w:szCs w:val="19"/>
        </w:rPr>
        <w:t>isoflavones</w:t>
      </w:r>
      <w:proofErr w:type="spellEnd"/>
      <w:r w:rsidRPr="0073380D">
        <w:rPr>
          <w:rFonts w:cstheme="minorHAnsi"/>
          <w:b/>
          <w:bCs/>
          <w:sz w:val="19"/>
          <w:szCs w:val="19"/>
        </w:rPr>
        <w:t xml:space="preserve"> de soja</w:t>
      </w:r>
      <w:r w:rsidRPr="0073380D">
        <w:rPr>
          <w:rFonts w:cstheme="minorHAnsi"/>
          <w:sz w:val="19"/>
          <w:szCs w:val="19"/>
        </w:rPr>
        <w:t xml:space="preserve"> pourrait atténuer les symptômes de la ménopause et également prévenir les troubles de santé tels que l'hypertension, l'hypercholestérolémie, l'athérosclérose, l'ostéoporose et l'arthrite. </w:t>
      </w:r>
    </w:p>
    <w:p w:rsidR="0059607B" w:rsidRPr="0073380D" w:rsidRDefault="0059607B" w:rsidP="008F6D5D">
      <w:pPr>
        <w:spacing w:after="0"/>
        <w:jc w:val="both"/>
        <w:rPr>
          <w:rFonts w:cstheme="minorHAnsi"/>
          <w:sz w:val="19"/>
          <w:szCs w:val="19"/>
        </w:rPr>
      </w:pPr>
    </w:p>
    <w:p w:rsidR="0045709C" w:rsidRPr="0045709C" w:rsidRDefault="0045709C" w:rsidP="0045709C">
      <w:pPr>
        <w:spacing w:after="0"/>
        <w:jc w:val="both"/>
        <w:rPr>
          <w:rFonts w:cstheme="minorHAnsi"/>
          <w:sz w:val="19"/>
          <w:szCs w:val="19"/>
        </w:rPr>
      </w:pPr>
      <w:r w:rsidRPr="0045709C">
        <w:rPr>
          <w:rFonts w:cstheme="minorHAnsi"/>
          <w:b/>
          <w:bCs/>
          <w:sz w:val="19"/>
          <w:szCs w:val="19"/>
        </w:rPr>
        <w:t xml:space="preserve">Les </w:t>
      </w:r>
      <w:proofErr w:type="spellStart"/>
      <w:r w:rsidRPr="0045709C">
        <w:rPr>
          <w:rFonts w:cstheme="minorHAnsi"/>
          <w:b/>
          <w:bCs/>
          <w:sz w:val="19"/>
          <w:szCs w:val="19"/>
        </w:rPr>
        <w:t>isoflavones</w:t>
      </w:r>
      <w:proofErr w:type="spellEnd"/>
      <w:r w:rsidRPr="0045709C">
        <w:rPr>
          <w:rFonts w:cstheme="minorHAnsi"/>
          <w:b/>
          <w:bCs/>
          <w:sz w:val="19"/>
          <w:szCs w:val="19"/>
        </w:rPr>
        <w:t xml:space="preserve"> de soja</w:t>
      </w:r>
      <w:r w:rsidRPr="0045709C">
        <w:rPr>
          <w:rFonts w:cstheme="minorHAnsi"/>
          <w:sz w:val="19"/>
          <w:szCs w:val="19"/>
        </w:rPr>
        <w:t xml:space="preserve"> sont extraits des graines de soja et ont une structure similaire à celle de l'hormone œstrogène. </w:t>
      </w:r>
    </w:p>
    <w:p w:rsidR="0045709C" w:rsidRPr="0045709C" w:rsidRDefault="0045709C" w:rsidP="0045709C">
      <w:pPr>
        <w:spacing w:after="0"/>
        <w:jc w:val="both"/>
        <w:rPr>
          <w:rFonts w:cstheme="minorHAnsi"/>
          <w:sz w:val="19"/>
          <w:szCs w:val="19"/>
        </w:rPr>
      </w:pPr>
      <w:r w:rsidRPr="0045709C">
        <w:rPr>
          <w:rFonts w:cstheme="minorHAnsi"/>
          <w:sz w:val="19"/>
          <w:szCs w:val="19"/>
        </w:rPr>
        <w:t xml:space="preserve">Les </w:t>
      </w:r>
      <w:proofErr w:type="spellStart"/>
      <w:r w:rsidRPr="0045709C">
        <w:rPr>
          <w:rFonts w:cstheme="minorHAnsi"/>
          <w:sz w:val="19"/>
          <w:szCs w:val="19"/>
        </w:rPr>
        <w:t>isoflavones</w:t>
      </w:r>
      <w:proofErr w:type="spellEnd"/>
      <w:r w:rsidRPr="0045709C">
        <w:rPr>
          <w:rFonts w:cstheme="minorHAnsi"/>
          <w:sz w:val="19"/>
          <w:szCs w:val="19"/>
        </w:rPr>
        <w:t xml:space="preserve"> de soja sont utiles pour soulager les </w:t>
      </w:r>
      <w:r w:rsidRPr="0045709C">
        <w:rPr>
          <w:rFonts w:cstheme="minorHAnsi"/>
          <w:sz w:val="19"/>
          <w:szCs w:val="19"/>
        </w:rPr>
        <w:t xml:space="preserve">divers </w:t>
      </w:r>
      <w:r>
        <w:rPr>
          <w:rFonts w:cstheme="minorHAnsi"/>
          <w:sz w:val="19"/>
          <w:szCs w:val="19"/>
        </w:rPr>
        <w:t>symptômes</w:t>
      </w:r>
      <w:r w:rsidRPr="0045709C">
        <w:rPr>
          <w:rFonts w:cstheme="minorHAnsi"/>
          <w:sz w:val="19"/>
          <w:szCs w:val="19"/>
        </w:rPr>
        <w:t xml:space="preserve"> de la ménopause tels que les bouffées de chaleur, les sautes d'humeur, la fatigue, la transpiration abondante et la</w:t>
      </w:r>
      <w:r>
        <w:rPr>
          <w:rFonts w:cstheme="minorHAnsi"/>
          <w:sz w:val="19"/>
          <w:szCs w:val="19"/>
        </w:rPr>
        <w:t xml:space="preserve"> </w:t>
      </w:r>
      <w:r w:rsidRPr="0045709C">
        <w:rPr>
          <w:rFonts w:cstheme="minorHAnsi"/>
          <w:sz w:val="19"/>
          <w:szCs w:val="19"/>
        </w:rPr>
        <w:t>sécheresse vaginale. En plus de soulager les symptômes de la ménopause, ils sont utiles dans le traitement de l'hypertension et des taux élevés de cholestérol et de triglycérides sériques.</w:t>
      </w:r>
    </w:p>
    <w:p w:rsidR="0045709C" w:rsidRPr="0045709C" w:rsidRDefault="0045709C" w:rsidP="0045709C">
      <w:pPr>
        <w:spacing w:after="0"/>
        <w:jc w:val="both"/>
        <w:rPr>
          <w:rFonts w:cstheme="minorHAnsi"/>
          <w:sz w:val="19"/>
          <w:szCs w:val="19"/>
        </w:rPr>
      </w:pPr>
    </w:p>
    <w:p w:rsidR="0045709C" w:rsidRPr="0045709C" w:rsidRDefault="0045709C" w:rsidP="0045709C">
      <w:pPr>
        <w:spacing w:after="0"/>
        <w:jc w:val="both"/>
        <w:rPr>
          <w:rFonts w:cstheme="minorHAnsi"/>
          <w:sz w:val="19"/>
          <w:szCs w:val="19"/>
        </w:rPr>
      </w:pPr>
      <w:r w:rsidRPr="0045709C">
        <w:rPr>
          <w:rFonts w:cstheme="minorHAnsi"/>
          <w:sz w:val="19"/>
          <w:szCs w:val="19"/>
        </w:rPr>
        <w:t xml:space="preserve">En complément, les </w:t>
      </w:r>
      <w:proofErr w:type="spellStart"/>
      <w:r w:rsidRPr="0045709C">
        <w:rPr>
          <w:rFonts w:cstheme="minorHAnsi"/>
          <w:sz w:val="19"/>
          <w:szCs w:val="19"/>
        </w:rPr>
        <w:t>isoflavones</w:t>
      </w:r>
      <w:proofErr w:type="spellEnd"/>
      <w:r w:rsidRPr="0045709C">
        <w:rPr>
          <w:rFonts w:cstheme="minorHAnsi"/>
          <w:sz w:val="19"/>
          <w:szCs w:val="19"/>
        </w:rPr>
        <w:t xml:space="preserve"> de soja sont également utiles pour lutter contre la production excessive d'œstrogènes chez les femmes. Lorsque les niveaux d'œstrogènes naturels sont extrêmement élevés, les </w:t>
      </w:r>
      <w:proofErr w:type="spellStart"/>
      <w:r w:rsidRPr="0045709C">
        <w:rPr>
          <w:rFonts w:cstheme="minorHAnsi"/>
          <w:sz w:val="19"/>
          <w:szCs w:val="19"/>
        </w:rPr>
        <w:t>isoflavones</w:t>
      </w:r>
      <w:proofErr w:type="spellEnd"/>
      <w:r w:rsidRPr="0045709C">
        <w:rPr>
          <w:rFonts w:cstheme="minorHAnsi"/>
          <w:sz w:val="19"/>
          <w:szCs w:val="19"/>
        </w:rPr>
        <w:t xml:space="preserve"> se lient aux récepteurs alpha et empêchent la liaison des œstrogènes naturels à ces récepteurs. Ils réduisent les risques de différents types de cancer tels que le cancer de la prostate, le cancer du sein et le cancer de l'ovaire.</w:t>
      </w:r>
    </w:p>
    <w:p w:rsidR="0045709C" w:rsidRPr="0045709C" w:rsidRDefault="0045709C" w:rsidP="0045709C">
      <w:pPr>
        <w:spacing w:after="0"/>
        <w:jc w:val="both"/>
        <w:rPr>
          <w:rFonts w:cstheme="minorHAnsi"/>
          <w:sz w:val="19"/>
          <w:szCs w:val="19"/>
        </w:rPr>
      </w:pPr>
    </w:p>
    <w:p w:rsidR="0045709C" w:rsidRPr="0045709C" w:rsidRDefault="0045709C" w:rsidP="0045709C">
      <w:pPr>
        <w:spacing w:after="0"/>
        <w:jc w:val="both"/>
        <w:rPr>
          <w:rFonts w:cstheme="minorHAnsi"/>
          <w:sz w:val="19"/>
          <w:szCs w:val="19"/>
        </w:rPr>
      </w:pPr>
      <w:r w:rsidRPr="0045709C">
        <w:rPr>
          <w:rFonts w:cstheme="minorHAnsi"/>
          <w:sz w:val="19"/>
          <w:szCs w:val="19"/>
        </w:rPr>
        <w:t xml:space="preserve">La santé des os et des articulations est profondément affectée après la ménopause et les personnes dans la cinquantaine souffrent d’ostéoporose et d’ostéopénie en raison d’une absorption réduite du calcium. </w:t>
      </w:r>
    </w:p>
    <w:p w:rsidR="0045709C" w:rsidRPr="0045709C" w:rsidRDefault="0045709C" w:rsidP="0045709C">
      <w:pPr>
        <w:spacing w:after="0"/>
        <w:jc w:val="both"/>
        <w:rPr>
          <w:rFonts w:cstheme="minorHAnsi"/>
          <w:sz w:val="19"/>
          <w:szCs w:val="19"/>
        </w:rPr>
      </w:pPr>
    </w:p>
    <w:p w:rsidR="0045709C" w:rsidRPr="0045709C" w:rsidRDefault="0045709C" w:rsidP="0045709C">
      <w:pPr>
        <w:spacing w:after="0"/>
        <w:jc w:val="both"/>
        <w:rPr>
          <w:rFonts w:cstheme="minorHAnsi"/>
          <w:sz w:val="19"/>
          <w:szCs w:val="19"/>
        </w:rPr>
      </w:pPr>
      <w:r w:rsidRPr="0045709C">
        <w:rPr>
          <w:rFonts w:cstheme="minorHAnsi"/>
          <w:sz w:val="19"/>
          <w:szCs w:val="19"/>
        </w:rPr>
        <w:t xml:space="preserve">La supplémentation orale en </w:t>
      </w:r>
      <w:r w:rsidRPr="0045709C">
        <w:rPr>
          <w:rFonts w:cstheme="minorHAnsi"/>
          <w:b/>
          <w:bCs/>
          <w:sz w:val="19"/>
          <w:szCs w:val="19"/>
        </w:rPr>
        <w:t>calcium</w:t>
      </w:r>
      <w:r w:rsidRPr="0045709C">
        <w:rPr>
          <w:rFonts w:cstheme="minorHAnsi"/>
          <w:sz w:val="19"/>
          <w:szCs w:val="19"/>
        </w:rPr>
        <w:t xml:space="preserve"> avec du </w:t>
      </w:r>
      <w:r w:rsidRPr="0045709C">
        <w:rPr>
          <w:rFonts w:cstheme="minorHAnsi"/>
          <w:b/>
          <w:bCs/>
          <w:sz w:val="19"/>
          <w:szCs w:val="19"/>
        </w:rPr>
        <w:t>bore</w:t>
      </w:r>
      <w:r w:rsidRPr="0045709C">
        <w:rPr>
          <w:rFonts w:cstheme="minorHAnsi"/>
          <w:sz w:val="19"/>
          <w:szCs w:val="19"/>
        </w:rPr>
        <w:t xml:space="preserve"> et du </w:t>
      </w:r>
      <w:r w:rsidRPr="0045709C">
        <w:rPr>
          <w:rFonts w:cstheme="minorHAnsi"/>
          <w:b/>
          <w:bCs/>
          <w:sz w:val="19"/>
          <w:szCs w:val="19"/>
        </w:rPr>
        <w:t>sélénium</w:t>
      </w:r>
      <w:r w:rsidRPr="0045709C">
        <w:rPr>
          <w:rFonts w:cstheme="minorHAnsi"/>
          <w:sz w:val="19"/>
          <w:szCs w:val="19"/>
        </w:rPr>
        <w:t xml:space="preserve"> améliore la densité osseuse grâce à la minéralisation et au remodelage. La </w:t>
      </w:r>
      <w:r w:rsidRPr="0045709C">
        <w:rPr>
          <w:rFonts w:cstheme="minorHAnsi"/>
          <w:b/>
          <w:bCs/>
          <w:sz w:val="19"/>
          <w:szCs w:val="19"/>
        </w:rPr>
        <w:t>vitamine D3</w:t>
      </w:r>
      <w:r w:rsidRPr="0045709C">
        <w:rPr>
          <w:rFonts w:cstheme="minorHAnsi"/>
          <w:sz w:val="19"/>
          <w:szCs w:val="19"/>
        </w:rPr>
        <w:t xml:space="preserve"> est cruciale pour l'absorption du calcium.</w:t>
      </w:r>
    </w:p>
    <w:p w:rsidR="0045709C" w:rsidRPr="0045709C" w:rsidRDefault="0045709C" w:rsidP="0045709C">
      <w:pPr>
        <w:spacing w:after="0"/>
        <w:jc w:val="both"/>
        <w:rPr>
          <w:rFonts w:cstheme="minorHAnsi"/>
          <w:sz w:val="19"/>
          <w:szCs w:val="19"/>
        </w:rPr>
      </w:pPr>
    </w:p>
    <w:p w:rsidR="0022297D" w:rsidRPr="0045709C" w:rsidRDefault="0045709C" w:rsidP="0045709C">
      <w:pPr>
        <w:spacing w:after="0"/>
        <w:jc w:val="both"/>
        <w:rPr>
          <w:rFonts w:cstheme="minorHAnsi"/>
          <w:sz w:val="19"/>
          <w:szCs w:val="19"/>
        </w:rPr>
      </w:pPr>
      <w:bookmarkStart w:id="0" w:name="_GoBack"/>
      <w:r w:rsidRPr="0045709C">
        <w:rPr>
          <w:rFonts w:cstheme="minorHAnsi"/>
          <w:b/>
          <w:bCs/>
          <w:sz w:val="19"/>
          <w:szCs w:val="19"/>
        </w:rPr>
        <w:t>La vitamine E</w:t>
      </w:r>
      <w:bookmarkEnd w:id="0"/>
      <w:r w:rsidRPr="0045709C">
        <w:rPr>
          <w:rFonts w:cstheme="minorHAnsi"/>
          <w:sz w:val="19"/>
          <w:szCs w:val="19"/>
        </w:rPr>
        <w:t>, en tant qu'antioxydant, réduit le stress oxydatif dans les cellules et réduit aussi les incidences d'inflammation des                            articulations et d'autres parties du corps.</w:t>
      </w:r>
    </w:p>
    <w:p w:rsidR="0045709C" w:rsidRPr="0073380D" w:rsidRDefault="0045709C" w:rsidP="0045709C">
      <w:pPr>
        <w:spacing w:after="0"/>
        <w:jc w:val="both"/>
        <w:rPr>
          <w:rFonts w:cstheme="minorHAnsi"/>
          <w:b/>
          <w:bCs/>
          <w:sz w:val="19"/>
          <w:szCs w:val="19"/>
        </w:rPr>
      </w:pPr>
    </w:p>
    <w:p w:rsidR="002536E2" w:rsidRPr="0073380D" w:rsidRDefault="00094C26" w:rsidP="008F6D5D">
      <w:pPr>
        <w:spacing w:after="0"/>
        <w:jc w:val="both"/>
        <w:rPr>
          <w:rFonts w:cstheme="minorHAnsi"/>
          <w:b/>
          <w:bCs/>
          <w:sz w:val="19"/>
          <w:szCs w:val="19"/>
          <w:u w:val="single"/>
        </w:rPr>
      </w:pPr>
      <w:r>
        <w:rPr>
          <w:rFonts w:cstheme="minorHAnsi"/>
          <w:b/>
          <w:bCs/>
          <w:sz w:val="19"/>
          <w:szCs w:val="19"/>
          <w:u w:val="single"/>
        </w:rPr>
        <w:t>INDICATION</w:t>
      </w:r>
      <w:r w:rsidR="00C226D5" w:rsidRPr="0073380D">
        <w:rPr>
          <w:rFonts w:cstheme="minorHAnsi"/>
          <w:b/>
          <w:bCs/>
          <w:sz w:val="19"/>
          <w:szCs w:val="19"/>
          <w:u w:val="single"/>
        </w:rPr>
        <w:t xml:space="preserve"> :</w:t>
      </w:r>
    </w:p>
    <w:p w:rsidR="008F6D5D" w:rsidRPr="0073380D" w:rsidRDefault="008F6D5D" w:rsidP="008F6D5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Densité osseuse réduite</w:t>
      </w:r>
    </w:p>
    <w:p w:rsidR="008F6D5D" w:rsidRPr="0073380D" w:rsidRDefault="008F6D5D" w:rsidP="008F6D5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Ostéoporose</w:t>
      </w:r>
    </w:p>
    <w:p w:rsidR="008F6D5D" w:rsidRPr="0073380D" w:rsidRDefault="008F6D5D" w:rsidP="008F6D5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Douleur articulaire</w:t>
      </w:r>
    </w:p>
    <w:p w:rsidR="008F6D5D" w:rsidRPr="0073380D" w:rsidRDefault="008F6D5D" w:rsidP="008F6D5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Fractures osseuses</w:t>
      </w:r>
    </w:p>
    <w:p w:rsidR="0073380D" w:rsidRPr="0073380D" w:rsidRDefault="0073380D" w:rsidP="0073380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Symptômes de la ménopause tels que bouffées de chaleur, sautes d'humeur, irritabilité, transpiration abondante, etc.</w:t>
      </w:r>
    </w:p>
    <w:p w:rsidR="00EA29A5" w:rsidRPr="0073380D" w:rsidRDefault="008F6D5D" w:rsidP="008F6D5D">
      <w:pPr>
        <w:pStyle w:val="Paragraphedeliste"/>
        <w:numPr>
          <w:ilvl w:val="0"/>
          <w:numId w:val="4"/>
        </w:numPr>
        <w:spacing w:after="0"/>
        <w:ind w:left="567" w:hanging="425"/>
        <w:jc w:val="both"/>
        <w:rPr>
          <w:rFonts w:cstheme="minorHAnsi"/>
          <w:sz w:val="19"/>
          <w:szCs w:val="19"/>
        </w:rPr>
      </w:pPr>
      <w:r w:rsidRPr="0073380D">
        <w:rPr>
          <w:rFonts w:cstheme="minorHAnsi"/>
          <w:sz w:val="19"/>
          <w:szCs w:val="19"/>
        </w:rPr>
        <w:t>Hypertrophie de la prostate</w:t>
      </w:r>
    </w:p>
    <w:p w:rsidR="008F6D5D" w:rsidRPr="0073380D" w:rsidRDefault="008F6D5D" w:rsidP="008F6D5D">
      <w:pPr>
        <w:pStyle w:val="Paragraphedeliste"/>
        <w:spacing w:after="0"/>
        <w:ind w:left="567"/>
        <w:jc w:val="both"/>
        <w:rPr>
          <w:rFonts w:cstheme="minorHAnsi"/>
          <w:sz w:val="19"/>
          <w:szCs w:val="19"/>
        </w:rPr>
      </w:pPr>
    </w:p>
    <w:p w:rsidR="002536E2" w:rsidRPr="0073380D" w:rsidRDefault="00094C26" w:rsidP="008F6D5D">
      <w:pPr>
        <w:spacing w:after="0"/>
        <w:jc w:val="both"/>
        <w:rPr>
          <w:rFonts w:cstheme="minorHAnsi"/>
          <w:b/>
          <w:bCs/>
          <w:sz w:val="19"/>
          <w:szCs w:val="19"/>
          <w:u w:val="single"/>
        </w:rPr>
      </w:pPr>
      <w:r>
        <w:rPr>
          <w:rFonts w:cstheme="minorHAnsi"/>
          <w:b/>
          <w:bCs/>
          <w:sz w:val="19"/>
          <w:szCs w:val="19"/>
          <w:u w:val="single"/>
        </w:rPr>
        <w:t>POSOLOGIE</w:t>
      </w:r>
      <w:r w:rsidR="002536E2" w:rsidRPr="0073380D">
        <w:rPr>
          <w:rFonts w:cstheme="minorHAnsi"/>
          <w:b/>
          <w:bCs/>
          <w:sz w:val="19"/>
          <w:szCs w:val="19"/>
          <w:u w:val="single"/>
        </w:rPr>
        <w:t xml:space="preserve"> :</w:t>
      </w:r>
    </w:p>
    <w:p w:rsidR="002536E2" w:rsidRPr="0073380D" w:rsidRDefault="00C226D5" w:rsidP="00094C26">
      <w:pPr>
        <w:spacing w:after="0"/>
        <w:jc w:val="both"/>
        <w:rPr>
          <w:rFonts w:cstheme="minorHAnsi"/>
          <w:sz w:val="19"/>
          <w:szCs w:val="19"/>
        </w:rPr>
      </w:pPr>
      <w:r w:rsidRPr="0073380D">
        <w:rPr>
          <w:rFonts w:cstheme="minorHAnsi"/>
          <w:sz w:val="19"/>
          <w:szCs w:val="19"/>
        </w:rPr>
        <w:t xml:space="preserve">1 à 2 </w:t>
      </w:r>
      <w:r w:rsidR="00094C26">
        <w:rPr>
          <w:rFonts w:cstheme="minorHAnsi"/>
          <w:sz w:val="19"/>
          <w:szCs w:val="19"/>
        </w:rPr>
        <w:t>gélule</w:t>
      </w:r>
      <w:r w:rsidRPr="0073380D">
        <w:rPr>
          <w:rFonts w:cstheme="minorHAnsi"/>
          <w:sz w:val="19"/>
          <w:szCs w:val="19"/>
        </w:rPr>
        <w:t xml:space="preserve">s par jour </w:t>
      </w:r>
      <w:r w:rsidR="002536E2" w:rsidRPr="0073380D">
        <w:rPr>
          <w:rFonts w:cstheme="minorHAnsi"/>
          <w:sz w:val="19"/>
          <w:szCs w:val="19"/>
        </w:rPr>
        <w:t>ou selon les directives du médecin</w:t>
      </w:r>
      <w:r w:rsidR="00094C26">
        <w:rPr>
          <w:rFonts w:cstheme="minorHAnsi"/>
          <w:sz w:val="19"/>
          <w:szCs w:val="19"/>
        </w:rPr>
        <w:t xml:space="preserve"> ou </w:t>
      </w:r>
      <w:r w:rsidRPr="0073380D">
        <w:rPr>
          <w:rFonts w:cstheme="minorHAnsi"/>
          <w:sz w:val="19"/>
          <w:szCs w:val="19"/>
        </w:rPr>
        <w:t>pharmacien.</w:t>
      </w:r>
    </w:p>
    <w:p w:rsidR="002536E2" w:rsidRPr="0073380D" w:rsidRDefault="002536E2" w:rsidP="008F6D5D">
      <w:pPr>
        <w:spacing w:after="0"/>
        <w:jc w:val="both"/>
        <w:rPr>
          <w:rFonts w:cstheme="minorHAnsi"/>
          <w:sz w:val="19"/>
          <w:szCs w:val="19"/>
        </w:rPr>
      </w:pPr>
    </w:p>
    <w:p w:rsidR="002536E2" w:rsidRPr="0073380D" w:rsidRDefault="002536E2" w:rsidP="008F6D5D">
      <w:pPr>
        <w:spacing w:after="0"/>
        <w:jc w:val="both"/>
        <w:rPr>
          <w:rFonts w:cstheme="minorHAnsi"/>
          <w:b/>
          <w:bCs/>
          <w:sz w:val="19"/>
          <w:szCs w:val="19"/>
          <w:u w:val="single"/>
        </w:rPr>
      </w:pPr>
      <w:r w:rsidRPr="0073380D">
        <w:rPr>
          <w:rFonts w:cstheme="minorHAnsi"/>
          <w:b/>
          <w:bCs/>
          <w:sz w:val="19"/>
          <w:szCs w:val="19"/>
          <w:u w:val="single"/>
        </w:rPr>
        <w:t>CONTRE-INDICATIONS :</w:t>
      </w:r>
    </w:p>
    <w:p w:rsidR="001137EE" w:rsidRPr="0073380D" w:rsidRDefault="008F6D5D" w:rsidP="0073380D">
      <w:pPr>
        <w:spacing w:after="0"/>
        <w:jc w:val="both"/>
        <w:rPr>
          <w:rFonts w:cstheme="minorHAnsi"/>
          <w:sz w:val="19"/>
          <w:szCs w:val="19"/>
        </w:rPr>
      </w:pPr>
      <w:r w:rsidRPr="0073380D">
        <w:rPr>
          <w:rFonts w:cstheme="minorHAnsi"/>
          <w:sz w:val="19"/>
          <w:szCs w:val="19"/>
        </w:rPr>
        <w:t xml:space="preserve">Les gélules </w:t>
      </w:r>
      <w:r w:rsidR="0073380D" w:rsidRPr="0073380D">
        <w:rPr>
          <w:rFonts w:cstheme="minorHAnsi"/>
          <w:b/>
          <w:bCs/>
          <w:sz w:val="19"/>
          <w:szCs w:val="19"/>
        </w:rPr>
        <w:t>PROMENO®</w:t>
      </w:r>
      <w:r w:rsidRPr="0073380D">
        <w:rPr>
          <w:rFonts w:cstheme="minorHAnsi"/>
          <w:sz w:val="19"/>
          <w:szCs w:val="19"/>
        </w:rPr>
        <w:t xml:space="preserve"> sont contre-indiquées chez les patients présentant une hypersensibilité à ses ingrédients. Il est également contre-indiqué chez les patients atteints de sarcoïdose, de taux élevés de phosphate et de calcium dans le sang, de calculs rénaux, d'insuffisance rénale, d'hypothyroïdie et de déshydratation.</w:t>
      </w:r>
    </w:p>
    <w:p w:rsidR="008F6D5D" w:rsidRPr="0073380D" w:rsidRDefault="008F6D5D" w:rsidP="008F6D5D">
      <w:pPr>
        <w:spacing w:after="0"/>
        <w:jc w:val="both"/>
        <w:rPr>
          <w:rFonts w:cstheme="minorHAnsi"/>
          <w:sz w:val="19"/>
          <w:szCs w:val="19"/>
        </w:rPr>
      </w:pPr>
    </w:p>
    <w:p w:rsidR="002536E2" w:rsidRPr="0073380D" w:rsidRDefault="002536E2" w:rsidP="008F6D5D">
      <w:pPr>
        <w:spacing w:after="0"/>
        <w:jc w:val="both"/>
        <w:rPr>
          <w:rFonts w:cstheme="minorHAnsi"/>
          <w:b/>
          <w:bCs/>
          <w:sz w:val="19"/>
          <w:szCs w:val="19"/>
          <w:u w:val="single"/>
        </w:rPr>
      </w:pPr>
      <w:r w:rsidRPr="0073380D">
        <w:rPr>
          <w:rFonts w:cstheme="minorHAnsi"/>
          <w:b/>
          <w:bCs/>
          <w:sz w:val="19"/>
          <w:szCs w:val="19"/>
          <w:u w:val="single"/>
        </w:rPr>
        <w:t>EFFETS INDÉSIRABLES :</w:t>
      </w:r>
    </w:p>
    <w:p w:rsidR="001137EE" w:rsidRPr="0073380D" w:rsidRDefault="0073380D" w:rsidP="0073380D">
      <w:pPr>
        <w:spacing w:after="0"/>
        <w:jc w:val="both"/>
        <w:rPr>
          <w:rFonts w:cstheme="minorHAnsi"/>
          <w:sz w:val="19"/>
          <w:szCs w:val="19"/>
        </w:rPr>
      </w:pPr>
      <w:r w:rsidRPr="0073380D">
        <w:rPr>
          <w:rFonts w:cstheme="minorHAnsi"/>
          <w:b/>
          <w:bCs/>
          <w:sz w:val="19"/>
          <w:szCs w:val="19"/>
        </w:rPr>
        <w:t>PROMENO®</w:t>
      </w:r>
      <w:r w:rsidR="008F6D5D" w:rsidRPr="0073380D">
        <w:rPr>
          <w:rFonts w:cstheme="minorHAnsi"/>
          <w:sz w:val="19"/>
          <w:szCs w:val="19"/>
        </w:rPr>
        <w:t xml:space="preserve"> est généralement bien toléré lorsqu'il est administré selon la posologie recommandée. Cependant, les rares effets secondaires de ce produit sont des réactions allergiques, des étourdissements, des difficultés respiratoires, une perte d'appétit, des nausées, des vomissements et de la fatigue</w:t>
      </w:r>
      <w:r w:rsidR="00FA3D51" w:rsidRPr="0073380D">
        <w:rPr>
          <w:rFonts w:cstheme="minorHAnsi"/>
          <w:sz w:val="19"/>
          <w:szCs w:val="19"/>
        </w:rPr>
        <w:t>.</w:t>
      </w:r>
    </w:p>
    <w:p w:rsidR="00FA3D51" w:rsidRPr="0073380D" w:rsidRDefault="00FA3D51" w:rsidP="008F6D5D">
      <w:pPr>
        <w:spacing w:after="0"/>
        <w:jc w:val="both"/>
        <w:rPr>
          <w:rFonts w:cstheme="minorHAnsi"/>
          <w:sz w:val="19"/>
          <w:szCs w:val="19"/>
        </w:rPr>
      </w:pPr>
    </w:p>
    <w:p w:rsidR="002536E2" w:rsidRPr="0073380D" w:rsidRDefault="001B0C85" w:rsidP="008F6D5D">
      <w:pPr>
        <w:spacing w:after="0"/>
        <w:jc w:val="both"/>
        <w:rPr>
          <w:rFonts w:cstheme="minorHAnsi"/>
          <w:b/>
          <w:bCs/>
          <w:sz w:val="19"/>
          <w:szCs w:val="19"/>
          <w:u w:val="single"/>
        </w:rPr>
      </w:pPr>
      <w:r w:rsidRPr="0073380D">
        <w:rPr>
          <w:rFonts w:cstheme="minorHAnsi"/>
          <w:b/>
          <w:bCs/>
          <w:sz w:val="19"/>
          <w:szCs w:val="19"/>
          <w:u w:val="single"/>
        </w:rPr>
        <w:t xml:space="preserve">LES </w:t>
      </w:r>
      <w:r w:rsidR="002536E2" w:rsidRPr="0073380D">
        <w:rPr>
          <w:rFonts w:cstheme="minorHAnsi"/>
          <w:b/>
          <w:bCs/>
          <w:sz w:val="19"/>
          <w:szCs w:val="19"/>
          <w:u w:val="single"/>
        </w:rPr>
        <w:t>PRÉCAUTION</w:t>
      </w:r>
      <w:r w:rsidRPr="0073380D">
        <w:rPr>
          <w:rFonts w:cstheme="minorHAnsi"/>
          <w:b/>
          <w:bCs/>
          <w:sz w:val="19"/>
          <w:szCs w:val="19"/>
          <w:u w:val="single"/>
        </w:rPr>
        <w:t>S D’EMPLOI</w:t>
      </w:r>
      <w:r w:rsidR="002536E2" w:rsidRPr="0073380D">
        <w:rPr>
          <w:rFonts w:cstheme="minorHAnsi"/>
          <w:b/>
          <w:bCs/>
          <w:sz w:val="19"/>
          <w:szCs w:val="19"/>
          <w:u w:val="single"/>
        </w:rPr>
        <w:t xml:space="preserve"> :</w:t>
      </w:r>
    </w:p>
    <w:p w:rsidR="00FA3D51" w:rsidRPr="0073380D" w:rsidRDefault="008F6D5D" w:rsidP="0073380D">
      <w:pPr>
        <w:spacing w:after="0"/>
        <w:jc w:val="both"/>
        <w:rPr>
          <w:rFonts w:cstheme="minorHAnsi"/>
          <w:sz w:val="19"/>
          <w:szCs w:val="19"/>
        </w:rPr>
      </w:pPr>
      <w:r w:rsidRPr="0073380D">
        <w:rPr>
          <w:rFonts w:cstheme="minorHAnsi"/>
          <w:sz w:val="19"/>
          <w:szCs w:val="19"/>
        </w:rPr>
        <w:t xml:space="preserve">Les personnes souffrant de problèmes de santé connus et / ou prenant des médicaments devraient consulter un médecin </w:t>
      </w:r>
      <w:r w:rsidR="00094C26">
        <w:rPr>
          <w:rFonts w:cstheme="minorHAnsi"/>
          <w:sz w:val="19"/>
          <w:szCs w:val="19"/>
        </w:rPr>
        <w:t xml:space="preserve">ou pharmacien </w:t>
      </w:r>
      <w:r w:rsidRPr="0073380D">
        <w:rPr>
          <w:rFonts w:cstheme="minorHAnsi"/>
          <w:sz w:val="19"/>
          <w:szCs w:val="19"/>
        </w:rPr>
        <w:t>avant de prendre des compléments alimentaires.</w:t>
      </w:r>
    </w:p>
    <w:p w:rsidR="008F6D5D" w:rsidRPr="0073380D" w:rsidRDefault="008F6D5D" w:rsidP="008F6D5D">
      <w:pPr>
        <w:spacing w:after="0"/>
        <w:jc w:val="both"/>
        <w:rPr>
          <w:rFonts w:cstheme="minorHAnsi"/>
          <w:sz w:val="19"/>
          <w:szCs w:val="19"/>
        </w:rPr>
      </w:pPr>
    </w:p>
    <w:p w:rsidR="002536E2" w:rsidRPr="0073380D" w:rsidRDefault="002536E2" w:rsidP="008F6D5D">
      <w:pPr>
        <w:spacing w:after="0"/>
        <w:jc w:val="both"/>
        <w:rPr>
          <w:rFonts w:cstheme="minorHAnsi"/>
          <w:b/>
          <w:bCs/>
          <w:sz w:val="19"/>
          <w:szCs w:val="19"/>
          <w:u w:val="single"/>
        </w:rPr>
      </w:pPr>
      <w:r w:rsidRPr="0073380D">
        <w:rPr>
          <w:rFonts w:cstheme="minorHAnsi"/>
          <w:b/>
          <w:bCs/>
          <w:sz w:val="19"/>
          <w:szCs w:val="19"/>
          <w:u w:val="single"/>
        </w:rPr>
        <w:t>PRÉSENTATION :</w:t>
      </w:r>
    </w:p>
    <w:p w:rsidR="002536E2" w:rsidRPr="0073380D" w:rsidRDefault="002536E2" w:rsidP="0073380D">
      <w:pPr>
        <w:spacing w:after="0"/>
        <w:jc w:val="both"/>
        <w:rPr>
          <w:rFonts w:cstheme="minorHAnsi"/>
          <w:sz w:val="19"/>
          <w:szCs w:val="19"/>
        </w:rPr>
      </w:pPr>
      <w:r w:rsidRPr="0073380D">
        <w:rPr>
          <w:rFonts w:cstheme="minorHAnsi"/>
          <w:sz w:val="19"/>
          <w:szCs w:val="19"/>
        </w:rPr>
        <w:t xml:space="preserve">Les </w:t>
      </w:r>
      <w:r w:rsidR="00EA29A5" w:rsidRPr="0073380D">
        <w:rPr>
          <w:rFonts w:cstheme="minorHAnsi"/>
          <w:sz w:val="19"/>
          <w:szCs w:val="19"/>
        </w:rPr>
        <w:t xml:space="preserve">gélules </w:t>
      </w:r>
      <w:r w:rsidR="0073380D" w:rsidRPr="0073380D">
        <w:rPr>
          <w:rFonts w:cstheme="minorHAnsi"/>
          <w:b/>
          <w:bCs/>
          <w:sz w:val="19"/>
          <w:szCs w:val="19"/>
        </w:rPr>
        <w:t>PROMENO®</w:t>
      </w:r>
      <w:r w:rsidR="00EA29A5" w:rsidRPr="0073380D">
        <w:rPr>
          <w:rFonts w:cstheme="minorHAnsi"/>
          <w:sz w:val="19"/>
          <w:szCs w:val="19"/>
        </w:rPr>
        <w:t xml:space="preserve"> </w:t>
      </w:r>
      <w:r w:rsidR="0022297D" w:rsidRPr="0073380D">
        <w:rPr>
          <w:rFonts w:cstheme="minorHAnsi"/>
          <w:sz w:val="19"/>
          <w:szCs w:val="19"/>
        </w:rPr>
        <w:t>sont</w:t>
      </w:r>
      <w:r w:rsidRPr="0073380D">
        <w:rPr>
          <w:rFonts w:cstheme="minorHAnsi"/>
          <w:sz w:val="19"/>
          <w:szCs w:val="19"/>
        </w:rPr>
        <w:t xml:space="preserve"> disponibles </w:t>
      </w:r>
      <w:r w:rsidR="00C226D5" w:rsidRPr="0073380D">
        <w:rPr>
          <w:rFonts w:cstheme="minorHAnsi"/>
          <w:sz w:val="19"/>
          <w:szCs w:val="19"/>
        </w:rPr>
        <w:t xml:space="preserve">dans des piluliers de 30 </w:t>
      </w:r>
      <w:r w:rsidR="00EA29A5" w:rsidRPr="0073380D">
        <w:rPr>
          <w:rFonts w:cstheme="minorHAnsi"/>
          <w:sz w:val="19"/>
          <w:szCs w:val="19"/>
        </w:rPr>
        <w:t>gélule</w:t>
      </w:r>
      <w:r w:rsidR="00C226D5" w:rsidRPr="0073380D">
        <w:rPr>
          <w:rFonts w:cstheme="minorHAnsi"/>
          <w:sz w:val="19"/>
          <w:szCs w:val="19"/>
        </w:rPr>
        <w:t>s</w:t>
      </w:r>
      <w:r w:rsidRPr="0073380D">
        <w:rPr>
          <w:rFonts w:cstheme="minorHAnsi"/>
          <w:sz w:val="19"/>
          <w:szCs w:val="19"/>
        </w:rPr>
        <w:t>.</w:t>
      </w:r>
    </w:p>
    <w:p w:rsidR="002536E2" w:rsidRPr="0073380D" w:rsidRDefault="002536E2" w:rsidP="008F6D5D">
      <w:pPr>
        <w:spacing w:after="0"/>
        <w:jc w:val="both"/>
        <w:rPr>
          <w:rFonts w:cstheme="minorHAnsi"/>
          <w:sz w:val="19"/>
          <w:szCs w:val="19"/>
        </w:rPr>
      </w:pPr>
    </w:p>
    <w:p w:rsidR="002536E2" w:rsidRPr="0073380D" w:rsidRDefault="002536E2" w:rsidP="008F6D5D">
      <w:pPr>
        <w:spacing w:after="0"/>
        <w:jc w:val="both"/>
        <w:rPr>
          <w:rFonts w:cstheme="minorHAnsi"/>
          <w:b/>
          <w:bCs/>
          <w:sz w:val="19"/>
          <w:szCs w:val="19"/>
          <w:u w:val="single"/>
        </w:rPr>
      </w:pPr>
      <w:r w:rsidRPr="0073380D">
        <w:rPr>
          <w:rFonts w:cstheme="minorHAnsi"/>
          <w:b/>
          <w:bCs/>
          <w:sz w:val="19"/>
          <w:szCs w:val="19"/>
          <w:u w:val="single"/>
        </w:rPr>
        <w:t>AVERTISSEMENT</w:t>
      </w:r>
      <w:r w:rsidR="00893C60" w:rsidRPr="0073380D">
        <w:rPr>
          <w:rFonts w:cstheme="minorHAnsi"/>
          <w:b/>
          <w:bCs/>
          <w:sz w:val="19"/>
          <w:szCs w:val="19"/>
          <w:u w:val="single"/>
        </w:rPr>
        <w:t xml:space="preserve"> </w:t>
      </w:r>
      <w:r w:rsidRPr="0073380D">
        <w:rPr>
          <w:rFonts w:cstheme="minorHAnsi"/>
          <w:b/>
          <w:bCs/>
          <w:sz w:val="19"/>
          <w:szCs w:val="19"/>
          <w:u w:val="single"/>
        </w:rPr>
        <w:t>:</w:t>
      </w:r>
    </w:p>
    <w:p w:rsidR="002536E2" w:rsidRPr="0073380D" w:rsidRDefault="001137EE" w:rsidP="008F6D5D">
      <w:pPr>
        <w:spacing w:after="0"/>
        <w:jc w:val="both"/>
        <w:rPr>
          <w:rFonts w:cstheme="minorHAnsi"/>
          <w:sz w:val="19"/>
          <w:szCs w:val="19"/>
        </w:rPr>
      </w:pPr>
      <w:r w:rsidRPr="0073380D">
        <w:rPr>
          <w:rFonts w:cstheme="minorHAnsi"/>
          <w:sz w:val="19"/>
          <w:szCs w:val="19"/>
        </w:rPr>
        <w:t xml:space="preserve">Lisez toujours les instructions du produit avant utilisation. Ne pas dépasser la dose recommandée. Si vous souffrez d'allergies alimentaires, assurez-vous d'en parler à votre professionnel </w:t>
      </w:r>
      <w:r w:rsidR="0022297D" w:rsidRPr="0073380D">
        <w:rPr>
          <w:rFonts w:cstheme="minorHAnsi"/>
          <w:sz w:val="19"/>
          <w:szCs w:val="19"/>
        </w:rPr>
        <w:t xml:space="preserve">de la santé avant d'utiliser ce produit. </w:t>
      </w:r>
      <w:r w:rsidRPr="0073380D">
        <w:rPr>
          <w:rFonts w:cstheme="minorHAnsi"/>
          <w:sz w:val="19"/>
          <w:szCs w:val="19"/>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73380D"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85" w:rsidRDefault="001B0C85" w:rsidP="007008A5">
      <w:pPr>
        <w:spacing w:after="0" w:line="240" w:lineRule="auto"/>
      </w:pPr>
      <w:r>
        <w:separator/>
      </w:r>
    </w:p>
  </w:endnote>
  <w:endnote w:type="continuationSeparator" w:id="0">
    <w:p w:rsidR="001B0C85" w:rsidRDefault="001B0C8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04484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45709C">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85" w:rsidRDefault="001B0C85" w:rsidP="007008A5">
      <w:pPr>
        <w:spacing w:after="0" w:line="240" w:lineRule="auto"/>
      </w:pPr>
      <w:r>
        <w:separator/>
      </w:r>
    </w:p>
  </w:footnote>
  <w:footnote w:type="continuationSeparator" w:id="0">
    <w:p w:rsidR="001B0C85" w:rsidRDefault="001B0C8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1756F"/>
    <w:multiLevelType w:val="hybridMultilevel"/>
    <w:tmpl w:val="DE9235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9E2266"/>
    <w:multiLevelType w:val="hybridMultilevel"/>
    <w:tmpl w:val="D32E431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094C26"/>
    <w:rsid w:val="001137EE"/>
    <w:rsid w:val="001B0C85"/>
    <w:rsid w:val="0022297D"/>
    <w:rsid w:val="0025164C"/>
    <w:rsid w:val="002536E2"/>
    <w:rsid w:val="00261BAB"/>
    <w:rsid w:val="00261BCD"/>
    <w:rsid w:val="002C0930"/>
    <w:rsid w:val="00387F99"/>
    <w:rsid w:val="00393156"/>
    <w:rsid w:val="0045709C"/>
    <w:rsid w:val="0049218A"/>
    <w:rsid w:val="0059607B"/>
    <w:rsid w:val="007008A5"/>
    <w:rsid w:val="0073380D"/>
    <w:rsid w:val="008869B4"/>
    <w:rsid w:val="00893C60"/>
    <w:rsid w:val="008F18C5"/>
    <w:rsid w:val="008F6D5D"/>
    <w:rsid w:val="00966FDE"/>
    <w:rsid w:val="00A50D39"/>
    <w:rsid w:val="00B205F1"/>
    <w:rsid w:val="00C226D5"/>
    <w:rsid w:val="00C32699"/>
    <w:rsid w:val="00CB7261"/>
    <w:rsid w:val="00DC292A"/>
    <w:rsid w:val="00E43E47"/>
    <w:rsid w:val="00EA29A5"/>
    <w:rsid w:val="00FA3D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7C4F7E"/>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C1CD-6F20-4BBC-A77E-4DE2BE85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772</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6</cp:revision>
  <cp:lastPrinted>2020-12-29T19:15:00Z</cp:lastPrinted>
  <dcterms:created xsi:type="dcterms:W3CDTF">2020-12-29T19:05:00Z</dcterms:created>
  <dcterms:modified xsi:type="dcterms:W3CDTF">2021-03-16T22:41:00Z</dcterms:modified>
</cp:coreProperties>
</file>