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9">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A">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Scraping the Dataset (Data Collection)</w:t>
      </w:r>
    </w:p>
    <w:p w:rsidR="00000000" w:rsidDel="00000000" w:rsidP="00000000" w:rsidRDefault="00000000" w:rsidRPr="00000000" w14:paraId="00000079">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we planned to scrape data from the Amazon platform  expecting it to offer insights. However we faced limitations on scraping. Had to explore other options.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In response to these scraping restrictions imposed by platforms our project took a flexible approach. We shifted our focus towards finding solutions to obtain the desired data. This pursuit of alternatives led us to collecting the dataset from Stanford University, which granted us access, to the Amazon Electronics dataset.</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 dataset acquired through this collaboration now forms a part of our research endeavor. It not provides a substantial amount of data for analysis but also highlights our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80">
      <w:pPr>
        <w:spacing w:line="276" w:lineRule="auto"/>
        <w:rPr/>
      </w:pPr>
      <w:r w:rsidDel="00000000" w:rsidR="00000000" w:rsidRPr="00000000">
        <w:rPr>
          <w:rtl w:val="0"/>
        </w:rPr>
        <w:t xml:space="preserve">The project starts by reading the Amazon Electronics dataset from a JSON file format. JSON is selected because it can represent hierarchical data structures in a way that humans can easily understand, making it perfect for datasets of different levels of complexity.</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Converting it into an Excel File</w:t>
      </w:r>
    </w:p>
    <w:p w:rsidR="00000000" w:rsidDel="00000000" w:rsidP="00000000" w:rsidRDefault="00000000" w:rsidRPr="00000000" w14:paraId="00000085">
      <w:pPr>
        <w:spacing w:line="276" w:lineRule="auto"/>
        <w:rPr/>
      </w:pPr>
      <w:r w:rsidDel="00000000" w:rsidR="00000000" w:rsidRPr="00000000">
        <w:rPr>
          <w:rtl w:val="0"/>
        </w:rPr>
        <w:t xml:space="preserve">The project recognizes the significance of having structured data for effective analysis. To achieve this we convert the JSON data into an organized format by transforming it into an Excel spreadsheet. This conversion process utilizes the pandas library, which is a powerful tool in Python for manipulating data.</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Moreover, Excel's user-friendly interface makes it accessible to team members who may not have specialized skills promoting collaborative decision making.</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Preprocessing plays a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8A">
      <w:pPr>
        <w:spacing w:line="276" w:lineRule="auto"/>
        <w:rPr>
          <w:b w:val="1"/>
        </w:rPr>
      </w:pPr>
      <w:r w:rsidDel="00000000" w:rsidR="00000000" w:rsidRPr="00000000">
        <w:rPr>
          <w:b w:val="1"/>
          <w:rtl w:val="0"/>
        </w:rPr>
        <w:t xml:space="preserve">Importing The Dataset</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 Dataset “Electronics.xlsx”  is imported using the pandas library. This step is crucial to proceed with data analysis and model development</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Basic Info and Statistics</w:t>
      </w:r>
    </w:p>
    <w:p w:rsidR="00000000" w:rsidDel="00000000" w:rsidP="00000000" w:rsidRDefault="00000000" w:rsidRPr="00000000" w14:paraId="00000090">
      <w:pPr>
        <w:spacing w:line="276" w:lineRule="auto"/>
        <w:rPr/>
      </w:pPr>
      <w:r w:rsidDel="00000000" w:rsidR="00000000" w:rsidRPr="00000000">
        <w:rPr>
          <w:rtl w:val="0"/>
        </w:rPr>
        <w:t xml:space="preserve">During the phase of this project's data exploration journey, we conducted a thorough and organized analysis to uncover the fundamental characteristics of the dataset. This analysis involves examining aspects that provide valuable insights, for the rest of the project.</w:t>
        <w:br w:type="textWrapping"/>
      </w:r>
    </w:p>
    <w:p w:rsidR="00000000" w:rsidDel="00000000" w:rsidP="00000000" w:rsidRDefault="00000000" w:rsidRPr="00000000" w14:paraId="00000091">
      <w:pPr>
        <w:spacing w:line="276" w:lineRule="auto"/>
        <w:rPr/>
      </w:pPr>
      <w:r w:rsidDel="00000000" w:rsidR="00000000" w:rsidRPr="00000000">
        <w:rPr>
          <w:rtl w:val="0"/>
        </w:rPr>
        <w:t xml:space="preserve">As the data-driven approach begins we get a view of how the dataset is structured. This important factor gives us an idea of its composition, including the number of rows and columns that define its shape. By understanding the structure of the dataset we gain an understanding of its size and scope.</w:t>
        <w:br w:type="textWrapping"/>
        <w:br w:type="textWrapping"/>
        <w:t xml:space="preserve">As we move forward we focus more on the information contained in the dataset. This involves examining the metadata of the data, which reveals important details like the types of data in each column and if there are any missing values. Taking a look at these data attributes gives us valuable insights into the nature of the dataset, forming a solid foundation for further analysis.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Moreover, our exploration takes us to summary statistics, where important metrics provide a picture of how the data is distributed and its central tendencies. Descriptive statistics help us summarize attributes by giving us markers such as mean, median, and dispersion. These statistics give us a view of how the data behaves informing our subsequent analysis and guiding decision making. </w:t>
        <w:br w:type="textWrapping"/>
        <w:br w:type="textWrapping"/>
        <w:t xml:space="preserve">In this evolving story of data exploration the initial phase of diving into information and statistics goes beyond a mere procedural requirement; it represents a curious quest that establishes the foundation for deeper understandings. The exploration acts as a guiding compass for the project determining the path for analytical pursuits and grounding the investigation</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