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56"/>
          <w:szCs w:val="56"/>
        </w:rPr>
        <w:t xml:space="preserve">VARGATE-PROXY</w:t>
      </w:r>
    </w:p>
    <w:p>
      <w:pPr>
        <w:spacing w:before="200"/>
        <w:jc w:val="center"/>
      </w:pPr>
      <w:r>
        <w:rPr>
          <w:rFonts w:ascii="Arial" w:cs="Arial" w:eastAsia="Arial" w:hAnsi="Arial"/>
          <w:color w:val="555555"/>
          <w:sz w:val="36"/>
          <w:szCs w:val="36"/>
        </w:rPr>
        <w:t xml:space="preserve">Technical Sprint Plan</w:t>
      </w:r>
    </w:p>
    <w:p>
      <w:pPr>
        <w:spacing w:before="100"/>
        <w:jc w:val="center"/>
      </w:pPr>
      <w:r>
        <w:rPr>
          <w:rFonts w:ascii="Arial" w:cs="Arial" w:eastAsia="Arial" w:hAnsi="Arial"/>
          <w:color w:val="777777"/>
          <w:sz w:val="22"/>
          <w:szCs w:val="22"/>
        </w:rPr>
        <w:t xml:space="preserve">8 Sprints · 16 Weeks · Open-Source Launch to Enterprise Readiness</w:t>
      </w:r>
    </w:p>
    <w:p>
      <w:pPr>
        <w:spacing w:before="600"/>
        <w:jc w:val="center"/>
      </w:pPr>
      <w:r>
        <w:rPr>
          <w:rFonts w:ascii="Arial" w:cs="Arial" w:eastAsia="Arial" w:hAnsi="Arial"/>
          <w:color w:val="999999"/>
          <w:sz w:val="22"/>
          <w:szCs w:val="22"/>
        </w:rPr>
        <w:t xml:space="preserve">April 2026 — Confidential</w:t>
      </w:r>
    </w:p>
    <w:p>
      <w:pPr>
        <w:spacing w:before="200"/>
        <w:jc w:val="center"/>
      </w:pPr>
      <w:r>
        <w:rPr>
          <w:rFonts w:ascii="Arial" w:cs="Arial" w:eastAsia="Arial" w:hAnsi="Arial"/>
          <w:b/>
          <w:bCs/>
          <w:color w:val="333333"/>
          <w:sz w:val="22"/>
          <w:szCs w:val="22"/>
        </w:rPr>
        <w:t xml:space="preserve">Owner: Rick Larkin</w:t>
      </w:r>
      <w:r>
        <w:rPr>
          <w:rFonts w:ascii="Arial" w:cs="Arial" w:eastAsia="Arial" w:hAnsi="Arial"/>
          <w:color w:val="555555"/>
          <w:sz w:val="22"/>
          <w:szCs w:val="22"/>
        </w:rPr>
        <w:t xml:space="preserve">  |  Technical Lead</w:t>
      </w:r>
    </w:p>
    <w:p>
      <w:pPr>
        <w:spacing w:before="600"/>
        <w:jc w:val="center"/>
      </w:pPr>
      <w:r>
        <w:rPr>
          <w:rFonts w:ascii="Arial" w:cs="Arial" w:eastAsia="Arial" w:hAnsi="Arial"/>
          <w:color w:val="AAAAAA"/>
          <w:sz w:val="18"/>
          <w:szCs w:val="18"/>
        </w:rPr>
        <w:t xml:space="preserve">Based on: vargate-proxy repository (root@178.104.37.3:/root/vargate.ai)</w:t>
      </w:r>
    </w:p>
    <w:p>
      <w:pPr>
        <w:spacing w:before="80"/>
        <w:jc w:val="center"/>
      </w:pPr>
      <w:r>
        <w:rPr>
          <w:rFonts w:ascii="Arial" w:cs="Arial" w:eastAsia="Arial" w:hAnsi="Arial"/>
          <w:color w:val="AAAAAA"/>
          <w:sz w:val="18"/>
          <w:szCs w:val="18"/>
        </w:rPr>
        <w:t xml:space="preserve">Stages 1–7 + Stage 10 (Resend email) complete | Whitepaper v2.0 | AGCS v0.9</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1. Codebase Assessment: Current State</w:t>
      </w:r>
    </w:p>
    <w:p>
      <w:pPr>
        <w:spacing w:after="100"/>
      </w:pPr>
      <w:r>
        <w:rPr>
          <w:rFonts w:ascii="Arial" w:cs="Arial" w:eastAsia="Arial" w:hAnsi="Arial"/>
          <w:sz w:val="21"/>
          <w:szCs w:val="21"/>
        </w:rPr>
        <w:t xml:space="preserve">This section maps every component of the vargate-proxy repository against its target state for open-source launch and free-tier readiness. The assessment is based on the 7-stage build history, the technical whitepaper v2.0, and the AGCS v0.9 standard.</w:t>
      </w:r>
    </w:p>
    <w:p>
      <w:pPr>
        <w:spacing w:after="80"/>
      </w:pPr>
    </w:p>
    <w:p>
      <w:pPr>
        <w:pStyle w:val="Heading2"/>
        <w:spacing w:after="140" w:before="280"/>
      </w:pPr>
      <w:r>
        <w:rPr>
          <w:rFonts w:ascii="Arial" w:cs="Arial" w:eastAsia="Arial" w:hAnsi="Arial"/>
          <w:b/>
          <w:bCs/>
          <w:color w:val="1B4F72"/>
          <w:sz w:val="26"/>
          <w:szCs w:val="26"/>
        </w:rPr>
        <w:t xml:space="preserve">1.1 Architecture Overview (As-Built)</w:t>
      </w:r>
    </w:p>
    <w:p>
      <w:pPr>
        <w:spacing w:after="100"/>
      </w:pPr>
      <w:r>
        <w:rPr>
          <w:rFonts w:ascii="Arial" w:cs="Arial" w:eastAsia="Arial" w:hAnsi="Arial"/>
          <w:sz w:val="21"/>
          <w:szCs w:val="21"/>
        </w:rPr>
        <w:t xml:space="preserve">The repository contains 7 Docker Compose services running on Hetzner AX42 (178.104.37.3). The gateway (FastAPI, port 8000) intercepts agent tool calls via POST /mcp/tools/call, evaluates them against OPA (port 8181) with a two-pass pattern, writes to a hash-chained SQLite audit log, tracks behavioural history in Redis (port 6379), manages per-subject encryption via SoftHSM2 (port 8300), anchors to blockchain (Hardhat local on port 8545, Sepolia testnet live), and serves a React dashboard (port 3000).</w:t>
      </w:r>
    </w:p>
    <w:p>
      <w:pPr>
        <w:spacing w:after="80"/>
      </w:pPr>
    </w:p>
    <w:p>
      <w:pPr>
        <w:pStyle w:val="Heading2"/>
        <w:spacing w:after="140" w:before="280"/>
      </w:pPr>
      <w:r>
        <w:rPr>
          <w:rFonts w:ascii="Arial" w:cs="Arial" w:eastAsia="Arial" w:hAnsi="Arial"/>
          <w:b/>
          <w:bCs/>
          <w:color w:val="1B4F72"/>
          <w:sz w:val="26"/>
          <w:szCs w:val="26"/>
        </w:rPr>
        <w:t xml:space="preserve">1.2 Component Status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600"/>
        <w:gridCol w:w="1800"/>
        <w:gridCol w:w="15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Implementation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Sprint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MCP Gateway (main.py)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DONE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FastAPI proxy, POST /mcp/tools/call, two-pass OPA eval, async audit writes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Single-tenant only</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OPA Policy 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DONE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violation rules, dynamic bundle gen, ETag polling, hot-swap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per-tenant policies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2–3</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Bundle Server</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DONE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Dynamic Rego generation, archive every revision, update API</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 multi-tenant bundle isolation</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Hash-Chained Audit Log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DONE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SHA-256 chain, GENESIS anchor, WAL mode, chain verification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Linear chain only; no Merkle trees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5</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Redis Behavioural History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DONE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Per-agent counters, anomaly scoring, 3-key model, 24h TTL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 tenant-scoped namespacing</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React 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DONE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Chain status, stats, audit table, tamper sim, policy timeline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per-tenant views, no auth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3</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Policy Replay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DONE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Ephemeral OPA, bulk replay, CLI tool, stored OPA input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None for MVP</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Crypto-Shredding (HSM)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DONE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SoftHSM2 PKCS#11, PII detection, per-subject AES-256, erasure certs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 for MVP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Blockchain Anchoring</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F39C12"/>
                <w:sz w:val="20"/>
                <w:szCs w:val="20"/>
              </w:rPr>
              <w:t xml:space="preserve">PARTIAL</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Hardhat local + Sepolia live, AuditAnchor.sol, 60s anchor loop</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/anchor/verify 500 error; no Merkle root; no multi-chain</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1,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Email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DONE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Resend API, crazy.mary@vargate.ai, runtime CC config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human-approval workflow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4</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Latency Instrumentation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DONE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OPA + total latency logged to SQLite, displayed in UI</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 Prometheus/Grafana</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Multi-Tenancy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20"/>
                <w:szCs w:val="20"/>
              </w:rPr>
              <w:t xml:space="preserve">MISSING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implemented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Per-tenant isolation, rate limits, API keys, dashboard views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2–3</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Signup Flow</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E74C3C"/>
                <w:sz w:val="20"/>
                <w:szCs w:val="20"/>
              </w:rPr>
              <w:t xml:space="preserve">MISSING</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Not implemented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Registration, API key provisioning, GitHub/email gate</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Rate Limiting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20"/>
                <w:szCs w:val="20"/>
              </w:rPr>
              <w:t xml:space="preserve">MISSING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implemented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 actions/day per tenant, burst control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2</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Merkle Tree Aggregation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E74C3C"/>
                <w:sz w:val="20"/>
                <w:szCs w:val="20"/>
              </w:rPr>
              <w:t xml:space="preserve">MISSING</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Linear hash chain only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AGCS AG-2.2: hourly Merkle roots, inclusion/consistency proofs</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CI/CD Pipeline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20"/>
                <w:szCs w:val="20"/>
              </w:rPr>
              <w:t xml:space="preserve">MISSING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GitHub Actions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Lint, test, build, deploy automation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1</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Landing Page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E74C3C"/>
                <w:sz w:val="20"/>
                <w:szCs w:val="20"/>
              </w:rPr>
              <w:t xml:space="preserve">MISSING</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Not implemented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Product page with live dashboard embed</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GTM Agent Config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20"/>
                <w:szCs w:val="20"/>
              </w:rPr>
              <w:t xml:space="preserve">MISSING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implemented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running through proxy, human-approval, public dashboard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4</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Monitoring &amp; Alerting</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E74C3C"/>
                <w:sz w:val="20"/>
                <w:szCs w:val="20"/>
              </w:rPr>
              <w:t xml:space="preserve">MISSING</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No monitoring stack</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Uptime, latency p99, disk, error alerting</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6</w:t>
            </w:r>
          </w:p>
        </w:tc>
      </w:tr>
    </w:tbl>
    <w:p>
      <w:r>
        <w:br w:type="page"/>
      </w:r>
    </w:p>
    <w:p>
      <w:pPr>
        <w:pStyle w:val="Heading1"/>
        <w:spacing w:after="200" w:before="360"/>
      </w:pPr>
      <w:r>
        <w:rPr>
          <w:rFonts w:ascii="Arial" w:cs="Arial" w:eastAsia="Arial" w:hAnsi="Arial"/>
          <w:b/>
          <w:bCs/>
          <w:color w:val="1B4F72"/>
          <w:sz w:val="32"/>
          <w:szCs w:val="32"/>
        </w:rPr>
        <w:t xml:space="preserve">2. Sprint Plan Overview</w:t>
      </w:r>
    </w:p>
    <w:p>
      <w:pPr>
        <w:spacing w:after="100"/>
      </w:pPr>
      <w:r>
        <w:rPr>
          <w:rFonts w:ascii="Arial" w:cs="Arial" w:eastAsia="Arial" w:hAnsi="Arial"/>
          <w:sz w:val="21"/>
          <w:szCs w:val="21"/>
        </w:rPr>
        <w:t xml:space="preserve">Eight 2-week sprints covering 16 weeks from repo cleanup to production-grade free tier. Sprints 1–4 target open-source launch readiness. Sprints 5–8 close AGCS compliance gaps and build toward enterprise features. Total estimated effort: 195–230 story 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2600"/>
        <w:gridCol w:w="500"/>
        <w:gridCol w:w="466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Dates</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Sprint Name</w:t>
            </w:r>
          </w:p>
        </w:tc>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w:t>
            </w:r>
          </w:p>
        </w:tc>
        <w:tc>
          <w:tcPr>
            <w:tcW w:type="dxa" w:w="4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S1</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Weeks 1–2</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Bug Fixes, Repo Cleanup &amp; CI</w:t>
            </w:r>
          </w:p>
        </w:tc>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Fix /anchor/verify, code style, licence, contributor docs, GitHub Actions CI, Docker one-command demo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Weeks 3–4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Multi-Tenancy Foundation</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model, per-tenant audit isolation, Redis namespacing, rate limiting, API key auth, bundle server tenant support</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S3</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Weeks 5–6</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Signup, Dashboard Auth &amp; Landing Page</w:t>
            </w:r>
          </w:p>
        </w:tc>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Registration flow, API key provisioning, per-tenant dashboard views, shareable URLs, landing page with live embed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Weeks 7–8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GTM Agent &amp; Human-Approval Workflow</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config through proxy, human-approval queue for outbound, transparency endpoint, public audit dashboard</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S5</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Weeks 9–10</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Merkle Trees &amp; Production Blockchain</w:t>
            </w:r>
          </w:p>
        </w:tc>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Merkle tree aggregation (AG-2.2), inclusion/consistency proofs, multi-chain support (Polygon, Ethereum mainnet)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Weeks 11–12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Monitoring, Observability &amp; Hardening</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Prometheus metrics, alerting, automated backups, security hardening, penetration testing prep</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S7</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Weeks 13–14</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Developer Experience &amp; SDK</w:t>
            </w:r>
          </w:p>
        </w:tc>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API documentation (OpenAPI), code snippets, integration examples, policy template library, CLI improvements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Weeks 15–16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Enterprise Readiness &amp; AGCS Compliance</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AGCS self-assessment, compliance artifacts, failure mode config, NemoClaw positioning update, whitepaper v2.1</w:t>
            </w:r>
          </w:p>
        </w:tc>
      </w:tr>
    </w:tbl>
    <w:p>
      <w:pPr>
        <w:spacing w:after="80"/>
      </w:pPr>
    </w:p>
    <w:p>
      <w:pPr>
        <w:spacing w:after="100"/>
      </w:pPr>
      <w:r>
        <w:rPr>
          <w:rFonts w:ascii="Arial" w:cs="Arial" w:eastAsia="Arial" w:hAnsi="Arial"/>
          <w:b/>
          <w:bCs/>
          <w:sz w:val="21"/>
          <w:szCs w:val="21"/>
        </w:rPr>
        <w:t xml:space="preserve">Milestone: Open-source launch readiness = end of Sprint 4 (Week 8). Push repo public at start of Week 9.</w:t>
      </w:r>
    </w:p>
    <w:p>
      <w:r>
        <w:br w:type="page"/>
      </w:r>
    </w:p>
    <w:p>
      <w:pPr>
        <w:pStyle w:val="Heading1"/>
        <w:spacing w:after="200" w:before="360"/>
      </w:pPr>
      <w:r>
        <w:rPr>
          <w:rFonts w:ascii="Arial" w:cs="Arial" w:eastAsia="Arial" w:hAnsi="Arial"/>
          <w:b/>
          <w:bCs/>
          <w:color w:val="1B4F72"/>
          <w:sz w:val="32"/>
          <w:szCs w:val="32"/>
        </w:rPr>
        <w:t xml:space="preserve">3. Sprint Details</w:t>
      </w:r>
    </w:p>
    <w:p>
      <w:pPr>
        <w:pStyle w:val="Heading2"/>
        <w:spacing w:after="140" w:before="280"/>
      </w:pPr>
      <w:r>
        <w:rPr>
          <w:rFonts w:ascii="Arial" w:cs="Arial" w:eastAsia="Arial" w:hAnsi="Arial"/>
          <w:b/>
          <w:bCs/>
          <w:color w:val="1B4F72"/>
          <w:sz w:val="26"/>
          <w:szCs w:val="26"/>
        </w:rPr>
        <w:t xml:space="preserve">Sprint 1: Bug Fixes, Repo Cleanup &amp; CI (Weeks 1–2)</w:t>
      </w:r>
    </w:p>
    <w:p>
      <w:pPr>
        <w:spacing w:after="100"/>
      </w:pPr>
      <w:r>
        <w:rPr>
          <w:rFonts w:ascii="Arial" w:cs="Arial" w:eastAsia="Arial" w:hAnsi="Arial"/>
          <w:sz w:val="21"/>
          <w:szCs w:val="21"/>
        </w:rPr>
        <w:t xml:space="preserve">Goal: Make the existing codebase shippable. Fix the one known production bug, clean the repo for public eyes, establish automated quality gates, and ensure the demo runs from a cold start with a single command.</w:t>
      </w:r>
    </w:p>
    <w:p>
      <w:pPr>
        <w:spacing w:after="80"/>
      </w:pPr>
    </w:p>
    <w:p>
      <w:pPr>
        <w:spacing w:after="100" w:before="200"/>
      </w:pPr>
      <w:r>
        <w:rPr>
          <w:rFonts w:ascii="Arial" w:cs="Arial" w:eastAsia="Arial" w:hAnsi="Arial"/>
          <w:b/>
          <w:bCs/>
          <w:color w:val="333333"/>
          <w:sz w:val="22"/>
          <w:szCs w:val="22"/>
        </w:rPr>
        <w:t xml:space="preserve">Sprint 1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50"/>
        <w:gridCol w:w="1800"/>
        <w:gridCol w:w="900"/>
        <w:gridCol w:w="301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 Component</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AGCS</w:t>
            </w:r>
          </w:p>
        </w:tc>
        <w:tc>
          <w:tcPr>
            <w:tcW w:type="dxa" w:w="30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Fix /anchor/verify 500 error</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gateway/main.py (BlockchainClient)</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AG-2.6</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GET /anchor/verify returns 200 with valid chain comparison; regression test passes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Debug root cause: likely contract ABI mismatch or stale anchor index after restart</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blockchain/scripts/deploy.js, shared-data volume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Root cause documented; fix verified on Sepolia testnet</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Code style standardisation (Black + isort for Python, Prettier for JS/React)</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All .py, .js, .jsx files</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Zero lint warnings; formatters run clean on full repo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Remove hardcoded credentials, secrets, and IP addresses</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files; .env.example created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 secrets scan passes; no literals in committed code</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Choose and apply open-source licence</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LICENSE, package.json, file headers</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Apache 2.0 (or BSL) applied; licence header in every source file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 CONTRIBUTING.md and CODE_OF_CONDUCT.md</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CONTRIBUTING.md, CODE_OF_CONDUCT.md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 workflow, branch naming, commit style documented</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Document known limitations honestly in README</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README.md</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Merkle tree gap, single-tenant status, Hardhat-only anchoring noted explicitly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 up GitHub Actions CI pipeline</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.github/workflows/ci.yml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 every PR: lint, unit tests, docker compose build, test_demo.py passes</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Docker Compose one-command cold start</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docker-compose.yml, entrypoint scripts</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docker compose up --build from clean clone → all 7 services healthy in &lt;90s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Pin all dependency versions (requirements.txt, package.json)</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requirements.txt, package-lock.json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Reproducible builds; no floating versions</w:t>
            </w:r>
          </w:p>
        </w:tc>
      </w:tr>
    </w:tbl>
    <w:p>
      <w:pPr>
        <w:spacing w:after="80"/>
      </w:pPr>
    </w:p>
    <w:p>
      <w:pPr>
        <w:spacing w:after="100" w:before="200"/>
      </w:pPr>
      <w:r>
        <w:rPr>
          <w:rFonts w:ascii="Arial" w:cs="Arial" w:eastAsia="Arial" w:hAnsi="Arial"/>
          <w:b/>
          <w:bCs/>
          <w:color w:val="333333"/>
          <w:sz w:val="22"/>
          <w:szCs w:val="22"/>
        </w:rPr>
        <w:t xml:space="preserve">Sprint 1 Definition of Done</w:t>
      </w:r>
    </w:p>
    <w:p>
      <w:pPr>
        <w:pStyle w:val="ListParagraph"/>
        <w:numPr>
          <w:ilvl w:val="0"/>
          <w:numId w:val="2"/>
        </w:numPr>
        <w:spacing w:after="50"/>
      </w:pPr>
      <w:r>
        <w:rPr>
          <w:rFonts w:ascii="Arial" w:cs="Arial" w:eastAsia="Arial" w:hAnsi="Arial"/>
          <w:sz w:val="20"/>
          <w:szCs w:val="20"/>
        </w:rPr>
        <w:t xml:space="preserve">All existing test scripts pass (test_demo.py, test_hotswap.py, test_behavioral.py, test_replay.py, test_crypto_shredding.py, test_blockchain.py)</w:t>
      </w:r>
    </w:p>
    <w:p>
      <w:pPr>
        <w:pStyle w:val="ListParagraph"/>
        <w:numPr>
          <w:ilvl w:val="0"/>
          <w:numId w:val="2"/>
        </w:numPr>
        <w:spacing w:after="50"/>
      </w:pPr>
      <w:r>
        <w:rPr>
          <w:rFonts w:ascii="Arial" w:cs="Arial" w:eastAsia="Arial" w:hAnsi="Arial"/>
          <w:sz w:val="20"/>
          <w:szCs w:val="20"/>
        </w:rPr>
        <w:t xml:space="preserve">/anchor/verify returns 200 on Sepolia testnet</w:t>
      </w:r>
    </w:p>
    <w:p>
      <w:pPr>
        <w:pStyle w:val="ListParagraph"/>
        <w:numPr>
          <w:ilvl w:val="0"/>
          <w:numId w:val="2"/>
        </w:numPr>
        <w:spacing w:after="50"/>
      </w:pPr>
      <w:r>
        <w:rPr>
          <w:rFonts w:ascii="Arial" w:cs="Arial" w:eastAsia="Arial" w:hAnsi="Arial"/>
          <w:sz w:val="20"/>
          <w:szCs w:val="20"/>
        </w:rPr>
        <w:t xml:space="preserve">GitHub Actions CI green on main branch</w:t>
      </w:r>
    </w:p>
    <w:p>
      <w:pPr>
        <w:pStyle w:val="ListParagraph"/>
        <w:numPr>
          <w:ilvl w:val="0"/>
          <w:numId w:val="2"/>
        </w:numPr>
        <w:spacing w:after="50"/>
      </w:pPr>
      <w:r>
        <w:rPr>
          <w:rFonts w:ascii="Arial" w:cs="Arial" w:eastAsia="Arial" w:hAnsi="Arial"/>
          <w:sz w:val="20"/>
          <w:szCs w:val="20"/>
        </w:rPr>
        <w:t xml:space="preserve">Clean clone → docker compose up → all services healthy</w:t>
      </w:r>
    </w:p>
    <w:p>
      <w:pPr>
        <w:pStyle w:val="ListParagraph"/>
        <w:numPr>
          <w:ilvl w:val="0"/>
          <w:numId w:val="2"/>
        </w:numPr>
        <w:spacing w:after="50"/>
      </w:pPr>
      <w:r>
        <w:rPr>
          <w:rFonts w:ascii="Arial" w:cs="Arial" w:eastAsia="Arial" w:hAnsi="Arial"/>
          <w:sz w:val="20"/>
          <w:szCs w:val="20"/>
        </w:rPr>
        <w:t xml:space="preserve">Zero secrets in committed code (verified by git-secrets scan)</w:t>
      </w:r>
    </w:p>
    <w:p>
      <w:r>
        <w:br w:type="page"/>
      </w:r>
    </w:p>
    <w:p>
      <w:pPr>
        <w:pStyle w:val="Heading2"/>
        <w:spacing w:after="140" w:before="280"/>
      </w:pPr>
      <w:r>
        <w:rPr>
          <w:rFonts w:ascii="Arial" w:cs="Arial" w:eastAsia="Arial" w:hAnsi="Arial"/>
          <w:b/>
          <w:bCs/>
          <w:color w:val="1B4F72"/>
          <w:sz w:val="26"/>
          <w:szCs w:val="26"/>
        </w:rPr>
        <w:t xml:space="preserve">Sprint 2: Multi-Tenancy Foundation (Weeks 3–4)</w:t>
      </w:r>
    </w:p>
    <w:p>
      <w:pPr>
        <w:spacing w:after="100"/>
      </w:pPr>
      <w:r>
        <w:rPr>
          <w:rFonts w:ascii="Arial" w:cs="Arial" w:eastAsia="Arial" w:hAnsi="Arial"/>
          <w:sz w:val="21"/>
          <w:szCs w:val="21"/>
        </w:rPr>
        <w:t xml:space="preserve">Goal: Transform the single-tenant demo into a multi-tenant system that can isolate audit logs, rate-limit per tenant, namespace Redis state, and authenticate requests via API keys. This is the highest-risk, highest-effort sprint and the hard dependency for everything that follows.</w:t>
      </w:r>
    </w:p>
    <w:p>
      <w:pPr>
        <w:spacing w:after="80"/>
      </w:pPr>
    </w:p>
    <w:p>
      <w:pPr>
        <w:spacing w:after="100" w:before="200"/>
      </w:pPr>
      <w:r>
        <w:rPr>
          <w:rFonts w:ascii="Arial" w:cs="Arial" w:eastAsia="Arial" w:hAnsi="Arial"/>
          <w:b/>
          <w:bCs/>
          <w:color w:val="333333"/>
          <w:sz w:val="22"/>
          <w:szCs w:val="22"/>
        </w:rPr>
        <w:t xml:space="preserve">Sprint 2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50"/>
        <w:gridCol w:w="1800"/>
        <w:gridCol w:w="900"/>
        <w:gridCol w:w="301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 Component</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AGCS</w:t>
            </w:r>
          </w:p>
        </w:tc>
        <w:tc>
          <w:tcPr>
            <w:tcW w:type="dxa" w:w="30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Design tenant data model (SQLite: tenants table with id, name, api_key_hash, created_at, plan, rate_limit)</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gateway/models.py (new)</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Schema migration script; tenant CRUD operations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key authentication middleware</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gateway/middleware.py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X-API-Key header validated on every /mcp/tools/call; 401 on invalid; tenant_id injected into request context</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Per-tenant audit log isolation</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gateway/main.py, audit module</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AG-1.1</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tenant_id column on all audit records; GET /audit/log returns only caller’s records; cross-tenant query impossible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Per-tenant hash chain (separate chain per tenant, each with own GENESIS)</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gateway/audit.py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AG-1.3</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Chain verification scoped per tenant; tampering one tenant’s chain doesn’t break another’s</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Redis key namespacing (prefix all keys with tenant_id)</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gateway/behavioral.py</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agent:{tenant}:{agent_id}:counters pattern; no cross-tenant key collisions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limiting middleware (token bucket per tenant, 1,000 actions/day default)</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gateway/rate_limiter.py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429 returned at limit; Redis-backed counter; configurable per-tenant</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Bundle server: tenant-aware policy bundles</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bundle-server/main.py</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AG-1.2</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Each tenant can have custom policy overrides; default policy applies to all; per-tenant bundle archival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API: create/list/disable tenants</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gateway/admin.py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/admin/tenants, GET /admin/tenants, PATCH /admin/tenants/{id}; protected by admin key</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Migrate existing demo data to tenant_id=“vargate-internal”</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gateway/migrate.py (new)</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All existing audit records tagged; no data loss; chain integrity preserved post-migration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 all 6 test scripts for multi-tenant context</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test_*.py (all)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tests pass with API key auth; each test creates its own tenant</w:t>
            </w:r>
          </w:p>
        </w:tc>
      </w:tr>
    </w:tbl>
    <w:p>
      <w:pPr>
        <w:spacing w:after="80"/>
      </w:pPr>
    </w:p>
    <w:p>
      <w:pPr>
        <w:spacing w:after="100" w:before="200"/>
      </w:pPr>
      <w:r>
        <w:rPr>
          <w:rFonts w:ascii="Arial" w:cs="Arial" w:eastAsia="Arial" w:hAnsi="Arial"/>
          <w:b/>
          <w:bCs/>
          <w:color w:val="333333"/>
          <w:sz w:val="22"/>
          <w:szCs w:val="22"/>
        </w:rPr>
        <w:t xml:space="preserve">Sprint 2 Architecture Decisions</w:t>
      </w:r>
    </w:p>
    <w:p>
      <w:pPr>
        <w:pStyle w:val="ListParagraph"/>
        <w:numPr>
          <w:ilvl w:val="0"/>
          <w:numId w:val="2"/>
        </w:numPr>
        <w:spacing w:after="50"/>
      </w:pPr>
      <w:r>
        <w:rPr>
          <w:rFonts w:ascii="Arial" w:cs="Arial" w:eastAsia="Arial" w:hAnsi="Arial"/>
          <w:b/>
          <w:bCs/>
          <w:sz w:val="20"/>
          <w:szCs w:val="20"/>
        </w:rPr>
        <w:t xml:space="preserve">Single SQLite database with tenant_id column </w:t>
      </w:r>
      <w:r>
        <w:rPr>
          <w:rFonts w:ascii="Arial" w:cs="Arial" w:eastAsia="Arial" w:hAnsi="Arial"/>
          <w:sz w:val="20"/>
          <w:szCs w:val="20"/>
        </w:rPr>
        <w:t xml:space="preserve">vs. per-tenant database files. Single DB chosen for simplicity at &lt;500 tenants; WAL mode handles concurrent writes. Migration path to per-tenant DBs documented.</w:t>
      </w:r>
    </w:p>
    <w:p>
      <w:pPr>
        <w:pStyle w:val="ListParagraph"/>
        <w:numPr>
          <w:ilvl w:val="0"/>
          <w:numId w:val="2"/>
        </w:numPr>
        <w:spacing w:after="50"/>
      </w:pPr>
      <w:r>
        <w:rPr>
          <w:rFonts w:ascii="Arial" w:cs="Arial" w:eastAsia="Arial" w:hAnsi="Arial"/>
          <w:b/>
          <w:bCs/>
          <w:sz w:val="20"/>
          <w:szCs w:val="20"/>
        </w:rPr>
        <w:t xml:space="preserve">Per-tenant hash chains </w:t>
      </w:r>
      <w:r>
        <w:rPr>
          <w:rFonts w:ascii="Arial" w:cs="Arial" w:eastAsia="Arial" w:hAnsi="Arial"/>
          <w:sz w:val="20"/>
          <w:szCs w:val="20"/>
        </w:rPr>
        <w:t xml:space="preserve">not a single global chain. Required for audit isolation: one tenant’s chain verification must not require reading another tenant’s records.</w:t>
      </w:r>
    </w:p>
    <w:p>
      <w:pPr>
        <w:pStyle w:val="ListParagraph"/>
        <w:numPr>
          <w:ilvl w:val="0"/>
          <w:numId w:val="2"/>
        </w:numPr>
        <w:spacing w:after="50"/>
      </w:pPr>
      <w:r>
        <w:rPr>
          <w:rFonts w:ascii="Arial" w:cs="Arial" w:eastAsia="Arial" w:hAnsi="Arial"/>
          <w:b/>
          <w:bCs/>
          <w:sz w:val="20"/>
          <w:szCs w:val="20"/>
        </w:rPr>
        <w:t xml:space="preserve">API key auth (not JWT/OAuth) </w:t>
      </w:r>
      <w:r>
        <w:rPr>
          <w:rFonts w:ascii="Arial" w:cs="Arial" w:eastAsia="Arial" w:hAnsi="Arial"/>
          <w:sz w:val="20"/>
          <w:szCs w:val="20"/>
        </w:rPr>
        <w:t xml:space="preserve">for initial launch. API keys are stateless, simple to implement, and match the developer-first audience. OAuth/SSO deferred to enterprise tier.</w:t>
      </w:r>
    </w:p>
    <w:p>
      <w:r>
        <w:br w:type="page"/>
      </w:r>
    </w:p>
    <w:p>
      <w:pPr>
        <w:pStyle w:val="Heading2"/>
        <w:spacing w:after="140" w:before="280"/>
      </w:pPr>
      <w:r>
        <w:rPr>
          <w:rFonts w:ascii="Arial" w:cs="Arial" w:eastAsia="Arial" w:hAnsi="Arial"/>
          <w:b/>
          <w:bCs/>
          <w:color w:val="1B4F72"/>
          <w:sz w:val="26"/>
          <w:szCs w:val="26"/>
        </w:rPr>
        <w:t xml:space="preserve">Sprint 3: Signup, Dashboard Auth &amp; Landing Page (Weeks 5–6)</w:t>
      </w:r>
    </w:p>
    <w:p>
      <w:pPr>
        <w:spacing w:after="100"/>
      </w:pPr>
      <w:r>
        <w:rPr>
          <w:rFonts w:ascii="Arial" w:cs="Arial" w:eastAsia="Arial" w:hAnsi="Arial"/>
          <w:sz w:val="21"/>
          <w:szCs w:val="21"/>
        </w:rPr>
        <w:t xml:space="preserve">Goal: External developers can self-serve: sign up, receive an API key, configure their agent, view their audit dashboard, and share a public URL of their activity. The landing page goes live as the product’s front door.</w:t>
      </w:r>
    </w:p>
    <w:p>
      <w:pPr>
        <w:spacing w:after="80"/>
      </w:pPr>
    </w:p>
    <w:p>
      <w:pPr>
        <w:spacing w:after="100" w:before="200"/>
      </w:pPr>
      <w:r>
        <w:rPr>
          <w:rFonts w:ascii="Arial" w:cs="Arial" w:eastAsia="Arial" w:hAnsi="Arial"/>
          <w:b/>
          <w:bCs/>
          <w:color w:val="333333"/>
          <w:sz w:val="22"/>
          <w:szCs w:val="22"/>
        </w:rPr>
        <w:t xml:space="preserve">Sprint 3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50"/>
        <w:gridCol w:w="1800"/>
        <w:gridCol w:w="900"/>
        <w:gridCol w:w="301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 Component</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AGCS</w:t>
            </w:r>
          </w:p>
        </w:tc>
        <w:tc>
          <w:tcPr>
            <w:tcW w:type="dxa" w:w="30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Signup endpoint: POST /signup (GitHub OAuth or company email)</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gateway/signup.py (new)</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User registers; API key generated and returned; abuse-filtering on email domain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 OAuth integration (primary signup path)</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gateway/oauth.py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 OAuth flow completes; user profile stored; tenant auto-created</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API key provisioning and rotation</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gateway/auth.py</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POST /api-keys/rotate; old key invalidated; new key returned; grace period configurable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Per-tenant dashboard views with auth</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ui/src/components/TenantDashboard.jsx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scoped to authenticated tenant; all data filtered server-side</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Shareable read-only dashboard URL (/dashboard/{tenant_slug})</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ui/src/components/PublicDashboard.jsx (new), gateway routes</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Public URL shows audit stats, chain status, policy evals; no PII exposed; toggle on/off per tenant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add onboarding wizard (API key copy, quick-start code snippet, status check)</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ui/src/components/Onboarding.jsx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user sees guided setup; first successful /mcp/tools/call triggers “activated” state</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Landing page (static HTML + live dashboard embed)</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landing/ (new directory)</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vargate.ai serves landing page; embedded iframe shows live GTM agent dashboard; GitHub repo link prominent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Email verification flow (for non-GitHub signups)</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gateway/signup.py, Resend integration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Verification email sent; account active only after click; Resend API used</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Tenant settings page (toggle public dashboard, manage API keys)</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ui/src/components/Settings.jsx (new)</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User can enable/disable public URL, rotate API keys, view usage stats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Nginx routing: /api/* → gateway, /dashboard/* → public views, /* → landing</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nginx/nginx.conf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routes resolve correctly; TLS termination via Certbot</w:t>
            </w:r>
          </w:p>
        </w:tc>
      </w:tr>
    </w:tbl>
    <w:p>
      <w:pPr>
        <w:spacing w:after="80"/>
      </w:pPr>
    </w:p>
    <w:p>
      <w:pPr>
        <w:spacing w:after="100" w:before="200"/>
      </w:pPr>
      <w:r>
        <w:rPr>
          <w:rFonts w:ascii="Arial" w:cs="Arial" w:eastAsia="Arial" w:hAnsi="Arial"/>
          <w:b/>
          <w:bCs/>
          <w:color w:val="333333"/>
          <w:sz w:val="22"/>
          <w:szCs w:val="22"/>
        </w:rPr>
        <w:t xml:space="preserve">Sprint 3 Definition of Done</w:t>
      </w:r>
    </w:p>
    <w:p>
      <w:pPr>
        <w:pStyle w:val="ListParagraph"/>
        <w:numPr>
          <w:ilvl w:val="0"/>
          <w:numId w:val="2"/>
        </w:numPr>
        <w:spacing w:after="50"/>
      </w:pPr>
      <w:r>
        <w:rPr>
          <w:rFonts w:ascii="Arial" w:cs="Arial" w:eastAsia="Arial" w:hAnsi="Arial"/>
          <w:sz w:val="20"/>
          <w:szCs w:val="20"/>
        </w:rPr>
        <w:t xml:space="preserve">External developer can: visit vargate.ai → sign up via GitHub → receive API key → send first tool call → see it in their dashboard</w:t>
      </w:r>
    </w:p>
    <w:p>
      <w:pPr>
        <w:pStyle w:val="ListParagraph"/>
        <w:numPr>
          <w:ilvl w:val="0"/>
          <w:numId w:val="2"/>
        </w:numPr>
        <w:spacing w:after="50"/>
      </w:pPr>
      <w:r>
        <w:rPr>
          <w:rFonts w:ascii="Arial" w:cs="Arial" w:eastAsia="Arial" w:hAnsi="Arial"/>
          <w:sz w:val="20"/>
          <w:szCs w:val="20"/>
        </w:rPr>
        <w:t xml:space="preserve">Shareable public dashboard URL works for at least one tenant (vargate-internal)</w:t>
      </w:r>
    </w:p>
    <w:p>
      <w:pPr>
        <w:pStyle w:val="ListParagraph"/>
        <w:numPr>
          <w:ilvl w:val="0"/>
          <w:numId w:val="2"/>
        </w:numPr>
        <w:spacing w:after="50"/>
      </w:pPr>
      <w:r>
        <w:rPr>
          <w:rFonts w:ascii="Arial" w:cs="Arial" w:eastAsia="Arial" w:hAnsi="Arial"/>
          <w:sz w:val="20"/>
          <w:szCs w:val="20"/>
        </w:rPr>
        <w:t xml:space="preserve">Landing page live at vargate.ai with live dashboard embed</w:t>
      </w:r>
    </w:p>
    <w:p>
      <w:r>
        <w:br w:type="page"/>
      </w:r>
    </w:p>
    <w:p>
      <w:pPr>
        <w:pStyle w:val="Heading2"/>
        <w:spacing w:after="140" w:before="280"/>
      </w:pPr>
      <w:r>
        <w:rPr>
          <w:rFonts w:ascii="Arial" w:cs="Arial" w:eastAsia="Arial" w:hAnsi="Arial"/>
          <w:b/>
          <w:bCs/>
          <w:color w:val="1B4F72"/>
          <w:sz w:val="26"/>
          <w:szCs w:val="26"/>
        </w:rPr>
        <w:t xml:space="preserve">Sprint 4: GTM Agent &amp; Human-Approval Workflow (Weeks 7–8)</w:t>
      </w:r>
    </w:p>
    <w:p>
      <w:pPr>
        <w:spacing w:after="100"/>
      </w:pPr>
      <w:r>
        <w:rPr>
          <w:rFonts w:ascii="Arial" w:cs="Arial" w:eastAsia="Arial" w:hAnsi="Arial"/>
          <w:sz w:val="21"/>
          <w:szCs w:val="21"/>
        </w:rPr>
        <w:t xml:space="preserve">Goal: The autonomous GTM agent is running through the Vargate proxy in monitor-only mode. A human-approval queue gates all outbound actions. The transparency endpoint publishes aggregated allow/deny stats. This sprint produces the live demo that no competitor can replicate: a CISO can verify the chain integrity of the agent that contacted them.</w:t>
      </w:r>
    </w:p>
    <w:p>
      <w:pPr>
        <w:spacing w:after="80"/>
      </w:pPr>
    </w:p>
    <w:p>
      <w:pPr>
        <w:spacing w:after="100" w:before="200"/>
      </w:pPr>
      <w:r>
        <w:rPr>
          <w:rFonts w:ascii="Arial" w:cs="Arial" w:eastAsia="Arial" w:hAnsi="Arial"/>
          <w:b/>
          <w:bCs/>
          <w:color w:val="333333"/>
          <w:sz w:val="22"/>
          <w:szCs w:val="22"/>
        </w:rPr>
        <w:t xml:space="preserve">Sprint 4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50"/>
        <w:gridCol w:w="1800"/>
        <w:gridCol w:w="900"/>
        <w:gridCol w:w="301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 Component</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AGCS</w:t>
            </w:r>
          </w:p>
        </w:tc>
        <w:tc>
          <w:tcPr>
            <w:tcW w:type="dxa" w:w="30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4.1</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GTM agent tenant configuration (tenant: vargate-gtm-agent)</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gateway/admin.py, config</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Dedicated tenant with custom rate limits; all agent actions recorded under this tenant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Route all GTM agent actions through Vargate proxy</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config (external), gateway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AG-1.1</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Zero agent actions bypass the proxy; 100% captured in audit log</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4.3</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Human-approval queue: pending actions table + approval API</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gateway/approval.py (new)</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AG-1.5</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Actions requiring approval held in queue; POST /approve/{action_id} or /reject/{action_id}; timeout configurable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Approval UI: web-based queue for reviewing pending outbound emails</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ui/src/components/ApprovalQueue.jsx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Reviewer sees email content, recipient, policy eval; approve/reject with one click; audit trail of approvals</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OPA policy: outbound email requires human approval (custom rule for GTM tenant)</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policies/vargate/gtm_policy.rego (new)</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AG-1.2</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requires_human=true for all email_send actions on GTM tenant; policy archived with revision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GTM agent safety constraints (recipient allowlist, 30/day cap, 30-day cooldown, AI disclosure)</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gateway/gtm_constraints.py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constraints enforced at gateway level; violations blocked and logged</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4.7</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Transparency endpoint: GET /transparency (aggregated allow/deny/anomaly stats)</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gateway/transparency.py (new)</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Public JSON endpoint; no PII; hourly/daily/weekly aggregations; includes policy version history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Publish GTM agent’s public audit dashboard</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 enable public dashboard for vargate-gtm-agent tenant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URL live on GitHub README, landing page, social profiles</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Self-governance demo: controlled policy violation attempts by GTM agent</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Agent config, policies</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Agent periodically tests its own boundaries; blocked attempts visible in transparency endpoint</w:t>
            </w:r>
          </w:p>
        </w:tc>
      </w:tr>
    </w:tbl>
    <w:p>
      <w:pPr>
        <w:spacing w:after="80"/>
      </w:pPr>
    </w:p>
    <w:p>
      <w:pPr>
        <w:spacing w:after="100" w:before="200"/>
      </w:pPr>
      <w:r>
        <w:rPr>
          <w:rFonts w:ascii="Arial" w:cs="Arial" w:eastAsia="Arial" w:hAnsi="Arial"/>
          <w:b/>
          <w:bCs/>
          <w:color w:val="333333"/>
          <w:sz w:val="22"/>
          <w:szCs w:val="22"/>
        </w:rPr>
        <w:t xml:space="preserve">Sprint 4 — Launch Gate Checklist</w:t>
      </w:r>
    </w:p>
    <w:p>
      <w:pPr>
        <w:spacing w:after="100"/>
      </w:pPr>
      <w:r>
        <w:rPr>
          <w:rFonts w:ascii="Arial" w:cs="Arial" w:eastAsia="Arial" w:hAnsi="Arial"/>
          <w:b/>
          <w:bCs/>
          <w:sz w:val="21"/>
          <w:szCs w:val="21"/>
        </w:rPr>
        <w:t xml:space="preserve">At the end of Sprint 4, the repo is ready to push public. The following must all be true:</w:t>
      </w:r>
    </w:p>
    <w:p>
      <w:pPr>
        <w:pStyle w:val="ListParagraph"/>
        <w:numPr>
          <w:ilvl w:val="0"/>
          <w:numId w:val="2"/>
        </w:numPr>
        <w:spacing w:after="50"/>
      </w:pPr>
      <w:r>
        <w:rPr>
          <w:rFonts w:ascii="Arial" w:cs="Arial" w:eastAsia="Arial" w:hAnsi="Arial"/>
          <w:sz w:val="20"/>
          <w:szCs w:val="20"/>
        </w:rPr>
        <w:t xml:space="preserve">All 6 original test scripts + new multi-tenant tests pass</w:t>
      </w:r>
    </w:p>
    <w:p>
      <w:pPr>
        <w:pStyle w:val="ListParagraph"/>
        <w:numPr>
          <w:ilvl w:val="0"/>
          <w:numId w:val="2"/>
        </w:numPr>
        <w:spacing w:after="50"/>
      </w:pPr>
      <w:r>
        <w:rPr>
          <w:rFonts w:ascii="Arial" w:cs="Arial" w:eastAsia="Arial" w:hAnsi="Arial"/>
          <w:sz w:val="20"/>
          <w:szCs w:val="20"/>
        </w:rPr>
        <w:t xml:space="preserve">GitHub Actions CI green</w:t>
      </w:r>
    </w:p>
    <w:p>
      <w:pPr>
        <w:pStyle w:val="ListParagraph"/>
        <w:numPr>
          <w:ilvl w:val="0"/>
          <w:numId w:val="2"/>
        </w:numPr>
        <w:spacing w:after="50"/>
      </w:pPr>
      <w:r>
        <w:rPr>
          <w:rFonts w:ascii="Arial" w:cs="Arial" w:eastAsia="Arial" w:hAnsi="Arial"/>
          <w:sz w:val="20"/>
          <w:szCs w:val="20"/>
        </w:rPr>
        <w:t xml:space="preserve">docker compose up from clean clone works</w:t>
      </w:r>
    </w:p>
    <w:p>
      <w:pPr>
        <w:pStyle w:val="ListParagraph"/>
        <w:numPr>
          <w:ilvl w:val="0"/>
          <w:numId w:val="2"/>
        </w:numPr>
        <w:spacing w:after="50"/>
      </w:pPr>
      <w:r>
        <w:rPr>
          <w:rFonts w:ascii="Arial" w:cs="Arial" w:eastAsia="Arial" w:hAnsi="Arial"/>
          <w:sz w:val="20"/>
          <w:szCs w:val="20"/>
        </w:rPr>
        <w:t xml:space="preserve">Landing page live at vargate.ai</w:t>
      </w:r>
    </w:p>
    <w:p>
      <w:pPr>
        <w:pStyle w:val="ListParagraph"/>
        <w:numPr>
          <w:ilvl w:val="0"/>
          <w:numId w:val="2"/>
        </w:numPr>
        <w:spacing w:after="50"/>
      </w:pPr>
      <w:r>
        <w:rPr>
          <w:rFonts w:ascii="Arial" w:cs="Arial" w:eastAsia="Arial" w:hAnsi="Arial"/>
          <w:sz w:val="20"/>
          <w:szCs w:val="20"/>
        </w:rPr>
        <w:t xml:space="preserve">GTM agent running through proxy with public dashboard</w:t>
      </w:r>
    </w:p>
    <w:p>
      <w:pPr>
        <w:pStyle w:val="ListParagraph"/>
        <w:numPr>
          <w:ilvl w:val="0"/>
          <w:numId w:val="2"/>
        </w:numPr>
        <w:spacing w:after="50"/>
      </w:pPr>
      <w:r>
        <w:rPr>
          <w:rFonts w:ascii="Arial" w:cs="Arial" w:eastAsia="Arial" w:hAnsi="Arial"/>
          <w:sz w:val="20"/>
          <w:szCs w:val="20"/>
        </w:rPr>
        <w:t xml:space="preserve">Human-approval queue functional for outbound emails</w:t>
      </w:r>
    </w:p>
    <w:p>
      <w:pPr>
        <w:pStyle w:val="ListParagraph"/>
        <w:numPr>
          <w:ilvl w:val="0"/>
          <w:numId w:val="2"/>
        </w:numPr>
        <w:spacing w:after="50"/>
      </w:pPr>
      <w:r>
        <w:rPr>
          <w:rFonts w:ascii="Arial" w:cs="Arial" w:eastAsia="Arial" w:hAnsi="Arial"/>
          <w:sz w:val="20"/>
          <w:szCs w:val="20"/>
        </w:rPr>
        <w:t xml:space="preserve">README documents all known limitations honestly</w:t>
      </w:r>
    </w:p>
    <w:p>
      <w:pPr>
        <w:pStyle w:val="ListParagraph"/>
        <w:numPr>
          <w:ilvl w:val="0"/>
          <w:numId w:val="2"/>
        </w:numPr>
        <w:spacing w:after="50"/>
      </w:pPr>
      <w:r>
        <w:rPr>
          <w:rFonts w:ascii="Arial" w:cs="Arial" w:eastAsia="Arial" w:hAnsi="Arial"/>
          <w:sz w:val="20"/>
          <w:szCs w:val="20"/>
        </w:rPr>
        <w:t xml:space="preserve">No secrets, no hardcoded IPs in committed code</w:t>
      </w:r>
    </w:p>
    <w:p>
      <w:pPr>
        <w:pStyle w:val="ListParagraph"/>
        <w:numPr>
          <w:ilvl w:val="0"/>
          <w:numId w:val="2"/>
        </w:numPr>
        <w:spacing w:after="50"/>
      </w:pPr>
      <w:r>
        <w:rPr>
          <w:rFonts w:ascii="Arial" w:cs="Arial" w:eastAsia="Arial" w:hAnsi="Arial"/>
          <w:sz w:val="20"/>
          <w:szCs w:val="20"/>
        </w:rPr>
        <w:t xml:space="preserve">Licence applied; CONTRIBUTING.md present</w:t>
      </w:r>
    </w:p>
    <w:p>
      <w:r>
        <w:br w:type="page"/>
      </w:r>
    </w:p>
    <w:p>
      <w:pPr>
        <w:pStyle w:val="Heading2"/>
        <w:spacing w:after="140" w:before="280"/>
      </w:pPr>
      <w:r>
        <w:rPr>
          <w:rFonts w:ascii="Arial" w:cs="Arial" w:eastAsia="Arial" w:hAnsi="Arial"/>
          <w:b/>
          <w:bCs/>
          <w:color w:val="1B4F72"/>
          <w:sz w:val="26"/>
          <w:szCs w:val="26"/>
        </w:rPr>
        <w:t xml:space="preserve">Sprint 5: Merkle Trees &amp; Production Blockchain (Weeks 9–10)</w:t>
      </w:r>
    </w:p>
    <w:p>
      <w:pPr>
        <w:spacing w:after="100"/>
      </w:pPr>
      <w:r>
        <w:rPr>
          <w:rFonts w:ascii="Arial" w:cs="Arial" w:eastAsia="Arial" w:hAnsi="Arial"/>
          <w:sz w:val="21"/>
          <w:szCs w:val="21"/>
        </w:rPr>
        <w:t xml:space="preserve">Goal: Close the critical AGCS AG-2.2 gap. Replace linear hash chaining with Merkle tree aggregation. Implement inclusion and consistency proofs. Move from Hardhat/Sepolia to production blockchain anchoring (Polygon PoS primary, Ethereum mainnet secondary). This is the sprint that makes the audit trail forensic-grade.</w:t>
      </w:r>
    </w:p>
    <w:p>
      <w:pPr>
        <w:spacing w:after="80"/>
      </w:pPr>
    </w:p>
    <w:p>
      <w:pPr>
        <w:spacing w:after="100" w:before="200"/>
      </w:pPr>
      <w:r>
        <w:rPr>
          <w:rFonts w:ascii="Arial" w:cs="Arial" w:eastAsia="Arial" w:hAnsi="Arial"/>
          <w:b/>
          <w:bCs/>
          <w:color w:val="333333"/>
          <w:sz w:val="22"/>
          <w:szCs w:val="22"/>
        </w:rPr>
        <w:t xml:space="preserve">Sprint 5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50"/>
        <w:gridCol w:w="1800"/>
        <w:gridCol w:w="900"/>
        <w:gridCol w:w="301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 Component</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AGCS</w:t>
            </w:r>
          </w:p>
        </w:tc>
        <w:tc>
          <w:tcPr>
            <w:tcW w:type="dxa" w:w="30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5.1</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Merkle tree implementation: hourly aggregation of audit records into Merkle trees</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gateway/merkle.py (new)</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AG-2.2</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Every hour, all records since last tree are aggregated; Merkle root computed; tree stored alongside records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Inclusion proof API: prove a specific record exists in a Merkle tree</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gateway/merkle.py, new endpoint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AG-2.2</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/audit/proof/{action_id} returns Merkle path; O(log n) verification; independent verifier can confirm</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5.3</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Consistency proof API: prove log has not been reordered or truncated</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gateway/merkle.py, new endpoint</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AG-2.2</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GET /audit/consistency-proof?from={tree_idx}&amp;to={tree_idx} returns proof; RFC 6962 compatible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Merkle root storage in anchor_log (replace chain_tip_hash with merkle_root)</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gateway/main.py (anchor loop), blockchain client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AG-2.6</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Blockchain anchors now commit Merkle root, not linear chain tip; backward-compatible migration</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5.5</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Multi-chain support: Polygon PoS integration</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gateway/blockchain_client.py, config</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AG-2.6</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Anchors submitted to Polygon mainnet; tx receipts stored; ~$0.01–0.10 per anchor; configurable chain selection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Multi-chain support: Ethereum mainnet (high-value option)</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gateway/blockchain_client.py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AG-2.6</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Ethereum mainnet anchoring works; selectable per-tenant or per-schedule; gas estimation + budget cap</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5.7</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Anchor scheduling: configurable per-tenant (hourly default, real-time for enterprise)</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gateway/anchor_scheduler.py (new)</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Cron-based anchor scheduling; per-tenant config; manual trigger still works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Merkle proof visualisation</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ui/src/components/MerkleProof.jsx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can click any record, see its Merkle path, verify inclusion visually</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5.9</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Deprecate Hardhat local blockchain (keep for dev/test only)</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docker-compose.yml, config</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Production config uses Polygon/Ethereum; Hardhat only in docker-compose.dev.yml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Update chain verification endpoint for Merkle-based proofs</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gateway/main.py (/anchor/verify)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AG-2.6</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/anchor/verify compares Merkle root against on-chain anchor; returns proof details</w:t>
            </w:r>
          </w:p>
        </w:tc>
      </w:tr>
    </w:tbl>
    <w:p>
      <w:pPr>
        <w:spacing w:after="80"/>
      </w:pPr>
    </w:p>
    <w:p>
      <w:pPr>
        <w:spacing w:after="100" w:before="200"/>
      </w:pPr>
      <w:r>
        <w:rPr>
          <w:rFonts w:ascii="Arial" w:cs="Arial" w:eastAsia="Arial" w:hAnsi="Arial"/>
          <w:b/>
          <w:bCs/>
          <w:color w:val="333333"/>
          <w:sz w:val="22"/>
          <w:szCs w:val="22"/>
        </w:rPr>
        <w:t xml:space="preserve">Sprint 5 Architecture Notes</w:t>
      </w:r>
    </w:p>
    <w:p>
      <w:pPr>
        <w:pStyle w:val="ListParagraph"/>
        <w:numPr>
          <w:ilvl w:val="0"/>
          <w:numId w:val="2"/>
        </w:numPr>
        <w:spacing w:after="50"/>
      </w:pPr>
      <w:r>
        <w:rPr>
          <w:rFonts w:ascii="Arial" w:cs="Arial" w:eastAsia="Arial" w:hAnsi="Arial"/>
          <w:b/>
          <w:bCs/>
          <w:sz w:val="20"/>
          <w:szCs w:val="20"/>
        </w:rPr>
        <w:t xml:space="preserve">Merkle tree implementation follows RFC 6962 (Certificate Transparency) </w:t>
      </w:r>
      <w:r>
        <w:rPr>
          <w:rFonts w:ascii="Arial" w:cs="Arial" w:eastAsia="Arial" w:hAnsi="Arial"/>
          <w:sz w:val="20"/>
          <w:szCs w:val="20"/>
        </w:rPr>
        <w:t xml:space="preserve">for interoperability. Each tree covers one hour of records. Proofs are JSON-serialisable for API delivery.</w:t>
      </w:r>
    </w:p>
    <w:p>
      <w:pPr>
        <w:pStyle w:val="ListParagraph"/>
        <w:numPr>
          <w:ilvl w:val="0"/>
          <w:numId w:val="2"/>
        </w:numPr>
        <w:spacing w:after="50"/>
      </w:pPr>
      <w:r>
        <w:rPr>
          <w:rFonts w:ascii="Arial" w:cs="Arial" w:eastAsia="Arial" w:hAnsi="Arial"/>
          <w:b/>
          <w:bCs/>
          <w:sz w:val="20"/>
          <w:szCs w:val="20"/>
        </w:rPr>
        <w:t xml:space="preserve">Dual-chain strategy: </w:t>
      </w:r>
      <w:r>
        <w:rPr>
          <w:rFonts w:ascii="Arial" w:cs="Arial" w:eastAsia="Arial" w:hAnsi="Arial"/>
          <w:sz w:val="20"/>
          <w:szCs w:val="20"/>
        </w:rPr>
        <w:t xml:space="preserve">Polygon for high-frequency anchoring (sales/GTM agents, ~$0.01–0.10 per anchor). Ethereum mainnet for high-value institutional anchoring (~$1–10 per anchor). Chain selection configurable per tenant.</w:t>
      </w:r>
    </w:p>
    <w:p>
      <w:pPr>
        <w:pStyle w:val="ListParagraph"/>
        <w:numPr>
          <w:ilvl w:val="0"/>
          <w:numId w:val="2"/>
        </w:numPr>
        <w:spacing w:after="50"/>
      </w:pPr>
      <w:r>
        <w:rPr>
          <w:rFonts w:ascii="Arial" w:cs="Arial" w:eastAsia="Arial" w:hAnsi="Arial"/>
          <w:b/>
          <w:bCs/>
          <w:sz w:val="20"/>
          <w:szCs w:val="20"/>
        </w:rPr>
        <w:t xml:space="preserve">Linear hash chain is retained </w:t>
      </w:r>
      <w:r>
        <w:rPr>
          <w:rFonts w:ascii="Arial" w:cs="Arial" w:eastAsia="Arial" w:hAnsi="Arial"/>
          <w:sz w:val="20"/>
          <w:szCs w:val="20"/>
        </w:rPr>
        <w:t xml:space="preserve">alongside Merkle trees. The hash chain provides forward integrity (detect any single-record modification); the Merkle tree provides efficient proof generation. Both are anchored.</w:t>
      </w:r>
    </w:p>
    <w:p>
      <w:r>
        <w:br w:type="page"/>
      </w:r>
    </w:p>
    <w:p>
      <w:pPr>
        <w:pStyle w:val="Heading2"/>
        <w:spacing w:after="140" w:before="280"/>
      </w:pPr>
      <w:r>
        <w:rPr>
          <w:rFonts w:ascii="Arial" w:cs="Arial" w:eastAsia="Arial" w:hAnsi="Arial"/>
          <w:b/>
          <w:bCs/>
          <w:color w:val="1B4F72"/>
          <w:sz w:val="26"/>
          <w:szCs w:val="26"/>
        </w:rPr>
        <w:t xml:space="preserve">Sprint 6: Monitoring, Observability &amp; Hardening (Weeks 11–12)</w:t>
      </w:r>
    </w:p>
    <w:p>
      <w:pPr>
        <w:spacing w:after="100"/>
      </w:pPr>
      <w:r>
        <w:rPr>
          <w:rFonts w:ascii="Arial" w:cs="Arial" w:eastAsia="Arial" w:hAnsi="Arial"/>
          <w:sz w:val="21"/>
          <w:szCs w:val="21"/>
        </w:rPr>
        <w:t xml:space="preserve">Goal: Production-grade observability, automated backups, and security hardening. The system should be monitorable, recoverable, and resistant to common attack vectors before enterprise users arrive.</w:t>
      </w:r>
    </w:p>
    <w:p>
      <w:pPr>
        <w:spacing w:after="80"/>
      </w:pPr>
    </w:p>
    <w:p>
      <w:pPr>
        <w:spacing w:after="100" w:before="200"/>
      </w:pPr>
      <w:r>
        <w:rPr>
          <w:rFonts w:ascii="Arial" w:cs="Arial" w:eastAsia="Arial" w:hAnsi="Arial"/>
          <w:b/>
          <w:bCs/>
          <w:color w:val="333333"/>
          <w:sz w:val="22"/>
          <w:szCs w:val="22"/>
        </w:rPr>
        <w:t xml:space="preserve">Sprint 6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50"/>
        <w:gridCol w:w="1800"/>
        <w:gridCol w:w="900"/>
        <w:gridCol w:w="301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 Component</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AGCS</w:t>
            </w:r>
          </w:p>
        </w:tc>
        <w:tc>
          <w:tcPr>
            <w:tcW w:type="dxa" w:w="30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6.1</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Prometheus metrics exporter (gateway latency p50/p99, OPA eval time, actions/sec, error rates)</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gateway/metrics.py (new)</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/metrics endpoint scraped by Prometheus; latency histograms, counter gauges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Grafana dashboard (4 panels: gateway latency, throughput, error rate, chain health)</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monitoring/grafana/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auto-provisioned via docker compose; p99 latency visible at a glance</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6.3</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Alerting rules (p99 &gt; 100ms, error rate &gt; 1%, disk &gt; 80%, chain verification failure)</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monitoring/alertmanager/ (new)</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Alerts fire to Slack/email; tested with synthetic failures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nightly SQLite backup to Hetzner Storage Box</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scripts/backup.sh (new), cron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AG-2.3</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Nightly backup of audit.db + bundle archive; retention: 30 days; restore tested</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6.5</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Uptime monitoring (external health check from backup server)</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monitoring/healthcheck.py (new)</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CX32 backup server checks /health every 60s; alerts on 3 consecutive failures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 rate limiting on signup and admin endpoints</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gateway/middleware.py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Brute-force protection on /signup, /admin/*; exponential backoff; IP-based</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6.7</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Security: input validation hardening on /mcp/tools/call</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gateway/main.py, validation module</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Max payload size, JSON schema validation, parameter sanitisation; fuzz testing passes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 TLS configuration audit (A+ on SSL Labs)</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nginx/nginx.conf, Certbot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HSTS, TLS 1.3 only, modern cipher suite; SSL Labs A+ rating</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6.9</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Docker security: non-root containers, read-only filesystems where possible</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Dockerfiles (all services)</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All containers run as non-root; minimal base images; no unnecessary capabilities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Dependency vulnerability scan (Trivy or Snyk in CI)</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.github/workflows/security.yml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Weekly scan; critical/high vulnerabilities block merge; dashboard in GitHub Security tab</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6.11</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Chaos testing: verify system behaviour when Redis/OPA/blockchain is unavailable</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test_chaos.py (new)</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 degrades gracefully; audit writes continue; clear error messages returned</w:t>
            </w:r>
          </w:p>
        </w:tc>
      </w:tr>
    </w:tbl>
    <w:p>
      <w:r>
        <w:br w:type="page"/>
      </w:r>
    </w:p>
    <w:p>
      <w:pPr>
        <w:pStyle w:val="Heading2"/>
        <w:spacing w:after="140" w:before="280"/>
      </w:pPr>
      <w:r>
        <w:rPr>
          <w:rFonts w:ascii="Arial" w:cs="Arial" w:eastAsia="Arial" w:hAnsi="Arial"/>
          <w:b/>
          <w:bCs/>
          <w:color w:val="1B4F72"/>
          <w:sz w:val="26"/>
          <w:szCs w:val="26"/>
        </w:rPr>
        <w:t xml:space="preserve">Sprint 7: Developer Experience &amp; SDK (Weeks 13–14)</w:t>
      </w:r>
    </w:p>
    <w:p>
      <w:pPr>
        <w:spacing w:after="100"/>
      </w:pPr>
      <w:r>
        <w:rPr>
          <w:rFonts w:ascii="Arial" w:cs="Arial" w:eastAsia="Arial" w:hAnsi="Arial"/>
          <w:sz w:val="21"/>
          <w:szCs w:val="21"/>
        </w:rPr>
        <w:t xml:space="preserve">Goal: Make it effortless for developers to integrate their agents with Vargate. API docs, code snippets, policy templates, and a CLI tool that reduces time-to-first-governed-action to under 10 minutes.</w:t>
      </w:r>
    </w:p>
    <w:p>
      <w:pPr>
        <w:spacing w:after="80"/>
      </w:pPr>
    </w:p>
    <w:p>
      <w:pPr>
        <w:spacing w:after="100" w:before="200"/>
      </w:pPr>
      <w:r>
        <w:rPr>
          <w:rFonts w:ascii="Arial" w:cs="Arial" w:eastAsia="Arial" w:hAnsi="Arial"/>
          <w:b/>
          <w:bCs/>
          <w:color w:val="333333"/>
          <w:sz w:val="22"/>
          <w:szCs w:val="22"/>
        </w:rPr>
        <w:t xml:space="preserve">Sprint 7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50"/>
        <w:gridCol w:w="1800"/>
        <w:gridCol w:w="900"/>
        <w:gridCol w:w="301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 Component</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AGCS</w:t>
            </w:r>
          </w:p>
        </w:tc>
        <w:tc>
          <w:tcPr>
            <w:tcW w:type="dxa" w:w="30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7.1</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OpenAPI 3.1 specification (auto-generated from FastAPI + manual enrichment)</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gateway/main.py (FastAPI metadata), docs/</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Full OpenAPI spec; every endpoint documented; example requests/responses; hosted at /docs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 code snippets: Python, Node.js, cURL</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docs/snippets/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Copy-paste snippets for each language; tested in CI; linked from onboarding wizard</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7.3</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Policy template library (5 templates: financial, email, CRM, data access, general)</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policies/templates/ (new)</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Each template is a working .rego file with documentation; user can select during signup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 tool: vargate-cli (init, status, test, replay)</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 (new directory)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 install vargate-cli; vargate init → config file; vargate test → sends test action; vargate replay → replays last action</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Quick-start guide: from signup to first governed action in &lt;10 minutes</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docs/quickstart.md (new)</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Tested with 3 fresh users; average TTFGA &lt; 10 minutes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Webhook support for action notifications (allow/deny events)</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gateway/webhooks.py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configures webhook URL; POST on every action with decision payload; retry on failure</w:t>
            </w:r>
          </w:p>
        </w:tc>
      </w:tr>
    </w:tbl>
    <w:p>
      <w:r>
        <w:br w:type="page"/>
      </w:r>
    </w:p>
    <w:p>
      <w:pPr>
        <w:pStyle w:val="Heading2"/>
        <w:spacing w:after="140" w:before="280"/>
      </w:pPr>
      <w:r>
        <w:rPr>
          <w:rFonts w:ascii="Arial" w:cs="Arial" w:eastAsia="Arial" w:hAnsi="Arial"/>
          <w:b/>
          <w:bCs/>
          <w:color w:val="1B4F72"/>
          <w:sz w:val="26"/>
          <w:szCs w:val="26"/>
        </w:rPr>
        <w:t xml:space="preserve">Sprint 8: Enterprise Readiness &amp; AGCS Compliance (Weeks 15–16)</w:t>
      </w:r>
    </w:p>
    <w:p>
      <w:pPr>
        <w:spacing w:after="100"/>
      </w:pPr>
      <w:r>
        <w:rPr>
          <w:rFonts w:ascii="Arial" w:cs="Arial" w:eastAsia="Arial" w:hAnsi="Arial"/>
          <w:sz w:val="21"/>
          <w:szCs w:val="21"/>
        </w:rPr>
        <w:t xml:space="preserve">Goal: Prepare for enterprise conversations. Complete AGCS self-assessment, generate compliance artifacts, implement configurable failure modes, and update external-facing materials. This sprint is the bridge between the open-source product and the commercial tier.</w:t>
      </w:r>
    </w:p>
    <w:p>
      <w:pPr>
        <w:spacing w:after="80"/>
      </w:pPr>
    </w:p>
    <w:p>
      <w:pPr>
        <w:spacing w:after="100" w:before="200"/>
      </w:pPr>
      <w:r>
        <w:rPr>
          <w:rFonts w:ascii="Arial" w:cs="Arial" w:eastAsia="Arial" w:hAnsi="Arial"/>
          <w:b/>
          <w:bCs/>
          <w:color w:val="333333"/>
          <w:sz w:val="22"/>
          <w:szCs w:val="22"/>
        </w:rPr>
        <w:t xml:space="preserve">Sprint 8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50"/>
        <w:gridCol w:w="1800"/>
        <w:gridCol w:w="900"/>
        <w:gridCol w:w="301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5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 Component</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AGCS</w:t>
            </w:r>
          </w:p>
        </w:tc>
        <w:tc>
          <w:tcPr>
            <w:tcW w:type="dxa" w:w="30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8.1</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AGCS Tier 1 self-assessment: map all AG-1.x controls to implementation evidence</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docs/agcs-compliance/ (new)</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AG-1.*</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Every Tier 1 control has: status (pass/partial/gap), evidence location, and remediation plan if needed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AGCS Tier 2 self-assessment: map all AG-2.x controls (focus on AG-2.2 Merkle, AG-2.4 GDPR, AG-2.6 anchoring)</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docs/agcs-compliance/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AG-2.*</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Tier 2 control assessed; Merkle tree (AG-2.2) and crypto-shredding (AG-2.4) should pass</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8.3</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Compliance artifact generator: export audit trail + proofs as PDF/JSON package</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gateway/compliance_export.py (new)</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AG-2.8</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GET /compliance/export/{tenant_id}?from=...&amp;to=... returns signed package with audit records, Merkle proofs, blockchain anchors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Configurable failure modes (fail-open, fail-closed, fail-to-queue)</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gateway/failure_modes.py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Per-tenant config: what happens when OPA/Redis/blockchain is unavailable; default fail-closed; enterprise can choose</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8.5</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Update whitepaper competitive section: include NemoClaw honestly</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External document (whitepaper v2.1)</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NemoClaw positioned as infrastructure layer (firewall) vs. Vargate governance layer (auditor); accurate framing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AGCS certification registry placeholder (future enterprise feature)</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docs/roadmap.md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Design document for registry: data model, API surface, assessor workflow; implementation deferred</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8.7</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Enterprise feature flags (SSO, FIPS HSM, TEE attestation, multi-region) documented as roadmap items</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docs/enterprise-roadmap.md (new)</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Each feature has: description, AGCS control reference, estimated effort, prerequisite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End-to-end integration test: full lifecycle from signup to Merkle-anchored audit to erasure</w:t>
            </w:r>
          </w:p>
        </w:tc>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test_e2e.py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 test: signup → API key → tool call → audit record → Merkle proof → blockchain anchor → erasure → verify irrecoverable</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8.9</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Performance benchmark: p99 latency at 10, 50, 200 concurrent actions/sec</w:t>
            </w:r>
          </w:p>
        </w:tc>
        <w:tc>
          <w:tcPr>
            <w:tcW w:type="dxa" w:w="5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test_benchmark.py (new)</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01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p99 &lt; 150ms at 200 customers (2.3 actions/sec sustained); results documented</w:t>
            </w:r>
          </w:p>
        </w:tc>
      </w:tr>
    </w:tbl>
    <w:p>
      <w:r>
        <w:br w:type="page"/>
      </w:r>
    </w:p>
    <w:p>
      <w:pPr>
        <w:pStyle w:val="Heading1"/>
        <w:spacing w:after="200" w:before="360"/>
      </w:pPr>
      <w:r>
        <w:rPr>
          <w:rFonts w:ascii="Arial" w:cs="Arial" w:eastAsia="Arial" w:hAnsi="Arial"/>
          <w:b/>
          <w:bCs/>
          <w:color w:val="1B4F72"/>
          <w:sz w:val="32"/>
          <w:szCs w:val="32"/>
        </w:rPr>
        <w:t xml:space="preserve">4. AGCS Control Mapping</w:t>
      </w:r>
    </w:p>
    <w:p>
      <w:pPr>
        <w:spacing w:after="100"/>
      </w:pPr>
      <w:r>
        <w:rPr>
          <w:rFonts w:ascii="Arial" w:cs="Arial" w:eastAsia="Arial" w:hAnsi="Arial"/>
          <w:sz w:val="21"/>
          <w:szCs w:val="21"/>
        </w:rPr>
        <w:t xml:space="preserve">This section maps every AGCS v0.9 Tier 1 and Tier 2 control to the sprint where it is addressed. Tier 3 controls (hardware attestation, TEE/TPM) are enterprise-tier and out of scope for the initial 16-week plan.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200"/>
        <w:gridCol w:w="2000"/>
        <w:gridCol w:w="1960"/>
      </w:tblGrid>
      <w:t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AG-1.1</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All agent actions intercepted and recorded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B4F72"/>
                <w:sz w:val="20"/>
                <w:szCs w:val="20"/>
              </w:rPr>
              <w:t xml:space="preserve">Sprint 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Per-tenant audit isolation</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gateway/main.py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Policy-as-code with versioned bundles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4F72"/>
                <w:sz w:val="20"/>
                <w:szCs w:val="20"/>
              </w:rPr>
              <w:t xml:space="preserve">Sprint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Tenant-aware bundles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bundle-server/main.py</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AG-1.3</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Hash-chained audit log</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B4F72"/>
                <w:sz w:val="20"/>
                <w:szCs w:val="20"/>
              </w:rPr>
              <w:t xml:space="preserve">Sprint 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Per-tenant chains</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gateway/audit.py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Behavioural anomaly detection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Anomaly scoring in Redis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gateway/behavioral.py</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AG-1.5</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Human-in-the-loop approval</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B4F72"/>
                <w:sz w:val="20"/>
                <w:szCs w:val="20"/>
              </w:rPr>
              <w:t xml:space="preserve">Sprint 4</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Approval queue + UI</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gateway/approval.py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Policy hot-swap without downtime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ETag polling + bundle API</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bundle-server/main.py</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AG-2.1</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Two-pass evaluation architecture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Done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Pass 1 fast / Pass 2 enriched</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gateway/main.py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AG-2.2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Merkle tree aggregation + proofs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B4F72"/>
                <w:sz w:val="20"/>
                <w:szCs w:val="20"/>
              </w:rPr>
              <w:t xml:space="preserve">Sprint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Hourly trees, inclusion proofs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gateway/merkle.py</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AG-2.3</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Audit log backup and recovery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B4F72"/>
                <w:sz w:val="20"/>
                <w:szCs w:val="20"/>
              </w:rPr>
              <w:t xml:space="preserve">Sprint 6</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Nightly backup to Storage Box</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scripts/backup.sh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AG-2.4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GDPR/retention reconciliation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Crypto-shredding via SoftHSM2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hsm/hsm_service.py</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AG-2.6</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External blockchain anchoring</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B4F72"/>
                <w:sz w:val="20"/>
                <w:szCs w:val="20"/>
              </w:rPr>
              <w:t xml:space="preserve">Sprint 5</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Polygon + Ethereum mainnet</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gateway/blockchain_client.py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AG-2.8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Decision replayability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Done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Ephemeral OPA replay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gateway/replay.py</w:t>
            </w:r>
          </w:p>
        </w:tc>
      </w:tr>
    </w:tbl>
    <w:p>
      <w:r>
        <w:br w:type="page"/>
      </w:r>
    </w:p>
    <w:p>
      <w:pPr>
        <w:pStyle w:val="Heading1"/>
        <w:spacing w:after="200" w:before="360"/>
      </w:pPr>
      <w:r>
        <w:rPr>
          <w:rFonts w:ascii="Arial" w:cs="Arial" w:eastAsia="Arial" w:hAnsi="Arial"/>
          <w:b/>
          <w:bCs/>
          <w:color w:val="1B4F72"/>
          <w:sz w:val="32"/>
          <w:szCs w:val="32"/>
        </w:rPr>
        <w:t xml:space="preserve">5. Critical Path &amp; Dependencies</w:t>
      </w:r>
    </w:p>
    <w:p>
      <w:pPr>
        <w:spacing w:after="100"/>
      </w:pPr>
      <w:r>
        <w:rPr>
          <w:rFonts w:ascii="Arial" w:cs="Arial" w:eastAsia="Arial" w:hAnsi="Arial"/>
          <w:sz w:val="21"/>
          <w:szCs w:val="21"/>
        </w:rPr>
        <w:t xml:space="preserve">The following dependencies define the critical path through the sprint plan. Any slip on the critical path delays the open-source launch.</w:t>
      </w:r>
    </w:p>
    <w:p>
      <w:pPr>
        <w:spacing w:after="80"/>
      </w:pPr>
    </w:p>
    <w:p>
      <w:pPr>
        <w:spacing w:after="100" w:before="200"/>
      </w:pPr>
      <w:r>
        <w:rPr>
          <w:rFonts w:ascii="Arial" w:cs="Arial" w:eastAsia="Arial" w:hAnsi="Arial"/>
          <w:b/>
          <w:bCs/>
          <w:color w:val="333333"/>
          <w:sz w:val="22"/>
          <w:szCs w:val="22"/>
        </w:rPr>
        <w:t xml:space="preserve">Critical Path (Sprints 1–4: Launch Readiness)</w:t>
      </w:r>
    </w:p>
    <w:p>
      <w:pPr>
        <w:pStyle w:val="ListParagraph"/>
        <w:numPr>
          <w:ilvl w:val="0"/>
          <w:numId w:val="2"/>
        </w:numPr>
        <w:spacing w:after="50"/>
      </w:pPr>
      <w:r>
        <w:rPr>
          <w:rFonts w:ascii="Arial" w:cs="Arial" w:eastAsia="Arial" w:hAnsi="Arial"/>
          <w:b/>
          <w:bCs/>
          <w:sz w:val="20"/>
          <w:szCs w:val="20"/>
        </w:rPr>
        <w:t xml:space="preserve">Sprint 1 → Sprint 2: </w:t>
      </w:r>
      <w:r>
        <w:rPr>
          <w:rFonts w:ascii="Arial" w:cs="Arial" w:eastAsia="Arial" w:hAnsi="Arial"/>
          <w:sz w:val="20"/>
          <w:szCs w:val="20"/>
        </w:rPr>
        <w:t xml:space="preserve">CI pipeline and clean repo are prerequisites for multi-tenancy work. The /anchor/verify fix unblocks blockchain-related testing in all subsequent sprints.</w:t>
      </w:r>
    </w:p>
    <w:p>
      <w:pPr>
        <w:pStyle w:val="ListParagraph"/>
        <w:numPr>
          <w:ilvl w:val="0"/>
          <w:numId w:val="2"/>
        </w:numPr>
        <w:spacing w:after="50"/>
      </w:pPr>
      <w:r>
        <w:rPr>
          <w:rFonts w:ascii="Arial" w:cs="Arial" w:eastAsia="Arial" w:hAnsi="Arial"/>
          <w:b/>
          <w:bCs/>
          <w:sz w:val="20"/>
          <w:szCs w:val="20"/>
        </w:rPr>
        <w:t xml:space="preserve">Sprint 2 → Sprint 3: </w:t>
      </w:r>
      <w:r>
        <w:rPr>
          <w:rFonts w:ascii="Arial" w:cs="Arial" w:eastAsia="Arial" w:hAnsi="Arial"/>
          <w:sz w:val="20"/>
          <w:szCs w:val="20"/>
        </w:rPr>
        <w:t xml:space="preserve">Multi-tenancy (tenant model, API key auth, per-tenant isolation) is the hard dependency for signup flow, dashboard auth, and landing page.</w:t>
      </w:r>
    </w:p>
    <w:p>
      <w:pPr>
        <w:pStyle w:val="ListParagraph"/>
        <w:numPr>
          <w:ilvl w:val="0"/>
          <w:numId w:val="2"/>
        </w:numPr>
        <w:spacing w:after="50"/>
      </w:pPr>
      <w:r>
        <w:rPr>
          <w:rFonts w:ascii="Arial" w:cs="Arial" w:eastAsia="Arial" w:hAnsi="Arial"/>
          <w:b/>
          <w:bCs/>
          <w:sz w:val="20"/>
          <w:szCs w:val="20"/>
        </w:rPr>
        <w:t xml:space="preserve">Sprint 2 → Sprint 4: </w:t>
      </w:r>
      <w:r>
        <w:rPr>
          <w:rFonts w:ascii="Arial" w:cs="Arial" w:eastAsia="Arial" w:hAnsi="Arial"/>
          <w:sz w:val="20"/>
          <w:szCs w:val="20"/>
        </w:rPr>
        <w:t xml:space="preserve">GTM agent runs as a tenant, so multi-tenancy must be complete. Human-approval queue depends on the tenant-scoped audit trail.</w:t>
      </w:r>
    </w:p>
    <w:p>
      <w:pPr>
        <w:pStyle w:val="ListParagraph"/>
        <w:numPr>
          <w:ilvl w:val="0"/>
          <w:numId w:val="2"/>
        </w:numPr>
        <w:spacing w:after="50"/>
      </w:pPr>
      <w:r>
        <w:rPr>
          <w:rFonts w:ascii="Arial" w:cs="Arial" w:eastAsia="Arial" w:hAnsi="Arial"/>
          <w:b/>
          <w:bCs/>
          <w:sz w:val="20"/>
          <w:szCs w:val="20"/>
        </w:rPr>
        <w:t xml:space="preserve">Sprint 3 + Sprint 4 → Launch Gate: </w:t>
      </w:r>
      <w:r>
        <w:rPr>
          <w:rFonts w:ascii="Arial" w:cs="Arial" w:eastAsia="Arial" w:hAnsi="Arial"/>
          <w:sz w:val="20"/>
          <w:szCs w:val="20"/>
        </w:rPr>
        <w:t xml:space="preserve">Both must be complete before pushing the repo public. The signup flow (Sprint 3) and the GTM agent demo (Sprint 4) are the two things external users interact with on day one.</w:t>
      </w:r>
    </w:p>
    <w:p>
      <w:pPr>
        <w:spacing w:after="80"/>
      </w:pPr>
    </w:p>
    <w:p>
      <w:pPr>
        <w:spacing w:after="100" w:before="200"/>
      </w:pPr>
      <w:r>
        <w:rPr>
          <w:rFonts w:ascii="Arial" w:cs="Arial" w:eastAsia="Arial" w:hAnsi="Arial"/>
          <w:b/>
          <w:bCs/>
          <w:color w:val="333333"/>
          <w:sz w:val="22"/>
          <w:szCs w:val="22"/>
        </w:rPr>
        <w:t xml:space="preserve">Non-Critical Path (Sprints 5–8: Post-Launch)</w:t>
      </w:r>
    </w:p>
    <w:p>
      <w:pPr>
        <w:pStyle w:val="ListParagraph"/>
        <w:numPr>
          <w:ilvl w:val="0"/>
          <w:numId w:val="2"/>
        </w:numPr>
        <w:spacing w:after="50"/>
      </w:pPr>
      <w:r>
        <w:rPr>
          <w:rFonts w:ascii="Arial" w:cs="Arial" w:eastAsia="Arial" w:hAnsi="Arial"/>
          <w:b/>
          <w:bCs/>
          <w:sz w:val="20"/>
          <w:szCs w:val="20"/>
        </w:rPr>
        <w:t xml:space="preserve">Sprint 5 (Merkle Trees): </w:t>
      </w:r>
      <w:r>
        <w:rPr>
          <w:rFonts w:ascii="Arial" w:cs="Arial" w:eastAsia="Arial" w:hAnsi="Arial"/>
          <w:sz w:val="20"/>
          <w:szCs w:val="20"/>
        </w:rPr>
        <w:t xml:space="preserve">Can begin immediately after launch. No dependency on user feedback. This is a pure engineering sprint against the AGCS standard.</w:t>
      </w:r>
    </w:p>
    <w:p>
      <w:pPr>
        <w:pStyle w:val="ListParagraph"/>
        <w:numPr>
          <w:ilvl w:val="0"/>
          <w:numId w:val="2"/>
        </w:numPr>
        <w:spacing w:after="50"/>
      </w:pPr>
      <w:r>
        <w:rPr>
          <w:rFonts w:ascii="Arial" w:cs="Arial" w:eastAsia="Arial" w:hAnsi="Arial"/>
          <w:b/>
          <w:bCs/>
          <w:sz w:val="20"/>
          <w:szCs w:val="20"/>
        </w:rPr>
        <w:t xml:space="preserve">Sprint 6 (Monitoring): </w:t>
      </w:r>
      <w:r>
        <w:rPr>
          <w:rFonts w:ascii="Arial" w:cs="Arial" w:eastAsia="Arial" w:hAnsi="Arial"/>
          <w:sz w:val="20"/>
          <w:szCs w:val="20"/>
        </w:rPr>
        <w:t xml:space="preserve">Can partially overlap with Sprint 5. Prometheus metrics can be added incrementally alongside Merkle tree work.</w:t>
      </w:r>
    </w:p>
    <w:p>
      <w:pPr>
        <w:pStyle w:val="ListParagraph"/>
        <w:numPr>
          <w:ilvl w:val="0"/>
          <w:numId w:val="2"/>
        </w:numPr>
        <w:spacing w:after="50"/>
      </w:pPr>
      <w:r>
        <w:rPr>
          <w:rFonts w:ascii="Arial" w:cs="Arial" w:eastAsia="Arial" w:hAnsi="Arial"/>
          <w:b/>
          <w:bCs/>
          <w:sz w:val="20"/>
          <w:szCs w:val="20"/>
        </w:rPr>
        <w:t xml:space="preserve">Sprint 7 (DX): </w:t>
      </w:r>
      <w:r>
        <w:rPr>
          <w:rFonts w:ascii="Arial" w:cs="Arial" w:eastAsia="Arial" w:hAnsi="Arial"/>
          <w:sz w:val="20"/>
          <w:szCs w:val="20"/>
        </w:rPr>
        <w:t xml:space="preserve">Informed by early user feedback from Weeks 9–12. Prioritisation may shift based on what developers actually struggle with.</w:t>
      </w:r>
    </w:p>
    <w:p>
      <w:pPr>
        <w:pStyle w:val="ListParagraph"/>
        <w:numPr>
          <w:ilvl w:val="0"/>
          <w:numId w:val="2"/>
        </w:numPr>
        <w:spacing w:after="50"/>
      </w:pPr>
      <w:r>
        <w:rPr>
          <w:rFonts w:ascii="Arial" w:cs="Arial" w:eastAsia="Arial" w:hAnsi="Arial"/>
          <w:b/>
          <w:bCs/>
          <w:sz w:val="20"/>
          <w:szCs w:val="20"/>
        </w:rPr>
        <w:t xml:space="preserve">Sprint 8 (Enterprise): </w:t>
      </w:r>
      <w:r>
        <w:rPr>
          <w:rFonts w:ascii="Arial" w:cs="Arial" w:eastAsia="Arial" w:hAnsi="Arial"/>
          <w:sz w:val="20"/>
          <w:szCs w:val="20"/>
        </w:rPr>
        <w:t xml:space="preserve">Depends on Sprint 5 (Merkle trees must exist before AGCS Tier 2 self-assessment). Can begin compliance artifact work while Sprint 7 is in flight.</w:t>
      </w:r>
    </w:p>
    <w:p>
      <w:r>
        <w:br w:type="page"/>
      </w:r>
    </w:p>
    <w:p>
      <w:pPr>
        <w:pStyle w:val="Heading1"/>
        <w:spacing w:after="200" w:before="360"/>
      </w:pPr>
      <w:r>
        <w:rPr>
          <w:rFonts w:ascii="Arial" w:cs="Arial" w:eastAsia="Arial" w:hAnsi="Arial"/>
          <w:b/>
          <w:bCs/>
          <w:color w:val="1B4F72"/>
          <w:sz w:val="32"/>
          <w:szCs w:val="32"/>
        </w:rPr>
        <w:t xml:space="preserve">6. Technical Risk Register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800"/>
        <w:gridCol w:w="2800"/>
        <w:gridCol w:w="31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Prob.</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Multi-tenancy scope creep</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E74C3C"/>
                <w:sz w:val="20"/>
                <w:szCs w:val="20"/>
              </w:rPr>
              <w:t xml:space="preserve">HIGH</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E74C3C"/>
                <w:sz w:val="20"/>
                <w:szCs w:val="20"/>
              </w:rPr>
              <w:t xml:space="preserve">HIGH</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Tenant isolation touches every component: gateway, audit, Redis, bundle server, dashboard</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Time-box Sprint 2 strictly; defer per-tenant policy customisation to Sprint 7 if needed; single SQLite DB, not per-tenant files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SQLite concurrency under multi-tenant load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39C12"/>
                <w:sz w:val="20"/>
                <w:szCs w:val="20"/>
              </w:rPr>
              <w:t xml:space="preserve">MED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39C12"/>
                <w:sz w:val="20"/>
                <w:szCs w:val="20"/>
              </w:rPr>
              <w:t xml:space="preserve">MED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WAL mode handles ~50 concurrent writers; at 200 tenants we approach this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Benchmark at 200 concurrent tenants in Sprint 6; migration path to PostgreSQL documented but not implemented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Merkle tree implementation complexity</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E74C3C"/>
                <w:sz w:val="20"/>
                <w:szCs w:val="20"/>
              </w:rPr>
              <w:t xml:space="preserve">HIGH</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F39C12"/>
                <w:sz w:val="20"/>
                <w:szCs w:val="20"/>
              </w:rPr>
              <w:t xml:space="preserve">MED</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RFC 6962 compliance requires careful implementation; proofs must be independently verifiable</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Allocate full 34 SP; use existing Go/Rust reference implementations as spec guides; property-based testing for proofs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/anchor/verify root cause deeper than expected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39C12"/>
                <w:sz w:val="20"/>
                <w:szCs w:val="20"/>
              </w:rPr>
              <w:t xml:space="preserve">MED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39C12"/>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If the 500 is a fundamental architecture issue (not just a bug), it could delay Sprint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Time-box to 3 days; if not resolved, document as known limitation and move on; fix in Sprint 5 alongside blockchain rework</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GitHub OAuth adds complexity to signup</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F39C12"/>
                <w:sz w:val="20"/>
                <w:szCs w:val="20"/>
              </w:rPr>
              <w:t xml:space="preserve">LOW</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F39C12"/>
                <w:sz w:val="20"/>
                <w:szCs w:val="20"/>
              </w:rPr>
              <w:t xml:space="preserve">MED</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OAuth flows have edge cases (token expiry, revocation, rate limits)</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Use battle-tested library (authlib); fallback to email-only signup if OAuth delays Sprint 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Production blockchain gas costs spike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39C12"/>
                <w:sz w:val="20"/>
                <w:szCs w:val="20"/>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39C12"/>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Ethereum gas prices are volatile; a spike could make mainnet anchoring expensive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Polygon as primary (stable, cheap); Ethereum mainnet as opt-in high-value option; gas budget cap per tenant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GTM agent misbehaviour damages reputation</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E74C3C"/>
                <w:sz w:val="20"/>
                <w:szCs w:val="20"/>
              </w:rPr>
              <w:t xml:space="preserve">HIGH</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E74C3C"/>
                <w:sz w:val="20"/>
                <w:szCs w:val="20"/>
              </w:rPr>
              <w:t xml:space="preserve">HIGH</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 governance company’s own agent sending bad emails is existential</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Human approval for all outbound (Sprint 4); recipient allowlist; 30/day cap; AI disclosure mandatory; no CISO outreach</w:t>
            </w:r>
          </w:p>
        </w:tc>
      </w:tr>
    </w:tbl>
    <w:p>
      <w:r>
        <w:br w:type="page"/>
      </w:r>
    </w:p>
    <w:p>
      <w:pPr>
        <w:pStyle w:val="Heading1"/>
        <w:spacing w:after="200" w:before="360"/>
      </w:pPr>
      <w:r>
        <w:rPr>
          <w:rFonts w:ascii="Arial" w:cs="Arial" w:eastAsia="Arial" w:hAnsi="Arial"/>
          <w:b/>
          <w:bCs/>
          <w:color w:val="1B4F72"/>
          <w:sz w:val="32"/>
          <w:szCs w:val="32"/>
        </w:rPr>
        <w:t xml:space="preserve">7. New File Manifest</w:t>
      </w:r>
    </w:p>
    <w:p>
      <w:pPr>
        <w:spacing w:after="100"/>
      </w:pPr>
      <w:r>
        <w:rPr>
          <w:rFonts w:ascii="Arial" w:cs="Arial" w:eastAsia="Arial" w:hAnsi="Arial"/>
          <w:sz w:val="21"/>
          <w:szCs w:val="21"/>
        </w:rPr>
        <w:t xml:space="preserve">Files to be created across all 8 sprints, organised by component. This serves as a checklist during implementation and code review.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 Directory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4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gateway/models.py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2</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Tenant data model, SQLite schema, CRUD operations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gateway/middleware.py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key auth middleware, tenant context injection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gateway/rate_limiter.py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2</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Token bucket rate limiter, Redis-backed, per-tenant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gateway/admin.py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Admin API: tenant CRUD, protected by admin key</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gateway/migrate.py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2</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Migration script: tag existing data with tenant_id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gateway/signup.py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3</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Signup endpoint, email verification, API key generation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gateway/oauth.py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3</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GitHub OAuth flow integration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gateway/approval.py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4</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Human-approval queue, pending actions table, approve/reject API</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gateway/gtm_constraints.py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4</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GTM agent safety constraints enforcement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gateway/transparency.py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4</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Public transparency endpoint, aggregated stats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gateway/merkle.py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5</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Merkle tree aggregation, inclusion proofs, consistency proofs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gateway/anchor_scheduler.py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Per-tenant anchor scheduling, cron-based</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gateway/metrics.py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6</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Prometheus metrics exporter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gateway/webhooks.py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7</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Webhook notifications for action events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gateway/compliance_export.py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8</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Compliance artifact generator (PDF/JSON package)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gateway/failure_modes.py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8</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Configurable failure modes (fail-open/closed/queue)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policies/vargate/gtm_policy.rego</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4</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GTM agent-specific policy rules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policies/templates/*.rego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7</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policy templates (financial, email, CRM, data, general)</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ui/src/components/TenantDashboard.jsx</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3</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Authenticated per-tenant dashboard view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ui/src/components/PublicDashboard.jsx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3</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Shareable read-only public dashboard</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ui/src/components/Onboarding.jsx</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3</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New user onboarding wizard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ui/src/components/Settings.jsx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3</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settings page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ui/src/components/ApprovalQueue.jsx</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4</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Email approval review interface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ui/src/components/MerkleProof.jsx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Merkle proof visualisation component</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landing/index.html</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3</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Landing page with live dashboard embed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7</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vargate-cli: init, status, test, replay commands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.github/workflows/ci.yml</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1</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CI pipeline: lint, test, build, docker compose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.github/workflows/security.yml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6</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Dependency vulnerability scanning</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monitoring/grafana/</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6</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Grafana dashboard provisioning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monitoring/alertmanager/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6</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Alert rules and notification config</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scripts/backup.sh</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6</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Automated nightly SQLite backup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test_e2e.py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8</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lifecycle integration test</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test_benchmark.py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8</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Performance benchmark at scale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test_chaos.py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6</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Chaos testing for degradation scenarios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docs/agcs-compliance/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8</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AGCS Tier 1 + 2 self-assessment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docs/quickstart.md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Sprint 7</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Quick-start guide (&lt;10 min to first governed action)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docs/enterprise-roadmap.md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8</w:t>
            </w:r>
          </w:p>
        </w:tc>
        <w:tc>
          <w:tcPr>
            <w:tcW w:type="dxa" w:w="4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Enterprise feature roadmap</w:t>
            </w:r>
          </w:p>
        </w:tc>
      </w:tr>
    </w:tbl>
    <w:p>
      <w:r>
        <w:br w:type="page"/>
      </w:r>
    </w:p>
    <w:p>
      <w:pPr>
        <w:pStyle w:val="Heading1"/>
        <w:spacing w:after="200" w:before="360"/>
      </w:pPr>
      <w:r>
        <w:rPr>
          <w:rFonts w:ascii="Arial" w:cs="Arial" w:eastAsia="Arial" w:hAnsi="Arial"/>
          <w:b/>
          <w:bCs/>
          <w:color w:val="1B4F72"/>
          <w:sz w:val="32"/>
          <w:szCs w:val="32"/>
        </w:rPr>
        <w:t xml:space="preserve">8. Velocity Assumptions &amp; Capacity Planning</w:t>
      </w:r>
    </w:p>
    <w:p>
      <w:pPr>
        <w:spacing w:after="100"/>
      </w:pPr>
      <w:r>
        <w:rPr>
          <w:rFonts w:ascii="Arial" w:cs="Arial" w:eastAsia="Arial" w:hAnsi="Arial"/>
          <w:sz w:val="21"/>
          <w:szCs w:val="21"/>
        </w:rPr>
        <w:t xml:space="preserve">These estimates assume Rick working full-time on the vargate-proxy codebase. Adjust sprint scope if concurrent work (Crazy Mary, AGCS standard revisions, investor materials) reduces available capacity.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Assumption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Contingency</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Solo developer velocity</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15–20 SP per 2-week sprint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Based on similar complexity projects; adjusted for full context switching costs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Sprint 2 (multi-tenancy) overflows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34 SP exceeds solo capacity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 A: extend to 3 weeks. Option B: defer tenant-aware bundle server (2.7) to Sprint 3. Option C: accept tech debt on per-tenant chains (single global chain initially)</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Sprint 5 (Merkle trees) overflows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34 SP exceeds solo capacity</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Option A: extend to 3 weeks. Option B: defer multi-chain (5.5, 5.6) to Sprint 6. Merkle implementation (5.1–5.4) is the non-negotiable core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Buffer sprints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explicitly scheduled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If Sprints 2 or 5 slip, Sprints 3/4 or 6/7 can absorb overflow because they have lower SP totals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External feedback integration</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Weeks 9+ only</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Sprint 7 (DX) intentionally placed after launch to incorporate real user feedback before investing in developer tooling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Vargate-Proxy — Technical Sprint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2026-04-07T17:48:35.318Z</dcterms:created>
  <dcterms:modified xsi:type="dcterms:W3CDTF">2026-04-07T17:48:35.318Z</dcterms:modified>
</cp:coreProperties>
</file>

<file path=docProps/custom.xml><?xml version="1.0" encoding="utf-8"?>
<Properties xmlns="http://schemas.openxmlformats.org/officeDocument/2006/custom-properties" xmlns:vt="http://schemas.openxmlformats.org/officeDocument/2006/docPropsVTypes"/>
</file>