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第2章 总需求与总供给</w:t>
      </w:r>
    </w:p>
    <w:p>
      <w:r>
        <w:t>总需求曲线反映价格水平与总需求量的反向关系。</w:t>
      </w:r>
    </w:p>
    <w:p>
      <w:pPr>
        <w:pStyle w:val="Heading2"/>
      </w:pPr>
      <w:r>
        <w:t>2.1 总需求曲线的移动</w:t>
      </w:r>
    </w:p>
    <w:p>
      <w:r>
        <w:t>财政政策与货币政策会使 AD 曲线移动。这是论述题高频考点。</w:t>
      </w:r>
    </w:p>
    <w:p>
      <w:pPr>
        <w:pStyle w:val="Heading1"/>
      </w:pPr>
      <w:r>
        <w:t>第3章 IS-LM 模型</w:t>
      </w:r>
    </w:p>
    <w:p>
      <w:r>
        <w:t>IS 曲线表示产品市场均衡，LM 曲线表示货币市场均衡。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