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Resumen: intervalos de confianza</w:t>
      </w:r>
    </w:p>
    <w:p>
      <w:pPr>
        <w:pStyle w:val="Heading1"/>
      </w:pPr>
      <w:r>
        <w:t xml:space="preserve">Qué es un intervalo de confianza</w:t>
      </w:r>
    </w:p>
    <w:p>
      <w:r>
        <w:t xml:space="preserve">Es un rango de valores plausibles para un parámetro, armado con los datos de una muestra.</w:t>
      </w:r>
    </w:p>
    <w:p>
      <w:r>
        <w:t xml:space="preserve">Se calcula como la estimación más y menos un margen de error.</w:t>
      </w:r>
    </w:p>
    <w:p>
      <w:pPr>
        <w:pStyle w:val="Heading1"/>
      </w:pPr>
      <w:r>
        <w:t xml:space="preserve">Cómo se interpreta</w:t>
      </w:r>
    </w:p>
    <w:p>
      <w:r>
        <w:t xml:space="preserve">El nivel de confianza describe al procedimiento: con muchas muestras, cerca del 95 % de los intervalos del 95 % contiene al parámetro.</w:t>
      </w:r>
    </w:p>
    <w:p>
      <w:r>
        <w:t xml:space="preserve">No es la probabilidad de que este intervalo en particular contenga al parámetro.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