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Arial" w:cs="Arial" w:eastAsia="Arial" w:hAnsi="Arial"/>
          <w:sz w:val="20"/>
          <w:szCs w:val="20"/>
        </w:rPr>
        <w:t xml:space="preserve"/>
      </w:r>
    </w:p>
    <w:p>
      <w:pPr>
        <w:spacing w:after="80"/>
        <w:jc w:val="center"/>
      </w:pPr>
      <w:r>
        <w:rPr>
          <w:rFonts w:ascii="Arial" w:cs="Arial" w:eastAsia="Arial" w:hAnsi="Arial"/>
          <w:b/>
          <w:bCs/>
          <w:color w:val="1B3A5C"/>
          <w:sz w:val="96"/>
          <w:szCs w:val="96"/>
        </w:rPr>
        <w:t xml:space="preserve">SENTINEL</w:t>
      </w:r>
    </w:p>
    <w:p>
      <w:pPr>
        <w:spacing w:after="80"/>
        <w:jc w:val="center"/>
      </w:pPr>
      <w:r>
        <w:rPr>
          <w:rFonts w:ascii="Arial" w:cs="Arial" w:eastAsia="Arial" w:hAnsi="Arial"/>
          <w:b/>
          <w:bCs/>
          <w:color w:val="1A6B72"/>
          <w:sz w:val="30"/>
          <w:szCs w:val="30"/>
        </w:rPr>
        <w:t xml:space="preserve">Food-Borne Illness Risk Intelligence Platform</w:t>
      </w:r>
    </w:p>
    <w:p>
      <w:pPr>
        <w:spacing w:after="40"/>
        <w:jc w:val="center"/>
      </w:pPr>
      <w:r>
        <w:rPr>
          <w:rFonts w:ascii="Arial" w:cs="Arial" w:eastAsia="Arial" w:hAnsi="Arial"/>
          <w:color w:val="7F8C8D"/>
          <w:sz w:val="22"/>
          <w:szCs w:val="22"/>
        </w:rPr>
        <w:t xml:space="preserve">Product Requirements Document  |  v1.0</w:t>
      </w:r>
    </w:p>
    <w:p>
      <w:pPr>
        <w:spacing w:after="480"/>
        <w:jc w:val="center"/>
      </w:pPr>
      <w:r>
        <w:rPr>
          <w:rFonts w:ascii="Arial" w:cs="Arial" w:eastAsia="Arial" w:hAnsi="Arial"/>
          <w:color w:val="7F8C8D"/>
          <w:sz w:val="22"/>
          <w:szCs w:val="22"/>
        </w:rPr>
        <w:t xml:space="preserve">Montgomery County Health Department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Client</w:t>
            </w:r>
          </w:p>
        </w:tc>
        <w:tc>
          <w:tcPr>
            <w:tcW w:type="dxa" w:w="48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Montgomery County Health Department</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Project</w:t>
            </w:r>
          </w:p>
        </w:tc>
        <w:tc>
          <w:tcPr>
            <w:tcW w:type="dxa" w:w="48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Sentinel — Food-Borne Illness Tracker</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Version</w:t>
            </w:r>
          </w:p>
        </w:tc>
        <w:tc>
          <w:tcPr>
            <w:tcW w:type="dxa" w:w="48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1.0 (post-iteration, incorporating all session fixes)</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Date</w:t>
            </w:r>
          </w:p>
        </w:tc>
        <w:tc>
          <w:tcPr>
            <w:tcW w:type="dxa" w:w="48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March 2026</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Status</w:t>
            </w:r>
          </w:p>
        </w:tc>
        <w:tc>
          <w:tcPr>
            <w:tcW w:type="dxa" w:w="48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27AE60"/>
                <w:sz w:val="20"/>
                <w:szCs w:val="20"/>
              </w:rPr>
              <w:t xml:space="preserve">Active Development</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Tech Stack</w:t>
            </w:r>
          </w:p>
        </w:tc>
        <w:tc>
          <w:tcPr>
            <w:tcW w:type="dxa" w:w="48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React 18 + Vite · Leaflet 4 · proj4.js · Bright Data API · jsPDF</w:t>
            </w:r>
          </w:p>
        </w:tc>
      </w:tr>
    </w:tbl>
    <w:p>
      <w:pPr>
        <w:spacing w:after="320"/>
      </w:pPr>
      <w:r>
        <w:rPr>
          <w:rFonts w:ascii="Arial" w:cs="Arial" w:eastAsia="Arial" w:hAnsi="Arial"/>
          <w:sz w:val="20"/>
          <w:szCs w:val="20"/>
        </w:rPr>
        <w:t xml:space="preserve"/>
      </w:r>
    </w:p>
    <w:p>
      <w:r>
        <w:br w:type="page"/>
      </w:r>
    </w:p>
    <w:p>
      <w:pPr>
        <w:pStyle w:val="Heading1"/>
        <w:pBdr>
          <w:bottom w:val="single" w:color="1A6B72" w:sz="8" w:space="4"/>
        </w:pBdr>
        <w:spacing w:before="480" w:after="200"/>
      </w:pPr>
      <w:r>
        <w:rPr>
          <w:rFonts w:ascii="Arial" w:cs="Arial" w:eastAsia="Arial" w:hAnsi="Arial"/>
          <w:b/>
          <w:bCs/>
          <w:color w:val="1B3A5C"/>
          <w:sz w:val="36"/>
          <w:szCs w:val="36"/>
        </w:rPr>
        <w:t xml:space="preserve">1. Executive Summary</w:t>
      </w:r>
    </w:p>
    <w:p>
      <w:pPr>
        <w:spacing w:after="160"/>
      </w:pPr>
      <w:r>
        <w:rPr>
          <w:rFonts w:ascii="Arial" w:cs="Arial" w:eastAsia="Arial" w:hAnsi="Arial"/>
          <w:sz w:val="20"/>
          <w:szCs w:val="20"/>
        </w:rPr>
        <w:t xml:space="preserve">Sentinel is a client-side web application built for Montgomery County Health Department inspectors. It cross-references official food inspection scores from the Montgomery Open Data Portal with crowd-sourced illness signals scraped in real time from TripAdvisor and Google, surfacing hidden food safety risks that official scores alone cannot detect.</w:t>
      </w:r>
    </w:p>
    <w:p>
      <w:pPr>
        <w:spacing w:after="160"/>
      </w:pPr>
      <w:r>
        <w:rPr>
          <w:rFonts w:ascii="Arial" w:cs="Arial" w:eastAsia="Arial" w:hAnsi="Arial"/>
          <w:sz w:val="20"/>
          <w:szCs w:val="20"/>
        </w:rPr>
        <w:t xml:space="preserve">The core insight driving Sentinel is that a restaurant can pass an official inspection with a score of 85 or above while simultaneously accumulating online reviews reporting food poisoning and illness. Sentinel detects this gap and flags it as a Priority Inspection Trigger (PIT), giving inspectors a data-driven basis for unannounced follow-up visits.</w:t>
      </w:r>
    </w:p>
    <w:p>
      <w:pPr>
        <w:spacing w:after="160"/>
      </w:pPr>
      <w:r>
        <w:rPr>
          <w:rFonts w:ascii="Arial" w:cs="Arial" w:eastAsia="Arial" w:hAnsi="Arial"/>
          <w:sz w:val="20"/>
          <w:szCs w:val="20"/>
        </w:rPr>
        <w:t xml:space="preserve">This PRD documents the full product as built, including all features, architecture decisions, data flows, coordinate system corrections, and the live data refresh integration. It is intended as the authoritative reference for any future development, onboarding of new engineers, or handoff to Montgomery County IT.</w:t>
      </w:r>
    </w:p>
    <w:p>
      <w:pPr>
        <w:pStyle w:val="Heading1"/>
        <w:pBdr>
          <w:bottom w:val="single" w:color="1A6B72" w:sz="8" w:space="4"/>
        </w:pBdr>
        <w:spacing w:before="480" w:after="200"/>
      </w:pPr>
      <w:r>
        <w:rPr>
          <w:rFonts w:ascii="Arial" w:cs="Arial" w:eastAsia="Arial" w:hAnsi="Arial"/>
          <w:b/>
          <w:bCs/>
          <w:color w:val="1B3A5C"/>
          <w:sz w:val="36"/>
          <w:szCs w:val="36"/>
        </w:rPr>
        <w:t xml:space="preserve">2. Problem Statement</w:t>
      </w:r>
    </w:p>
    <w:p>
      <w:pPr>
        <w:pStyle w:val="Heading2"/>
        <w:spacing w:before="360" w:after="160"/>
      </w:pPr>
      <w:r>
        <w:rPr>
          <w:rFonts w:ascii="Arial" w:cs="Arial" w:eastAsia="Arial" w:hAnsi="Arial"/>
          <w:b/>
          <w:bCs/>
          <w:color w:val="1A6B72"/>
          <w:sz w:val="26"/>
          <w:szCs w:val="26"/>
        </w:rPr>
        <w:t xml:space="preserve">2.1  The Gap Between Official Scores and Reality</w:t>
      </w:r>
    </w:p>
    <w:p>
      <w:pPr>
        <w:spacing w:after="160"/>
      </w:pPr>
      <w:r>
        <w:rPr>
          <w:rFonts w:ascii="Arial" w:cs="Arial" w:eastAsia="Arial" w:hAnsi="Arial"/>
          <w:sz w:val="20"/>
          <w:szCs w:val="20"/>
        </w:rPr>
        <w:t xml:space="preserve">Montgomery County Health Department inspects food establishments on a periodic schedule and publishes scores publicly. These scores are a snapshot in time — conditions can deteriorate significantly between inspections. Critically, the official score reveals nothing about:</w:t>
      </w:r>
    </w:p>
    <w:p>
      <w:pPr>
        <w:pStyle w:val="ListParagraph"/>
        <w:numPr>
          <w:ilvl w:val="0"/>
          <w:numId w:val="2"/>
        </w:numPr>
        <w:spacing w:after="80"/>
      </w:pPr>
      <w:r>
        <w:rPr>
          <w:rFonts w:ascii="Arial" w:cs="Arial" w:eastAsia="Arial" w:hAnsi="Arial"/>
          <w:sz w:val="20"/>
          <w:szCs w:val="20"/>
        </w:rPr>
        <w:t xml:space="preserve">Customer-reported illness events (food poisoning, stomach cramps, nausea, vomiting) that occurred after the last inspection</w:t>
      </w:r>
    </w:p>
    <w:p>
      <w:pPr>
        <w:pStyle w:val="ListParagraph"/>
        <w:numPr>
          <w:ilvl w:val="0"/>
          <w:numId w:val="2"/>
        </w:numPr>
        <w:spacing w:after="80"/>
      </w:pPr>
      <w:r>
        <w:rPr>
          <w:rFonts w:ascii="Arial" w:cs="Arial" w:eastAsia="Arial" w:hAnsi="Arial"/>
          <w:sz w:val="20"/>
          <w:szCs w:val="20"/>
        </w:rPr>
        <w:t xml:space="preserve">Establishments with borderline scores that are trending toward non-compliance</w:t>
      </w:r>
    </w:p>
    <w:p>
      <w:pPr>
        <w:pStyle w:val="ListParagraph"/>
        <w:numPr>
          <w:ilvl w:val="0"/>
          <w:numId w:val="2"/>
        </w:numPr>
        <w:spacing w:after="80"/>
      </w:pPr>
      <w:r>
        <w:rPr>
          <w:rFonts w:ascii="Arial" w:cs="Arial" w:eastAsia="Arial" w:hAnsi="Arial"/>
          <w:sz w:val="20"/>
          <w:szCs w:val="20"/>
        </w:rPr>
        <w:t xml:space="preserve">Inspection staleness — a score from 18 months ago provides little current safety assurance</w:t>
      </w:r>
    </w:p>
    <w:p>
      <w:pPr>
        <w:spacing w:after="160"/>
      </w:pPr>
      <w:r>
        <w:rPr>
          <w:rFonts w:ascii="Arial" w:cs="Arial" w:eastAsia="Arial" w:hAnsi="Arial"/>
          <w:sz w:val="20"/>
          <w:szCs w:val="20"/>
        </w:rPr>
        <w:t xml:space="preserve"/>
      </w:r>
    </w:p>
    <w:p>
      <w:pPr>
        <w:pStyle w:val="Heading2"/>
        <w:spacing w:before="360" w:after="160"/>
      </w:pPr>
      <w:r>
        <w:rPr>
          <w:rFonts w:ascii="Arial" w:cs="Arial" w:eastAsia="Arial" w:hAnsi="Arial"/>
          <w:b/>
          <w:bCs/>
          <w:color w:val="1A6B72"/>
          <w:sz w:val="26"/>
          <w:szCs w:val="26"/>
        </w:rPr>
        <w:t xml:space="preserve">2.2  The Intelligence Gap</w:t>
      </w:r>
    </w:p>
    <w:p>
      <w:pPr>
        <w:spacing w:after="160"/>
      </w:pPr>
      <w:r>
        <w:rPr>
          <w:rFonts w:ascii="Arial" w:cs="Arial" w:eastAsia="Arial" w:hAnsi="Arial"/>
          <w:sz w:val="20"/>
          <w:szCs w:val="20"/>
        </w:rPr>
        <w:t xml:space="preserve">Online review platforms (TripAdvisor, Google) contain a significant volume of first-person accounts of foodborne illness. These signals are publicly available but currently unmonitored by the Health Department. An inspector visiting 1,350 establishments cannot manually review online content for each one. Sentinel automates this signal extraction.</w:t>
      </w:r>
    </w:p>
    <w:p>
      <w:pPr>
        <w:pStyle w:val="Heading2"/>
        <w:spacing w:before="360" w:after="160"/>
      </w:pPr>
      <w:r>
        <w:rPr>
          <w:rFonts w:ascii="Arial" w:cs="Arial" w:eastAsia="Arial" w:hAnsi="Arial"/>
          <w:b/>
          <w:bCs/>
          <w:color w:val="1A6B72"/>
          <w:sz w:val="26"/>
          <w:szCs w:val="26"/>
        </w:rPr>
        <w:t xml:space="preserve">2.3  Target User</w:t>
      </w:r>
    </w:p>
    <w:p>
      <w:pPr>
        <w:spacing w:after="160"/>
      </w:pPr>
      <w:r>
        <w:rPr>
          <w:rFonts w:ascii="Arial" w:cs="Arial" w:eastAsia="Arial" w:hAnsi="Arial"/>
          <w:sz w:val="20"/>
          <w:szCs w:val="20"/>
        </w:rPr>
        <w:t xml:space="preserve">Montgomery County Health Department food safety inspectors and their supervisors. The application is an internal tool — it is not public-facing and is not intended to be published to the general population.</w:t>
      </w:r>
    </w:p>
    <w:p>
      <w:pPr>
        <w:pStyle w:val="Heading1"/>
        <w:pBdr>
          <w:bottom w:val="single" w:color="1A6B72" w:sz="8" w:space="4"/>
        </w:pBdr>
        <w:spacing w:before="480" w:after="200"/>
      </w:pPr>
      <w:r>
        <w:rPr>
          <w:rFonts w:ascii="Arial" w:cs="Arial" w:eastAsia="Arial" w:hAnsi="Arial"/>
          <w:b/>
          <w:bCs/>
          <w:color w:val="1B3A5C"/>
          <w:sz w:val="36"/>
          <w:szCs w:val="36"/>
        </w:rPr>
        <w:t xml:space="preserve">3. Product Goals &amp;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3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Goal</w:t>
            </w:r>
          </w:p>
        </w:tc>
        <w:tc>
          <w:tcPr>
            <w:tcW w:type="dxa" w:w="53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Success Metric</w:t>
            </w:r>
          </w:p>
        </w:tc>
      </w:tr>
      <w:tr>
        <w:tc>
          <w:tcPr>
            <w:tcW w:type="dxa" w:w="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G1</w:t>
            </w:r>
          </w:p>
        </w:tc>
        <w:tc>
          <w:tcPr>
            <w:tcW w:type="dxa" w:w="3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Surface hidden illness risks</w:t>
            </w:r>
          </w:p>
        </w:tc>
        <w:tc>
          <w:tcPr>
            <w:tcW w:type="dxa" w:w="53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PIT triggered for &gt;0 establishments with score &gt;=85 and active illness reviews</w:t>
            </w:r>
          </w:p>
        </w:tc>
      </w:tr>
      <w:tr>
        <w:tc>
          <w:tcPr>
            <w:tcW w:type="dxa" w:w="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G2</w:t>
            </w:r>
          </w:p>
        </w:tc>
        <w:tc>
          <w:tcPr>
            <w:tcW w:type="dxa" w:w="3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Prioritise inspector time</w:t>
            </w:r>
          </w:p>
        </w:tc>
        <w:tc>
          <w:tcPr>
            <w:tcW w:type="dxa" w:w="53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Establishment list ranked by SRS, highest risk at top</w:t>
            </w:r>
          </w:p>
        </w:tc>
      </w:tr>
      <w:tr>
        <w:tc>
          <w:tcPr>
            <w:tcW w:type="dxa" w:w="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G3</w:t>
            </w:r>
          </w:p>
        </w:tc>
        <w:tc>
          <w:tcPr>
            <w:tcW w:type="dxa" w:w="3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Keep data current</w:t>
            </w:r>
          </w:p>
        </w:tc>
        <w:tc>
          <w:tcPr>
            <w:tcW w:type="dxa" w:w="53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One-click live refresh from Montgomery ArcGIS endpoint; review data cached with 1-hour TTL</w:t>
            </w:r>
          </w:p>
        </w:tc>
      </w:tr>
      <w:tr>
        <w:tc>
          <w:tcPr>
            <w:tcW w:type="dxa" w:w="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G4</w:t>
            </w:r>
          </w:p>
        </w:tc>
        <w:tc>
          <w:tcPr>
            <w:tcW w:type="dxa" w:w="3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Support PDF reporting</w:t>
            </w:r>
          </w:p>
        </w:tc>
        <w:tc>
          <w:tcPr>
            <w:tcW w:type="dxa" w:w="53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Generate Priority Inspection Report with cover page, executive summary, and per-establishment detail pages</w:t>
            </w:r>
          </w:p>
        </w:tc>
      </w:tr>
      <w:tr>
        <w:tc>
          <w:tcPr>
            <w:tcW w:type="dxa" w:w="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G5</w:t>
            </w:r>
          </w:p>
        </w:tc>
        <w:tc>
          <w:tcPr>
            <w:tcW w:type="dxa" w:w="3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No server infrastructure required</w:t>
            </w:r>
          </w:p>
        </w:tc>
        <w:tc>
          <w:tcPr>
            <w:tcW w:type="dxa" w:w="53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100% client-side; deployable as static files to Vercel/Netlify</w:t>
            </w:r>
          </w:p>
        </w:tc>
      </w:tr>
    </w:tbl>
    <w:p>
      <w:pPr>
        <w:pStyle w:val="Heading1"/>
        <w:pBdr>
          <w:bottom w:val="single" w:color="1A6B72" w:sz="8" w:space="4"/>
        </w:pBdr>
        <w:spacing w:before="480" w:after="200"/>
      </w:pPr>
      <w:r>
        <w:rPr>
          <w:rFonts w:ascii="Arial" w:cs="Arial" w:eastAsia="Arial" w:hAnsi="Arial"/>
          <w:b/>
          <w:bCs/>
          <w:color w:val="1B3A5C"/>
          <w:sz w:val="36"/>
          <w:szCs w:val="36"/>
        </w:rPr>
        <w:t xml:space="preserve">4. Data Sources</w:t>
      </w:r>
    </w:p>
    <w:p>
      <w:pPr>
        <w:pStyle w:val="Heading2"/>
        <w:spacing w:before="360" w:after="160"/>
      </w:pPr>
      <w:r>
        <w:rPr>
          <w:rFonts w:ascii="Arial" w:cs="Arial" w:eastAsia="Arial" w:hAnsi="Arial"/>
          <w:b/>
          <w:bCs/>
          <w:color w:val="1A6B72"/>
          <w:sz w:val="26"/>
          <w:szCs w:val="26"/>
        </w:rPr>
        <w:t xml:space="preserve">4.1  Montgomery Open Data Portal — Inspection Scores</w:t>
      </w:r>
    </w:p>
    <w:p>
      <w:pPr>
        <w:spacing w:after="160"/>
      </w:pPr>
      <w:r>
        <w:rPr>
          <w:rFonts w:ascii="Arial" w:cs="Arial" w:eastAsia="Arial" w:hAnsi="Arial"/>
          <w:sz w:val="20"/>
          <w:szCs w:val="20"/>
        </w:rPr>
        <w:t xml:space="preserve">The primary dataset is published by the City of Montgomery via ArcGIS Online. It contains 1,350 food establishment records with official inspection scores.</w:t>
      </w:r>
    </w:p>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Field</w:t>
            </w:r>
          </w:p>
        </w:tc>
        <w:tc>
          <w:tcPr>
            <w:tcW w:type="dxa" w:w="71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Details</w:t>
            </w:r>
          </w:p>
        </w:tc>
      </w:tr>
      <w:tr>
        <w:tc>
          <w:tcPr>
            <w:tcW w:type="dxa" w:w="2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Source</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food_scores.csv (bundled in /public/) + live ArcGIS FeatureServer</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Columns</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OBJECTID, Establishment, Address, Date, Score_1, Lat, Long</w:t>
            </w:r>
          </w:p>
        </w:tc>
      </w:tr>
      <w:tr>
        <w:tc>
          <w:tcPr>
            <w:tcW w:type="dxa" w:w="2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Records</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1,350</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Score range</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1 – 100. Mean: 94.7. Scores &lt;=1 are flagged as anomalies.</w:t>
            </w:r>
          </w:p>
        </w:tc>
      </w:tr>
      <w:tr>
        <w:tc>
          <w:tcPr>
            <w:tcW w:type="dxa" w:w="2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Coordinate system</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Alabama State Plane East, NAD83, US Survey Feet (EPSG:2895 / spatialReference 102629). NOTE: CSV columns are mislabelled — "Lat" contains easting (X) and "Long" contains northing (Y).</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ArcGIS endpoint</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https://services7.arcgis.com/xNUwUjOJqYE54USz/arcgis/rest/services/Food_Scoring/FeatureServer/0</w:t>
            </w:r>
          </w:p>
        </w:tc>
      </w:tr>
      <w:tr>
        <w:tc>
          <w:tcPr>
            <w:tcW w:type="dxa" w:w="2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Fallback endpoint</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https://services7.arcgis.com/xNUwUjOJqYE54USz/arcgis/rest/services/Food/FeatureServer/0</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Refresh query params</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?where=1=1&amp;outFields=*&amp;returnGeometry=true&amp;outSR=4326&amp;resultRecordCount=2000&amp;f=json</w:t>
            </w:r>
          </w:p>
        </w:tc>
      </w:tr>
    </w:tbl>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When refreshing via the ArcGIS endpoint, outSR=4326 requests WGS84 coordinates directly from the server — no client-side projection conversion is needed for refreshed data.</w:t>
      </w:r>
    </w:p>
    <w:p>
      <w:pPr>
        <w:pStyle w:val="Heading2"/>
        <w:spacing w:before="360" w:after="160"/>
      </w:pPr>
      <w:r>
        <w:rPr>
          <w:rFonts w:ascii="Arial" w:cs="Arial" w:eastAsia="Arial" w:hAnsi="Arial"/>
          <w:b/>
          <w:bCs/>
          <w:color w:val="1A6B72"/>
          <w:sz w:val="26"/>
          <w:szCs w:val="26"/>
        </w:rPr>
        <w:t xml:space="preserve">4.2  Review Intelligence — TripAdvisor &amp;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Source</w:t>
            </w:r>
          </w:p>
        </w:tc>
        <w:tc>
          <w:tcPr>
            <w:tcW w:type="dxa" w:w="71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Method &amp; Notes</w:t>
            </w:r>
          </w:p>
        </w:tc>
      </w:tr>
      <w:tr>
        <w:tc>
          <w:tcPr>
            <w:tcW w:type="dxa" w:w="2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TripAdvisor</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source. Bright Data scrapes full listing pages as markdown. Yields author, rating (N of 5 bubbles), date (Written...), and full review text. Yelp was evaluated and removed — Yelp renders reviews via JavaScript and returns no content when scraped.</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1A6B72"/>
                <w:sz w:val="20"/>
                <w:szCs w:val="20"/>
              </w:rPr>
              <w:t xml:space="preserve">Google SERP</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Fallback source. Bright Data searches Google for establishment reviews. Organic result descriptions are parsed for review-like text and illness signals.</w:t>
            </w:r>
          </w:p>
        </w:tc>
      </w:tr>
      <w:tr>
        <w:tc>
          <w:tcPr>
            <w:tcW w:type="dxa" w:w="2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Yelp</w:t>
            </w:r>
          </w:p>
        </w:tc>
        <w:tc>
          <w:tcPr>
            <w:tcW w:type="dxa" w:w="7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Evaluated and permanently removed. Yelp renders reviews via JavaScript; scraping returns page shell with "Loading..." placeholders and no review content.</w:t>
            </w:r>
          </w:p>
        </w:tc>
      </w:tr>
    </w:tbl>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All review scraping is performed client-side via Bright Data's SERP and scrape APIs. A Bright Data API key must be configured in .env as VITE_BRIGHTDATA_API_KEY. When no key is present, the app auto-enables Demo Mode and generates realistic mock review data.</w:t>
      </w:r>
    </w:p>
    <w:p>
      <w:pPr>
        <w:pStyle w:val="Heading1"/>
        <w:pBdr>
          <w:bottom w:val="single" w:color="1A6B72" w:sz="8" w:space="4"/>
        </w:pBdr>
        <w:spacing w:before="480" w:after="200"/>
      </w:pPr>
      <w:r>
        <w:rPr>
          <w:rFonts w:ascii="Arial" w:cs="Arial" w:eastAsia="Arial" w:hAnsi="Arial"/>
          <w:b/>
          <w:bCs/>
          <w:color w:val="1B3A5C"/>
          <w:sz w:val="36"/>
          <w:szCs w:val="36"/>
        </w:rPr>
        <w:t xml:space="preserve">5. Scoring System</w:t>
      </w:r>
    </w:p>
    <w:p>
      <w:pPr>
        <w:pStyle w:val="Heading2"/>
        <w:spacing w:before="360" w:after="160"/>
      </w:pPr>
      <w:r>
        <w:rPr>
          <w:rFonts w:ascii="Arial" w:cs="Arial" w:eastAsia="Arial" w:hAnsi="Arial"/>
          <w:b/>
          <w:bCs/>
          <w:color w:val="1A6B72"/>
          <w:sz w:val="26"/>
          <w:szCs w:val="26"/>
        </w:rPr>
        <w:t xml:space="preserve">5.1  Official Score Tiers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tblGrid>
      <w:tr>
        <w:tc>
          <w:tcPr>
            <w:tcW w:type="dxa" w:w="16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Score Range</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Tier</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Map Colour</w:t>
            </w:r>
          </w:p>
        </w:tc>
      </w:tr>
      <w:tr>
        <w:tc>
          <w:tcPr>
            <w:tcW w:type="dxa" w:w="168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85 – 100</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27AE60"/>
                <w:sz w:val="20"/>
                <w:szCs w:val="20"/>
              </w:rPr>
              <w:t xml:space="preserve">Good</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Green</w:t>
            </w:r>
          </w:p>
        </w:tc>
      </w:tr>
      <w:tr>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70 – 84</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E67E22"/>
                <w:sz w:val="20"/>
                <w:szCs w:val="20"/>
              </w:rPr>
              <w:t xml:space="preserve">High Risk</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Orange</w:t>
            </w:r>
          </w:p>
        </w:tc>
      </w:tr>
      <w:tr>
        <w:tc>
          <w:tcPr>
            <w:tcW w:type="dxa" w:w="168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&lt; 70</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C0392B"/>
                <w:sz w:val="20"/>
                <w:szCs w:val="20"/>
              </w:rPr>
              <w:t xml:space="preserve">Critical</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Red</w:t>
            </w:r>
          </w:p>
        </w:tc>
      </w:tr>
    </w:tbl>
    <w:p>
      <w:pPr>
        <w:spacing w:after="160"/>
      </w:pPr>
      <w:r>
        <w:rPr>
          <w:rFonts w:ascii="Arial" w:cs="Arial" w:eastAsia="Arial" w:hAnsi="Arial"/>
          <w:sz w:val="20"/>
          <w:szCs w:val="20"/>
        </w:rPr>
        <w:t xml:space="preserve"/>
      </w:r>
    </w:p>
    <w:p>
      <w:pPr>
        <w:pStyle w:val="Heading2"/>
        <w:spacing w:before="360" w:after="160"/>
      </w:pPr>
      <w:r>
        <w:rPr>
          <w:rFonts w:ascii="Arial" w:cs="Arial" w:eastAsia="Arial" w:hAnsi="Arial"/>
          <w:b/>
          <w:bCs/>
          <w:color w:val="1A6B72"/>
          <w:sz w:val="26"/>
          <w:szCs w:val="26"/>
        </w:rPr>
        <w:t xml:space="preserve">5.2  Sentinel Risk Score (SRS)</w:t>
      </w:r>
    </w:p>
    <w:p>
      <w:pPr>
        <w:spacing w:after="160"/>
      </w:pPr>
      <w:r>
        <w:rPr>
          <w:rFonts w:ascii="Arial" w:cs="Arial" w:eastAsia="Arial" w:hAnsi="Arial"/>
          <w:sz w:val="20"/>
          <w:szCs w:val="20"/>
        </w:rPr>
        <w:t xml:space="preserve">The SRS is a composite score from 0–100 combining three independent signals:</w:t>
      </w:r>
    </w:p>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Component</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Weight</w:t>
            </w:r>
          </w:p>
        </w:tc>
        <w:tc>
          <w:tcPr>
            <w:tcW w:type="dxa" w:w="5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Formula &amp; Description</w:t>
            </w:r>
          </w:p>
        </w:tc>
      </w:tr>
      <w:tr>
        <w:tc>
          <w:tcPr>
            <w:tcW w:type="dxa" w:w="2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IRS</w:t>
            </w:r>
            <w:r>
              <w:rPr>
                <w:rFonts w:ascii="Arial" w:cs="Arial" w:eastAsia="Arial" w:hAnsi="Arial"/>
                <w:sz w:val="20"/>
                <w:szCs w:val="20"/>
              </w:rPr>
              <w:t xml:space="preserve"> — Inspection Risk Score</w:t>
            </w:r>
          </w:p>
        </w:tc>
        <w:tc>
          <w:tcPr>
            <w:tcW w:type="dxa" w:w="1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40%</w:t>
            </w:r>
          </w:p>
        </w:tc>
        <w:tc>
          <w:tcPr>
            <w:tcW w:type="dxa" w:w="5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IRS = 100 - Score_1</w:t>
            </w:r>
            <w:r>
              <w:rPr>
                <w:rFonts w:ascii="Arial" w:cs="Arial" w:eastAsia="Arial" w:hAnsi="Arial"/>
                <w:sz w:val="20"/>
                <w:szCs w:val="20"/>
              </w:rPr>
              <w:t xml:space="preserve">. Inverted official score. A score of 72 = IRS of 28.</w:t>
            </w:r>
          </w:p>
        </w:tc>
      </w:tr>
      <w:tr>
        <w:tc>
          <w:tcPr>
            <w:tcW w:type="dxa" w:w="22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1A6B72"/>
                <w:sz w:val="20"/>
                <w:szCs w:val="20"/>
              </w:rPr>
              <w:t xml:space="preserve">RRS</w:t>
            </w:r>
            <w:r>
              <w:rPr>
                <w:rFonts w:ascii="Arial" w:cs="Arial" w:eastAsia="Arial" w:hAnsi="Arial"/>
                <w:sz w:val="20"/>
                <w:szCs w:val="20"/>
              </w:rPr>
              <w:t xml:space="preserve"> — Review Risk Score</w:t>
            </w:r>
          </w:p>
        </w:tc>
        <w:tc>
          <w:tcPr>
            <w:tcW w:type="dxa" w:w="12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45%</w:t>
            </w:r>
          </w:p>
        </w:tc>
        <w:tc>
          <w:tcPr>
            <w:tcW w:type="dxa" w:w="5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RRS = min(100, sum(weight * count * recency) / sqrt(total+1) * 25)</w:t>
            </w:r>
            <w:r>
              <w:rPr>
                <w:rFonts w:ascii="Arial" w:cs="Arial" w:eastAsia="Arial" w:hAnsi="Arial"/>
                <w:sz w:val="20"/>
                <w:szCs w:val="20"/>
              </w:rPr>
              <w:t xml:space="preserve">. Weighted illness keyword signal from scraped reviews. Keywords are tiered T1/T2/T3 by severity. Recent reviews are weighted more heavily.</w:t>
            </w:r>
          </w:p>
        </w:tc>
      </w:tr>
      <w:tr>
        <w:tc>
          <w:tcPr>
            <w:tcW w:type="dxa" w:w="2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1A6B72"/>
                <w:sz w:val="20"/>
                <w:szCs w:val="20"/>
              </w:rPr>
              <w:t xml:space="preserve">RecRS</w:t>
            </w:r>
            <w:r>
              <w:rPr>
                <w:rFonts w:ascii="Arial" w:cs="Arial" w:eastAsia="Arial" w:hAnsi="Arial"/>
                <w:sz w:val="20"/>
                <w:szCs w:val="20"/>
              </w:rPr>
              <w:t xml:space="preserve"> — Recency Risk Score</w:t>
            </w:r>
          </w:p>
        </w:tc>
        <w:tc>
          <w:tcPr>
            <w:tcW w:type="dxa" w:w="12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15%</w:t>
            </w:r>
          </w:p>
        </w:tc>
        <w:tc>
          <w:tcPr>
            <w:tcW w:type="dxa" w:w="5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RecRS = min(100, months_since_inspection * 4)</w:t>
            </w:r>
            <w:r>
              <w:rPr>
                <w:rFonts w:ascii="Arial" w:cs="Arial" w:eastAsia="Arial" w:hAnsi="Arial"/>
                <w:sz w:val="20"/>
                <w:szCs w:val="20"/>
              </w:rPr>
              <w:t xml:space="preserve">. Penalises stale inspections. Caps at 100 (25 months = maximum penalty).</w:t>
            </w:r>
          </w:p>
        </w:tc>
      </w:tr>
    </w:tbl>
    <w:p>
      <w:pPr>
        <w:spacing w:after="160"/>
      </w:pPr>
      <w:r>
        <w:rPr>
          <w:rFonts w:ascii="Arial" w:cs="Arial" w:eastAsia="Arial" w:hAnsi="Arial"/>
          <w:sz w:val="20"/>
          <w:szCs w:val="20"/>
        </w:rPr>
        <w:t xml:space="preserve"/>
      </w:r>
    </w:p>
    <w:p>
      <w:pPr>
        <w:spacing w:after="160"/>
      </w:pPr>
      <w:r>
        <w:rPr>
          <w:rFonts w:ascii="Arial" w:cs="Arial" w:eastAsia="Arial" w:hAnsi="Arial"/>
          <w:b/>
          <w:bCs/>
          <w:sz w:val="20"/>
          <w:szCs w:val="20"/>
        </w:rPr>
        <w:t xml:space="preserve">Final SRS = </w:t>
      </w:r>
      <w:r>
        <w:rPr>
          <w:rFonts w:ascii="Arial" w:cs="Arial" w:eastAsia="Arial" w:hAnsi="Arial"/>
          <w:sz w:val="20"/>
          <w:szCs w:val="20"/>
        </w:rPr>
        <w:t xml:space="preserve">(0.40 × IRS) + (0.45 × RRS) + (0.15 × RecRS)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tblGrid>
      <w:tr>
        <w:tc>
          <w:tcPr>
            <w:tcW w:type="dxa" w:w="16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SRS Range</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Tier</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Map Badge</w:t>
            </w:r>
          </w:p>
        </w:tc>
      </w:tr>
      <w:tr>
        <w:tc>
          <w:tcPr>
            <w:tcW w:type="dxa" w:w="168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70 – 100</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C0392B"/>
                <w:sz w:val="20"/>
                <w:szCs w:val="20"/>
              </w:rPr>
              <w:t xml:space="preserve">Critical</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Red · r=10px</w:t>
            </w:r>
          </w:p>
        </w:tc>
      </w:tr>
      <w:tr>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50 – 69</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E67E22"/>
                <w:sz w:val="20"/>
                <w:szCs w:val="20"/>
              </w:rPr>
              <w:t xml:space="preserve">High Risk</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Orange · r=8px</w:t>
            </w:r>
          </w:p>
        </w:tc>
      </w:tr>
      <w:tr>
        <w:tc>
          <w:tcPr>
            <w:tcW w:type="dxa" w:w="168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30 – 49</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8E6B00"/>
                <w:sz w:val="20"/>
                <w:szCs w:val="20"/>
              </w:rPr>
              <w:t xml:space="preserve">Elevated</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Yellow-orange</w:t>
            </w:r>
          </w:p>
        </w:tc>
      </w:tr>
      <w:tr>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0 – 29</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27AE60"/>
                <w:sz w:val="20"/>
                <w:szCs w:val="20"/>
              </w:rPr>
              <w:t xml:space="preserve">Normal</w:t>
            </w:r>
          </w:p>
        </w:tc>
        <w:tc>
          <w:tcPr>
            <w:tcW w:type="dxa" w:w="16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Green · r=5px</w:t>
            </w:r>
          </w:p>
        </w:tc>
      </w:tr>
    </w:tbl>
    <w:p>
      <w:pPr>
        <w:spacing w:after="160"/>
      </w:pPr>
      <w:r>
        <w:rPr>
          <w:rFonts w:ascii="Arial" w:cs="Arial" w:eastAsia="Arial" w:hAnsi="Arial"/>
          <w:sz w:val="20"/>
          <w:szCs w:val="20"/>
        </w:rPr>
        <w:t xml:space="preserve"/>
      </w:r>
    </w:p>
    <w:p>
      <w:pPr>
        <w:pStyle w:val="Heading2"/>
        <w:spacing w:before="360" w:after="160"/>
      </w:pPr>
      <w:r>
        <w:rPr>
          <w:rFonts w:ascii="Arial" w:cs="Arial" w:eastAsia="Arial" w:hAnsi="Arial"/>
          <w:b/>
          <w:bCs/>
          <w:color w:val="1A6B72"/>
          <w:sz w:val="26"/>
          <w:szCs w:val="26"/>
        </w:rPr>
        <w:t xml:space="preserve">5.3  Illness Keyword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Tier</w:t>
            </w:r>
          </w:p>
        </w:tc>
        <w:tc>
          <w:tcPr>
            <w:tcW w:type="dxa" w:w="1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Weight</w:t>
            </w:r>
          </w:p>
        </w:tc>
        <w:tc>
          <w:tcPr>
            <w:tcW w:type="dxa" w:w="6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Example Keywords</w:t>
            </w:r>
          </w:p>
        </w:tc>
      </w:tr>
      <w:tr>
        <w:tc>
          <w:tcPr>
            <w:tcW w:type="dxa" w:w="10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T1</w:t>
            </w:r>
          </w:p>
        </w:tc>
        <w:tc>
          <w:tcPr>
            <w:tcW w:type="dxa" w:w="1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High (3.0)</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"food poisoning", "salmonella", "e. coli", "norovirus", "health department", "hospitalized", "ER visit"</w:t>
            </w:r>
          </w:p>
        </w:tc>
      </w:tr>
      <w:tr>
        <w:tc>
          <w:tcPr>
            <w:tcW w:type="dxa" w:w="10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T2</w:t>
            </w:r>
          </w:p>
        </w:tc>
        <w:tc>
          <w:tcPr>
            <w:tcW w:type="dxa" w:w="1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Med (2.0)</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"food poisoning", "vomiting", "diarrhea", "stomach cramps", "nausea", "sick after eating", "got sick"</w:t>
            </w:r>
          </w:p>
        </w:tc>
      </w:tr>
      <w:tr>
        <w:tc>
          <w:tcPr>
            <w:tcW w:type="dxa" w:w="10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T3</w:t>
            </w:r>
          </w:p>
        </w:tc>
        <w:tc>
          <w:tcPr>
            <w:tcW w:type="dxa" w:w="1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Low (1.0)</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"stomach ache", "felt unwell", "not fresh", "undercooked", "raw", "smells bad", "dirty kitchen"</w:t>
            </w:r>
          </w:p>
        </w:tc>
      </w:tr>
    </w:tbl>
    <w:p>
      <w:pPr>
        <w:pStyle w:val="Heading2"/>
        <w:spacing w:before="360" w:after="160"/>
      </w:pPr>
      <w:r>
        <w:rPr>
          <w:rFonts w:ascii="Arial" w:cs="Arial" w:eastAsia="Arial" w:hAnsi="Arial"/>
          <w:b/>
          <w:bCs/>
          <w:color w:val="1A6B72"/>
          <w:sz w:val="26"/>
          <w:szCs w:val="26"/>
        </w:rPr>
        <w:t xml:space="preserve">5.4  Priority Inspection Trigger (PIT)</w:t>
      </w:r>
    </w:p>
    <w:p>
      <w:pPr>
        <w:spacing w:after="160"/>
      </w:pPr>
      <w:r>
        <w:rPr>
          <w:rFonts w:ascii="Arial" w:cs="Arial" w:eastAsia="Arial" w:hAnsi="Arial"/>
          <w:sz w:val="20"/>
          <w:szCs w:val="20"/>
        </w:rPr>
        <w:t xml:space="preserve">The PIT fires when ALL of the following conditions are simultaneously true:</w:t>
      </w:r>
    </w:p>
    <w:p>
      <w:pPr>
        <w:pStyle w:val="ListParagraph"/>
        <w:numPr>
          <w:ilvl w:val="0"/>
          <w:numId w:val="2"/>
        </w:numPr>
        <w:spacing w:after="80"/>
      </w:pPr>
      <w:r>
        <w:rPr>
          <w:rFonts w:ascii="Arial" w:cs="Arial" w:eastAsia="Arial" w:hAnsi="Arial"/>
          <w:sz w:val="20"/>
          <w:szCs w:val="20"/>
        </w:rPr>
        <w:t xml:space="preserve">Official score is &gt;= 85 (establishment is classified as "Good")</w:t>
      </w:r>
    </w:p>
    <w:p>
      <w:pPr>
        <w:pStyle w:val="ListParagraph"/>
        <w:numPr>
          <w:ilvl w:val="0"/>
          <w:numId w:val="2"/>
        </w:numPr>
        <w:spacing w:after="80"/>
      </w:pPr>
      <w:r>
        <w:rPr>
          <w:rFonts w:ascii="Arial" w:cs="Arial" w:eastAsia="Arial" w:hAnsi="Arial"/>
          <w:sz w:val="20"/>
          <w:szCs w:val="20"/>
        </w:rPr>
        <w:t xml:space="preserve">At least one illness-related review exists in the scraped data</w:t>
      </w:r>
    </w:p>
    <w:p>
      <w:pPr>
        <w:pStyle w:val="ListParagraph"/>
        <w:numPr>
          <w:ilvl w:val="0"/>
          <w:numId w:val="2"/>
        </w:numPr>
        <w:spacing w:after="80"/>
      </w:pPr>
      <w:r>
        <w:rPr>
          <w:rFonts w:ascii="Arial" w:cs="Arial" w:eastAsia="Arial" w:hAnsi="Arial"/>
          <w:sz w:val="20"/>
          <w:szCs w:val="20"/>
        </w:rPr>
        <w:t xml:space="preserve">SRS is &lt; 50 (not already flagged as High Risk or Critical by SRS alone)</w:t>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Rationale: A "Good" establishment with illness complaints represents a specific and actionable intelligence gap — the official record says safe but crowd data says otherwise. PIT markers are displayed in purple on the map (radius 11px, largest of all marker types) to make them visually prominent.</w:t>
      </w:r>
    </w:p>
    <w:p>
      <w:pPr>
        <w:pStyle w:val="Heading1"/>
        <w:pBdr>
          <w:bottom w:val="single" w:color="1A6B72" w:sz="8" w:space="4"/>
        </w:pBdr>
        <w:spacing w:before="480" w:after="200"/>
      </w:pPr>
      <w:r>
        <w:rPr>
          <w:rFonts w:ascii="Arial" w:cs="Arial" w:eastAsia="Arial" w:hAnsi="Arial"/>
          <w:b/>
          <w:bCs/>
          <w:color w:val="1B3A5C"/>
          <w:sz w:val="36"/>
          <w:szCs w:val="36"/>
        </w:rPr>
        <w:t xml:space="preserve">6. Feature Specifications</w:t>
      </w:r>
    </w:p>
    <w:p>
      <w:pPr>
        <w:pStyle w:val="Heading2"/>
        <w:spacing w:before="360" w:after="160"/>
      </w:pPr>
      <w:r>
        <w:rPr>
          <w:rFonts w:ascii="Arial" w:cs="Arial" w:eastAsia="Arial" w:hAnsi="Arial"/>
          <w:b/>
          <w:bCs/>
          <w:color w:val="1A6B72"/>
          <w:sz w:val="26"/>
          <w:szCs w:val="26"/>
        </w:rPr>
        <w:t xml:space="preserve">6.1  Three-Panel Layout</w:t>
      </w:r>
    </w:p>
    <w:p>
      <w:pPr>
        <w:spacing w:after="160"/>
      </w:pPr>
      <w:r>
        <w:rPr>
          <w:rFonts w:ascii="Arial" w:cs="Arial" w:eastAsia="Arial" w:hAnsi="Arial"/>
          <w:sz w:val="20"/>
          <w:szCs w:val="20"/>
        </w:rPr>
        <w:t xml:space="preserve">The application uses a fixed three-panel layout occupying the full viewport. Panels do not reflow or stack on small screens (this is an internal desktop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Panel</w:t>
            </w:r>
          </w:p>
        </w:tc>
        <w:tc>
          <w:tcPr>
            <w:tcW w:type="dxa" w:w="21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Width</w:t>
            </w:r>
          </w:p>
        </w:tc>
        <w:tc>
          <w:tcPr>
            <w:tcW w:type="dxa" w:w="57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Content</w:t>
            </w:r>
          </w:p>
        </w:tc>
      </w:tr>
      <w:tr>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Left</w:t>
            </w:r>
          </w:p>
        </w:tc>
        <w:tc>
          <w:tcPr>
            <w:tcW w:type="dxa" w:w="21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~280px fixed</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Filter bar (tier, keyword search) + scrollable ranked list of RiskCards sorted by SRS descending</w:t>
            </w:r>
          </w:p>
        </w:tc>
      </w:tr>
      <w:tr>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Centre</w:t>
            </w:r>
          </w:p>
        </w:tc>
        <w:tc>
          <w:tcPr>
            <w:tcW w:type="dxa" w:w="21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Flexible, fills remaining width</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Leaflet map with canvas-rendered markers, legend overlay, and app navigation bar at top</w:t>
            </w:r>
          </w:p>
        </w:tc>
      </w:tr>
      <w:tr>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Right</w:t>
            </w:r>
          </w:p>
        </w:tc>
        <w:tc>
          <w:tcPr>
            <w:tcW w:type="dxa" w:w="21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~340px fixed</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EstablishmentDetail, PITAlert, SRS breakdown, RecommendedAction, ReviewFeed — all contextual to the selected establishment</w:t>
            </w:r>
          </w:p>
        </w:tc>
      </w:tr>
    </w:tbl>
    <w:p>
      <w:pPr>
        <w:pStyle w:val="Heading2"/>
        <w:spacing w:before="360" w:after="160"/>
      </w:pPr>
      <w:r>
        <w:rPr>
          <w:rFonts w:ascii="Arial" w:cs="Arial" w:eastAsia="Arial" w:hAnsi="Arial"/>
          <w:b/>
          <w:bCs/>
          <w:color w:val="1A6B72"/>
          <w:sz w:val="26"/>
          <w:szCs w:val="26"/>
        </w:rPr>
        <w:t xml:space="preserve">6.2  Interactive Map</w:t>
      </w:r>
    </w:p>
    <w:p>
      <w:pPr>
        <w:spacing w:after="160"/>
      </w:pPr>
      <w:r>
        <w:rPr>
          <w:rFonts w:ascii="Arial" w:cs="Arial" w:eastAsia="Arial" w:hAnsi="Arial"/>
          <w:sz w:val="20"/>
          <w:szCs w:val="20"/>
        </w:rPr>
        <w:t xml:space="preserve">The map uses Leaflet 4 with CartoDB Positron tiles (clean, no API key, fast render). All 1,350+ markers are rendered on a single HTML Canvas element using L.canvas() renderer, reducing DOM overhead by approximately 99% compared to SVG divIcon markers.</w:t>
      </w:r>
    </w:p>
    <w:p>
      <w:pPr>
        <w:pStyle w:val="Heading3"/>
        <w:spacing w:before="240" w:after="120"/>
      </w:pPr>
      <w:r>
        <w:rPr>
          <w:rFonts w:ascii="Arial" w:cs="Arial" w:eastAsia="Arial" w:hAnsi="Arial"/>
          <w:b/>
          <w:bCs/>
          <w:color w:val="1B3A5C"/>
          <w:sz w:val="22"/>
          <w:szCs w:val="22"/>
        </w:rPr>
        <w:t xml:space="preserve">Marker specification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520"/>
      </w:tblGrid>
      <w:tr>
        <w:tc>
          <w:tcPr>
            <w:tcW w:type="dxa" w:w="1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Condition</w:t>
            </w:r>
          </w:p>
        </w:tc>
        <w:tc>
          <w:tcPr>
            <w:tcW w:type="dxa" w:w="144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Colour</w:t>
            </w:r>
          </w:p>
        </w:tc>
        <w:tc>
          <w:tcPr>
            <w:tcW w:type="dxa" w:w="144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Radius</w:t>
            </w:r>
          </w:p>
        </w:tc>
        <w:tc>
          <w:tcPr>
            <w:tcW w:type="dxa" w:w="252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Hex</w:t>
            </w:r>
          </w:p>
        </w:tc>
      </w:tr>
      <w:tr>
        <w:tc>
          <w:tcPr>
            <w:tcW w:type="dxa" w:w="18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PIT triggered</w:t>
            </w:r>
          </w:p>
        </w:tc>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Purple</w:t>
            </w:r>
          </w:p>
        </w:tc>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11px</w:t>
            </w:r>
          </w:p>
        </w:tc>
        <w:tc>
          <w:tcPr>
            <w:tcW w:type="dxa" w:w="252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#8E44AD</w:t>
            </w:r>
          </w:p>
        </w:tc>
      </w:tr>
      <w:tr>
        <w:tc>
          <w:tcPr>
            <w:tcW w:type="dxa" w:w="18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SRS Critical (&gt;=70)</w:t>
            </w:r>
          </w:p>
        </w:tc>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Red</w:t>
            </w:r>
          </w:p>
        </w:tc>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10px</w:t>
            </w:r>
          </w:p>
        </w:tc>
        <w:tc>
          <w:tcPr>
            <w:tcW w:type="dxa" w:w="252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#C0392B</w:t>
            </w:r>
          </w:p>
        </w:tc>
      </w:tr>
      <w:tr>
        <w:tc>
          <w:tcPr>
            <w:tcW w:type="dxa" w:w="18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SRS High Risk (50-69)</w:t>
            </w:r>
          </w:p>
        </w:tc>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Orange</w:t>
            </w:r>
          </w:p>
        </w:tc>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8px</w:t>
            </w:r>
          </w:p>
        </w:tc>
        <w:tc>
          <w:tcPr>
            <w:tcW w:type="dxa" w:w="252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#E67E22</w:t>
            </w:r>
          </w:p>
        </w:tc>
      </w:tr>
      <w:tr>
        <w:tc>
          <w:tcPr>
            <w:tcW w:type="dxa" w:w="18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Normal (&lt;50 SRS)</w:t>
            </w:r>
          </w:p>
        </w:tc>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Green</w:t>
            </w:r>
          </w:p>
        </w:tc>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5px</w:t>
            </w:r>
          </w:p>
        </w:tc>
        <w:tc>
          <w:tcPr>
            <w:tcW w:type="dxa" w:w="252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#27AE60</w:t>
            </w:r>
          </w:p>
        </w:tc>
      </w:tr>
    </w:tbl>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Selected marker displays a blue ring and larger radius. Hover tooltip shows establishment name. A fixed legend overlay (bottom-left) shows the four tiers with their colour and size key.</w:t>
      </w:r>
    </w:p>
    <w:p>
      <w:pPr>
        <w:pStyle w:val="Heading2"/>
        <w:spacing w:before="360" w:after="160"/>
      </w:pPr>
      <w:r>
        <w:rPr>
          <w:rFonts w:ascii="Arial" w:cs="Arial" w:eastAsia="Arial" w:hAnsi="Arial"/>
          <w:b/>
          <w:bCs/>
          <w:color w:val="1A6B72"/>
          <w:sz w:val="26"/>
          <w:szCs w:val="26"/>
        </w:rPr>
        <w:t xml:space="preserve">6.3  Establishment Detail Panel (Right)</w:t>
      </w:r>
    </w:p>
    <w:p>
      <w:pPr>
        <w:spacing w:after="160"/>
      </w:pPr>
      <w:r>
        <w:rPr>
          <w:rFonts w:ascii="Arial" w:cs="Arial" w:eastAsia="Arial" w:hAnsi="Arial"/>
          <w:sz w:val="20"/>
          <w:szCs w:val="20"/>
        </w:rPr>
        <w:t xml:space="preserve">Selecting any establishment (from the list or map) populates the right panel with the following sections in order:</w:t>
      </w:r>
    </w:p>
    <w:p>
      <w:pPr>
        <w:pStyle w:val="ListParagraph"/>
        <w:numPr>
          <w:ilvl w:val="0"/>
          <w:numId w:val="2"/>
        </w:numPr>
        <w:spacing w:after="80"/>
      </w:pPr>
      <w:r>
        <w:rPr>
          <w:rFonts w:ascii="Arial" w:cs="Arial" w:eastAsia="Arial" w:hAnsi="Arial"/>
          <w:sz w:val="20"/>
          <w:szCs w:val="20"/>
        </w:rPr>
        <w:t xml:space="preserve">Name, address, last inspection date, official score with tier badge</w:t>
      </w:r>
    </w:p>
    <w:p>
      <w:pPr>
        <w:pStyle w:val="ListParagraph"/>
        <w:numPr>
          <w:ilvl w:val="0"/>
          <w:numId w:val="2"/>
        </w:numPr>
        <w:spacing w:after="80"/>
      </w:pPr>
      <w:r>
        <w:rPr>
          <w:rFonts w:ascii="Arial" w:cs="Arial" w:eastAsia="Arial" w:hAnsi="Arial"/>
          <w:sz w:val="20"/>
          <w:szCs w:val="20"/>
        </w:rPr>
        <w:t xml:space="preserve">Score anomaly warning — orange banner if Score_1 &lt;= 1</w:t>
      </w:r>
    </w:p>
    <w:p>
      <w:pPr>
        <w:pStyle w:val="ListParagraph"/>
        <w:numPr>
          <w:ilvl w:val="0"/>
          <w:numId w:val="2"/>
        </w:numPr>
        <w:spacing w:after="80"/>
      </w:pPr>
      <w:r>
        <w:rPr>
          <w:rFonts w:ascii="Arial" w:cs="Arial" w:eastAsia="Arial" w:hAnsi="Arial"/>
          <w:sz w:val="20"/>
          <w:szCs w:val="20"/>
        </w:rPr>
        <w:t xml:space="preserve">PITAlert — prominent red/purple alert if PIT is triggered</w:t>
      </w:r>
    </w:p>
    <w:p>
      <w:pPr>
        <w:pStyle w:val="ListParagraph"/>
        <w:numPr>
          <w:ilvl w:val="0"/>
          <w:numId w:val="2"/>
        </w:numPr>
        <w:spacing w:after="80"/>
      </w:pPr>
      <w:r>
        <w:rPr>
          <w:rFonts w:ascii="Arial" w:cs="Arial" w:eastAsia="Arial" w:hAnsi="Arial"/>
          <w:sz w:val="20"/>
          <w:szCs w:val="20"/>
        </w:rPr>
        <w:t xml:space="preserve">SRS gauge — visual breakdown of IRS / RRS / RecRS contributions</w:t>
      </w:r>
    </w:p>
    <w:p>
      <w:pPr>
        <w:pStyle w:val="ListParagraph"/>
        <w:numPr>
          <w:ilvl w:val="0"/>
          <w:numId w:val="2"/>
        </w:numPr>
        <w:spacing w:after="80"/>
      </w:pPr>
      <w:r>
        <w:rPr>
          <w:rFonts w:ascii="Arial" w:cs="Arial" w:eastAsia="Arial" w:hAnsi="Arial"/>
          <w:sz w:val="20"/>
          <w:szCs w:val="20"/>
        </w:rPr>
        <w:t xml:space="preserve">RecommendedAction — SRS-informed inspection action (see 6.5)</w:t>
      </w:r>
    </w:p>
    <w:p>
      <w:pPr>
        <w:pStyle w:val="ListParagraph"/>
        <w:numPr>
          <w:ilvl w:val="0"/>
          <w:numId w:val="2"/>
        </w:numPr>
        <w:spacing w:after="80"/>
      </w:pPr>
      <w:r>
        <w:rPr>
          <w:rFonts w:ascii="Arial" w:cs="Arial" w:eastAsia="Arial" w:hAnsi="Arial"/>
          <w:sz w:val="20"/>
          <w:szCs w:val="20"/>
        </w:rPr>
        <w:t xml:space="preserve">ReviewFeed — tabbed review panel (see 6.4)</w:t>
      </w:r>
    </w:p>
    <w:p>
      <w:pPr>
        <w:pStyle w:val="Heading2"/>
        <w:spacing w:before="360" w:after="160"/>
      </w:pPr>
      <w:r>
        <w:rPr>
          <w:rFonts w:ascii="Arial" w:cs="Arial" w:eastAsia="Arial" w:hAnsi="Arial"/>
          <w:b/>
          <w:bCs/>
          <w:color w:val="1A6B72"/>
          <w:sz w:val="26"/>
          <w:szCs w:val="26"/>
        </w:rPr>
        <w:t xml:space="preserve">6.4  Review Feed</w:t>
      </w:r>
    </w:p>
    <w:p>
      <w:pPr>
        <w:spacing w:after="160"/>
      </w:pPr>
      <w:r>
        <w:rPr>
          <w:rFonts w:ascii="Arial" w:cs="Arial" w:eastAsia="Arial" w:hAnsi="Arial"/>
          <w:sz w:val="20"/>
          <w:szCs w:val="20"/>
        </w:rPr>
        <w:t xml:space="preserve">The review feed displays scraped reviews for the selected establishment. Reviews are sorted newest-first across all views. A header shows total review count and past-30-day count.</w:t>
      </w:r>
    </w:p>
    <w:p>
      <w:pPr>
        <w:pStyle w:val="Heading3"/>
        <w:spacing w:before="240" w:after="120"/>
      </w:pPr>
      <w:r>
        <w:rPr>
          <w:rFonts w:ascii="Arial" w:cs="Arial" w:eastAsia="Arial" w:hAnsi="Arial"/>
          <w:b/>
          <w:bCs/>
          <w:color w:val="1B3A5C"/>
          <w:sz w:val="22"/>
          <w:szCs w:val="22"/>
        </w:rPr>
        <w:t xml:space="preserve">Tab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Tab</w:t>
            </w:r>
          </w:p>
        </w:tc>
        <w:tc>
          <w:tcPr>
            <w:tcW w:type="dxa" w:w="144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Colour</w:t>
            </w:r>
          </w:p>
        </w:tc>
        <w:tc>
          <w:tcPr>
            <w:tcW w:type="dxa" w:w="64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Behaviour</w:t>
            </w:r>
          </w:p>
        </w:tc>
      </w:tr>
      <w:tr>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5 Recent</w:t>
            </w:r>
          </w:p>
        </w:tc>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Blue</w:t>
            </w:r>
          </w:p>
        </w:tc>
        <w:tc>
          <w:tcPr>
            <w:tcW w:type="dxa" w:w="648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Default when no illness signals. Shows 5 most recent reviews. Banner indicates how many more are available.</w:t>
            </w:r>
          </w:p>
        </w:tc>
      </w:tr>
      <w:tr>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Illness</w:t>
            </w:r>
          </w:p>
        </w:tc>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Red</w:t>
            </w:r>
          </w:p>
        </w:tc>
        <w:tc>
          <w:tcPr>
            <w:tcW w:type="dxa" w:w="64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Only rendered when illness signals exist. Auto-selected as default when signals are found. Shows all illness-flagged reviews.</w:t>
            </w:r>
          </w:p>
        </w:tc>
      </w:tr>
      <w:tr>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Past Month</w:t>
            </w:r>
          </w:p>
        </w:tc>
        <w:tc>
          <w:tcPr>
            <w:tcW w:type="dxa" w:w="144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Purple</w:t>
            </w:r>
          </w:p>
        </w:tc>
        <w:tc>
          <w:tcPr>
            <w:tcW w:type="dxa" w:w="648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Shows all reviews from the past 30 days. Count badge updates based on review dates. Banner states count or "no reviews in this period".</w:t>
            </w:r>
          </w:p>
        </w:tc>
      </w:tr>
      <w:tr>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All</w:t>
            </w:r>
          </w:p>
        </w:tc>
        <w:tc>
          <w:tcPr>
            <w:tcW w:type="dxa" w:w="144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Grey</w:t>
            </w:r>
          </w:p>
        </w:tc>
        <w:tc>
          <w:tcPr>
            <w:tcW w:type="dxa" w:w="648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Every scraped review, newest first. Banner states total count.</w:t>
            </w:r>
          </w:p>
        </w:tc>
      </w:tr>
    </w:tbl>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Tab state: userView starts as null (auto). On first load, the correct tab is auto-selected based on data. Once the user explicitly clicks a tab, userView is set and the choice is preserved until a new establishment is selected or Refresh is clicked.</w:t>
      </w:r>
    </w:p>
    <w:p>
      <w:pPr>
        <w:pStyle w:val="Heading3"/>
        <w:spacing w:before="240" w:after="120"/>
      </w:pPr>
      <w:r>
        <w:rPr>
          <w:rFonts w:ascii="Arial" w:cs="Arial" w:eastAsia="Arial" w:hAnsi="Arial"/>
          <w:b/>
          <w:bCs/>
          <w:color w:val="1B3A5C"/>
          <w:sz w:val="22"/>
          <w:szCs w:val="22"/>
        </w:rPr>
        <w:t xml:space="preserve">Scraping flow (live mode)</w:t>
      </w:r>
    </w:p>
    <w:p>
      <w:pPr>
        <w:pStyle w:val="ListParagraph"/>
        <w:numPr>
          <w:ilvl w:val="0"/>
          <w:numId w:val="2"/>
        </w:numPr>
        <w:spacing w:after="80"/>
      </w:pPr>
      <w:r>
        <w:rPr>
          <w:rFonts w:ascii="Arial" w:cs="Arial" w:eastAsia="Arial" w:hAnsi="Arial"/>
          <w:sz w:val="20"/>
          <w:szCs w:val="20"/>
        </w:rPr>
        <w:t xml:space="preserve">Search Google for "[Establishment] Montgomery AL site:tripadvisor.com"</w:t>
      </w:r>
    </w:p>
    <w:p>
      <w:pPr>
        <w:pStyle w:val="ListParagraph"/>
        <w:numPr>
          <w:ilvl w:val="0"/>
          <w:numId w:val="2"/>
        </w:numPr>
        <w:spacing w:after="80"/>
      </w:pPr>
      <w:r>
        <w:rPr>
          <w:rFonts w:ascii="Arial" w:cs="Arial" w:eastAsia="Arial" w:hAnsi="Arial"/>
          <w:sz w:val="20"/>
          <w:szCs w:val="20"/>
        </w:rPr>
        <w:t xml:space="preserve">If TripAdvisor URL found: scrape listing page, parse markdown into structured review objects</w:t>
      </w:r>
    </w:p>
    <w:p>
      <w:pPr>
        <w:pStyle w:val="ListParagraph"/>
        <w:numPr>
          <w:ilvl w:val="0"/>
          <w:numId w:val="2"/>
        </w:numPr>
        <w:spacing w:after="80"/>
      </w:pPr>
      <w:r>
        <w:rPr>
          <w:rFonts w:ascii="Arial" w:cs="Arial" w:eastAsia="Arial" w:hAnsi="Arial"/>
          <w:sz w:val="20"/>
          <w:szCs w:val="20"/>
        </w:rPr>
        <w:t xml:space="preserve">If TripAdvisor returns 0 results: search Google for "[Establishment] Montgomery AL reviews food" and parse SERP snippets</w:t>
      </w:r>
    </w:p>
    <w:p>
      <w:pPr>
        <w:pStyle w:val="ListParagraph"/>
        <w:numPr>
          <w:ilvl w:val="0"/>
          <w:numId w:val="2"/>
        </w:numPr>
        <w:spacing w:after="80"/>
      </w:pPr>
      <w:r>
        <w:rPr>
          <w:rFonts w:ascii="Arial" w:cs="Arial" w:eastAsia="Arial" w:hAnsi="Arial"/>
          <w:sz w:val="20"/>
          <w:szCs w:val="20"/>
        </w:rPr>
        <w:t xml:space="preserve">If still 0 results: display "No Reviews Found" cleanly — no mock data injected in live mode</w:t>
      </w:r>
    </w:p>
    <w:p>
      <w:pPr>
        <w:spacing w:after="160"/>
      </w:pPr>
      <w:r>
        <w:rPr>
          <w:rFonts w:ascii="Arial" w:cs="Arial" w:eastAsia="Arial" w:hAnsi="Arial"/>
          <w:sz w:val="20"/>
          <w:szCs w:val="20"/>
        </w:rPr>
        <w:t xml:space="preserve"/>
      </w:r>
    </w:p>
    <w:p>
      <w:pPr>
        <w:pStyle w:val="Heading3"/>
        <w:spacing w:before="240" w:after="120"/>
      </w:pPr>
      <w:r>
        <w:rPr>
          <w:rFonts w:ascii="Arial" w:cs="Arial" w:eastAsia="Arial" w:hAnsi="Arial"/>
          <w:b/>
          <w:bCs/>
          <w:color w:val="1B3A5C"/>
          <w:sz w:val="22"/>
          <w:szCs w:val="22"/>
        </w:rPr>
        <w:t xml:space="preserve">Review card fields</w:t>
      </w:r>
    </w:p>
    <w:p>
      <w:pPr>
        <w:pStyle w:val="ListParagraph"/>
        <w:numPr>
          <w:ilvl w:val="0"/>
          <w:numId w:val="2"/>
        </w:numPr>
        <w:spacing w:after="80"/>
      </w:pPr>
      <w:r>
        <w:rPr>
          <w:rFonts w:ascii="Arial" w:cs="Arial" w:eastAsia="Arial" w:hAnsi="Arial"/>
          <w:sz w:val="20"/>
          <w:szCs w:val="20"/>
        </w:rPr>
        <w:t xml:space="preserve">Source badge (TripAdvisor / Google) + DEMO badge if mock mode</w:t>
      </w:r>
    </w:p>
    <w:p>
      <w:pPr>
        <w:pStyle w:val="ListParagraph"/>
        <w:numPr>
          <w:ilvl w:val="0"/>
          <w:numId w:val="2"/>
        </w:numPr>
        <w:spacing w:after="80"/>
      </w:pPr>
      <w:r>
        <w:rPr>
          <w:rFonts w:ascii="Arial" w:cs="Arial" w:eastAsia="Arial" w:hAnsi="Arial"/>
          <w:sz w:val="20"/>
          <w:szCs w:val="20"/>
        </w:rPr>
        <w:t xml:space="preserve">Author name, date, star rating (1–5)</w:t>
      </w:r>
    </w:p>
    <w:p>
      <w:pPr>
        <w:pStyle w:val="ListParagraph"/>
        <w:numPr>
          <w:ilvl w:val="0"/>
          <w:numId w:val="2"/>
        </w:numPr>
        <w:spacing w:after="80"/>
      </w:pPr>
      <w:r>
        <w:rPr>
          <w:rFonts w:ascii="Arial" w:cs="Arial" w:eastAsia="Arial" w:hAnsi="Arial"/>
          <w:sz w:val="20"/>
          <w:szCs w:val="20"/>
        </w:rPr>
        <w:t xml:space="preserve">Review text with illness keyword highlights (T1/T2/T3 coloured chips below)</w:t>
      </w:r>
    </w:p>
    <w:p>
      <w:pPr>
        <w:pStyle w:val="ListParagraph"/>
        <w:numPr>
          <w:ilvl w:val="0"/>
          <w:numId w:val="2"/>
        </w:numPr>
        <w:spacing w:after="80"/>
      </w:pPr>
      <w:r>
        <w:rPr>
          <w:rFonts w:ascii="Arial" w:cs="Arial" w:eastAsia="Arial" w:hAnsi="Arial"/>
          <w:sz w:val="20"/>
          <w:szCs w:val="20"/>
        </w:rPr>
        <w:t xml:space="preserve">Illness signals list below text</w:t>
      </w:r>
    </w:p>
    <w:p>
      <w:pPr>
        <w:pStyle w:val="Heading2"/>
        <w:spacing w:before="360" w:after="160"/>
      </w:pPr>
      <w:r>
        <w:rPr>
          <w:rFonts w:ascii="Arial" w:cs="Arial" w:eastAsia="Arial" w:hAnsi="Arial"/>
          <w:b/>
          <w:bCs/>
          <w:color w:val="1A6B72"/>
          <w:sz w:val="26"/>
          <w:szCs w:val="26"/>
        </w:rPr>
        <w:t xml:space="preserve">6.5  Recommended Action</w:t>
      </w:r>
    </w:p>
    <w:p>
      <w:pPr>
        <w:spacing w:after="160"/>
      </w:pPr>
      <w:r>
        <w:rPr>
          <w:rFonts w:ascii="Arial" w:cs="Arial" w:eastAsia="Arial" w:hAnsi="Arial"/>
          <w:sz w:val="20"/>
          <w:szCs w:val="20"/>
        </w:rPr>
        <w:t xml:space="preserve">Displayed in the right panel for every establishment. Uses SRS + PIT status + score + illness count + months since inspection to generate a specific, context-aware action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Condition</w:t>
            </w:r>
          </w:p>
        </w:tc>
        <w:tc>
          <w:tcPr>
            <w:tcW w:type="dxa" w:w="57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Recommended Action</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PIT triggered (Score &gt;= 85 + illness reviews)</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color w:val="8E44AD"/>
                <w:sz w:val="20"/>
                <w:szCs w:val="20"/>
              </w:rPr>
              <w:t xml:space="preserve">PIT-1: </w:t>
            </w:r>
            <w:r>
              <w:rPr>
                <w:rFonts w:ascii="Arial" w:cs="Arial" w:eastAsia="Arial" w:hAnsi="Arial"/>
                <w:sz w:val="20"/>
                <w:szCs w:val="20"/>
              </w:rPr>
              <w:t xml:space="preserve">Unannounced inspection within 72 hours</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High SRS + illness reviews + no PIT</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color w:val="E67E22"/>
                <w:sz w:val="20"/>
                <w:szCs w:val="20"/>
              </w:rPr>
              <w:t xml:space="preserve">PIT-2: </w:t>
            </w:r>
            <w:r>
              <w:rPr>
                <w:rFonts w:ascii="Arial" w:cs="Arial" w:eastAsia="Arial" w:hAnsi="Arial"/>
                <w:sz w:val="20"/>
                <w:szCs w:val="20"/>
              </w:rPr>
              <w:t xml:space="preserve">Expedited inspection within 30 days</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SRS &gt;= 70 (Critical)</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Schedule inspection within 48 hours</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SRS 50–69 (High Risk)</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Schedule inspection within 2 weeks</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SRS 30–49 (Elevated)</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60-day monitoring cycle</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SRS &lt; 30 (Normal)</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Continue routine inspection schedule</w:t>
            </w:r>
          </w:p>
        </w:tc>
      </w:tr>
    </w:tbl>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The action text is contextual — it references the actual score value, illness review count, detected T3 keywords, and months since last inspection where relevant.</w:t>
      </w:r>
    </w:p>
    <w:p>
      <w:pPr>
        <w:pStyle w:val="Heading2"/>
        <w:spacing w:before="360" w:after="160"/>
      </w:pPr>
      <w:r>
        <w:rPr>
          <w:rFonts w:ascii="Arial" w:cs="Arial" w:eastAsia="Arial" w:hAnsi="Arial"/>
          <w:b/>
          <w:bCs/>
          <w:color w:val="1A6B72"/>
          <w:sz w:val="26"/>
          <w:szCs w:val="26"/>
        </w:rPr>
        <w:t xml:space="preserve">6.6  Live Data Refresh</w:t>
      </w:r>
    </w:p>
    <w:p>
      <w:pPr>
        <w:spacing w:after="160"/>
      </w:pPr>
      <w:r>
        <w:rPr>
          <w:rFonts w:ascii="Arial" w:cs="Arial" w:eastAsia="Arial" w:hAnsi="Arial"/>
          <w:sz w:val="20"/>
          <w:szCs w:val="20"/>
        </w:rPr>
        <w:t xml:space="preserve">A "Refresh Data" button (Database icon) in the navigation bar pulls the latest inspection data directly from the Montgomery ArcGIS FeatureServer.</w:t>
      </w:r>
    </w:p>
    <w:p>
      <w:pPr>
        <w:pStyle w:val="Heading3"/>
        <w:spacing w:before="240" w:after="120"/>
      </w:pPr>
      <w:r>
        <w:rPr>
          <w:rFonts w:ascii="Arial" w:cs="Arial" w:eastAsia="Arial" w:hAnsi="Arial"/>
          <w:b/>
          <w:bCs/>
          <w:color w:val="1B3A5C"/>
          <w:sz w:val="22"/>
          <w:szCs w:val="22"/>
        </w:rPr>
        <w:t xml:space="preserve">Behaviour</w:t>
      </w:r>
    </w:p>
    <w:p>
      <w:pPr>
        <w:pStyle w:val="ListParagraph"/>
        <w:numPr>
          <w:ilvl w:val="0"/>
          <w:numId w:val="2"/>
        </w:numPr>
        <w:spacing w:after="80"/>
      </w:pPr>
      <w:r>
        <w:rPr>
          <w:rFonts w:ascii="Arial" w:cs="Arial" w:eastAsia="Arial" w:hAnsi="Arial"/>
          <w:sz w:val="20"/>
          <w:szCs w:val="20"/>
        </w:rPr>
        <w:t xml:space="preserve">On click: queries the primary Food_Scoring FeatureServer endpoint with outSR=4326</w:t>
      </w:r>
    </w:p>
    <w:p>
      <w:pPr>
        <w:pStyle w:val="ListParagraph"/>
        <w:numPr>
          <w:ilvl w:val="0"/>
          <w:numId w:val="2"/>
        </w:numPr>
        <w:spacing w:after="80"/>
      </w:pPr>
      <w:r>
        <w:rPr>
          <w:rFonts w:ascii="Arial" w:cs="Arial" w:eastAsia="Arial" w:hAnsi="Arial"/>
          <w:sz w:val="20"/>
          <w:szCs w:val="20"/>
        </w:rPr>
        <w:t xml:space="preserve">If primary fails: automatically retries the fallback Food FeatureServer endpoint</w:t>
      </w:r>
    </w:p>
    <w:p>
      <w:pPr>
        <w:pStyle w:val="ListParagraph"/>
        <w:numPr>
          <w:ilvl w:val="0"/>
          <w:numId w:val="2"/>
        </w:numPr>
        <w:spacing w:after="80"/>
      </w:pPr>
      <w:r>
        <w:rPr>
          <w:rFonts w:ascii="Arial" w:cs="Arial" w:eastAsia="Arial" w:hAnsi="Arial"/>
          <w:sz w:val="20"/>
          <w:szCs w:val="20"/>
        </w:rPr>
        <w:t xml:space="preserve">On success: merges refreshed records into app state, shows green success banner with timestamp</w:t>
      </w:r>
    </w:p>
    <w:p>
      <w:pPr>
        <w:pStyle w:val="ListParagraph"/>
        <w:numPr>
          <w:ilvl w:val="0"/>
          <w:numId w:val="2"/>
        </w:numPr>
        <w:spacing w:after="80"/>
      </w:pPr>
      <w:r>
        <w:rPr>
          <w:rFonts w:ascii="Arial" w:cs="Arial" w:eastAsia="Arial" w:hAnsi="Arial"/>
          <w:sz w:val="20"/>
          <w:szCs w:val="20"/>
        </w:rPr>
        <w:t xml:space="preserve">On failure: shows orange error banner with reason</w:t>
      </w:r>
    </w:p>
    <w:p>
      <w:pPr>
        <w:pStyle w:val="ListParagraph"/>
        <w:numPr>
          <w:ilvl w:val="0"/>
          <w:numId w:val="2"/>
        </w:numPr>
        <w:spacing w:after="80"/>
      </w:pPr>
      <w:r>
        <w:rPr>
          <w:rFonts w:ascii="Arial" w:cs="Arial" w:eastAsia="Arial" w:hAnsi="Arial"/>
          <w:sz w:val="20"/>
          <w:szCs w:val="20"/>
        </w:rPr>
        <w:t xml:space="preserve">Last refresh timestamp is persisted in localStorage and displayed in the banner</w:t>
      </w:r>
    </w:p>
    <w:p>
      <w:pPr>
        <w:pStyle w:val="ListParagraph"/>
        <w:numPr>
          <w:ilvl w:val="0"/>
          <w:numId w:val="2"/>
        </w:numPr>
        <w:spacing w:after="80"/>
      </w:pPr>
      <w:r>
        <w:rPr>
          <w:rFonts w:ascii="Arial" w:cs="Arial" w:eastAsia="Arial" w:hAnsi="Arial"/>
          <w:sz w:val="20"/>
          <w:szCs w:val="20"/>
        </w:rPr>
        <w:t xml:space="preserve">Refreshed records arrive in WGS84 — no coordinate conversion is applied</w:t>
      </w:r>
    </w:p>
    <w:p>
      <w:pPr>
        <w:pStyle w:val="Heading2"/>
        <w:spacing w:before="360" w:after="160"/>
      </w:pPr>
      <w:r>
        <w:rPr>
          <w:rFonts w:ascii="Arial" w:cs="Arial" w:eastAsia="Arial" w:hAnsi="Arial"/>
          <w:b/>
          <w:bCs/>
          <w:color w:val="1A6B72"/>
          <w:sz w:val="26"/>
          <w:szCs w:val="26"/>
        </w:rPr>
        <w:t xml:space="preserve">6.7  PDF Report Export</w:t>
      </w:r>
    </w:p>
    <w:p>
      <w:pPr>
        <w:spacing w:after="160"/>
      </w:pPr>
      <w:r>
        <w:rPr>
          <w:rFonts w:ascii="Arial" w:cs="Arial" w:eastAsia="Arial" w:hAnsi="Arial"/>
          <w:sz w:val="20"/>
          <w:szCs w:val="20"/>
        </w:rPr>
        <w:t xml:space="preserve">The "Export PDF" button in the navigation bar generates a formal Priority Inspection Report using jsPDF + jspdf-autotable.</w:t>
      </w:r>
    </w:p>
    <w:p>
      <w:pPr>
        <w:pStyle w:val="Heading3"/>
        <w:spacing w:before="240" w:after="120"/>
      </w:pPr>
      <w:r>
        <w:rPr>
          <w:rFonts w:ascii="Arial" w:cs="Arial" w:eastAsia="Arial" w:hAnsi="Arial"/>
          <w:b/>
          <w:bCs/>
          <w:color w:val="1B3A5C"/>
          <w:sz w:val="22"/>
          <w:szCs w:val="22"/>
        </w:rPr>
        <w:t xml:space="preserve">Report structure</w:t>
      </w:r>
    </w:p>
    <w:p>
      <w:pPr>
        <w:pStyle w:val="ListParagraph"/>
        <w:numPr>
          <w:ilvl w:val="0"/>
          <w:numId w:val="2"/>
        </w:numPr>
        <w:spacing w:after="80"/>
      </w:pPr>
      <w:r>
        <w:rPr>
          <w:rFonts w:ascii="Arial" w:cs="Arial" w:eastAsia="Arial" w:hAnsi="Arial"/>
          <w:sz w:val="20"/>
          <w:szCs w:val="20"/>
        </w:rPr>
        <w:t xml:space="preserve">Cover page: "SENTINEL" title, date, summary statistics table</w:t>
      </w:r>
    </w:p>
    <w:p>
      <w:pPr>
        <w:pStyle w:val="ListParagraph"/>
        <w:numPr>
          <w:ilvl w:val="0"/>
          <w:numId w:val="2"/>
        </w:numPr>
        <w:spacing w:after="80"/>
      </w:pPr>
      <w:r>
        <w:rPr>
          <w:rFonts w:ascii="Arial" w:cs="Arial" w:eastAsia="Arial" w:hAnsi="Arial"/>
          <w:sz w:val="20"/>
          <w:szCs w:val="20"/>
        </w:rPr>
        <w:t xml:space="preserve">Executive summary: autoTable of all flagged establishments with SRS, tier, PIT status, and recommended action</w:t>
      </w:r>
    </w:p>
    <w:p>
      <w:pPr>
        <w:pStyle w:val="ListParagraph"/>
        <w:numPr>
          <w:ilvl w:val="0"/>
          <w:numId w:val="2"/>
        </w:numPr>
        <w:spacing w:after="80"/>
      </w:pPr>
      <w:r>
        <w:rPr>
          <w:rFonts w:ascii="Arial" w:cs="Arial" w:eastAsia="Arial" w:hAnsi="Arial"/>
          <w:sz w:val="20"/>
          <w:szCs w:val="20"/>
        </w:rPr>
        <w:t xml:space="preserve">Per-establishment detail pages: address, last inspection date, score, SRS breakdown, flagged reviews (illness-only), and recommended action box (colour-coded by tier)</w:t>
      </w:r>
    </w:p>
    <w:p>
      <w:pPr>
        <w:pStyle w:val="ListParagraph"/>
        <w:numPr>
          <w:ilvl w:val="0"/>
          <w:numId w:val="2"/>
        </w:numPr>
        <w:spacing w:after="80"/>
      </w:pPr>
      <w:r>
        <w:rPr>
          <w:rFonts w:ascii="Arial" w:cs="Arial" w:eastAsia="Arial" w:hAnsi="Arial"/>
          <w:sz w:val="20"/>
          <w:szCs w:val="20"/>
        </w:rPr>
        <w:t xml:space="preserve">Methodology page: SRS formula, PIT conditions, keyword tier definitions, disclaimer</w:t>
      </w:r>
    </w:p>
    <w:p>
      <w:pPr>
        <w:pStyle w:val="Heading3"/>
        <w:spacing w:before="240" w:after="120"/>
      </w:pPr>
      <w:r>
        <w:rPr>
          <w:rFonts w:ascii="Arial" w:cs="Arial" w:eastAsia="Arial" w:hAnsi="Arial"/>
          <w:b/>
          <w:bCs/>
          <w:color w:val="1B3A5C"/>
          <w:sz w:val="22"/>
          <w:szCs w:val="22"/>
        </w:rPr>
        <w:t xml:space="preserve">PDF compatibility notes</w:t>
      </w:r>
    </w:p>
    <w:p>
      <w:pPr>
        <w:pStyle w:val="ListParagraph"/>
        <w:numPr>
          <w:ilvl w:val="0"/>
          <w:numId w:val="2"/>
        </w:numPr>
        <w:spacing w:after="80"/>
      </w:pPr>
      <w:r>
        <w:rPr>
          <w:rFonts w:ascii="Arial" w:cs="Arial" w:eastAsia="Arial" w:hAnsi="Arial"/>
          <w:sz w:val="20"/>
          <w:szCs w:val="20"/>
        </w:rPr>
        <w:t xml:space="preserve">All emoji removed — jsPDF built-in Helvetica font does not support Unicode emoji. Replaced with plain ASCII: [PIT], [!], [CRITICAL], etc.</w:t>
      </w:r>
    </w:p>
    <w:p>
      <w:pPr>
        <w:pStyle w:val="ListParagraph"/>
        <w:numPr>
          <w:ilvl w:val="0"/>
          <w:numId w:val="2"/>
        </w:numPr>
        <w:spacing w:after="80"/>
      </w:pPr>
      <w:r>
        <w:rPr>
          <w:rFonts w:ascii="Arial" w:cs="Arial" w:eastAsia="Arial" w:hAnsi="Arial"/>
          <w:sz w:val="20"/>
          <w:szCs w:val="20"/>
        </w:rPr>
        <w:t xml:space="preserve">Star ratings expressed as "(N/5 stars)" text — not Unicode stars</w:t>
      </w:r>
    </w:p>
    <w:p>
      <w:pPr>
        <w:pStyle w:val="Heading1"/>
        <w:pBdr>
          <w:bottom w:val="single" w:color="1A6B72" w:sz="8" w:space="4"/>
        </w:pBdr>
        <w:spacing w:before="480" w:after="200"/>
      </w:pPr>
      <w:r>
        <w:rPr>
          <w:rFonts w:ascii="Arial" w:cs="Arial" w:eastAsia="Arial" w:hAnsi="Arial"/>
          <w:b/>
          <w:bCs/>
          <w:color w:val="1B3A5C"/>
          <w:sz w:val="36"/>
          <w:szCs w:val="36"/>
        </w:rPr>
        <w:t xml:space="preserve">7. Technical Architecture</w:t>
      </w:r>
    </w:p>
    <w:p>
      <w:pPr>
        <w:pStyle w:val="Heading2"/>
        <w:spacing w:before="360" w:after="160"/>
      </w:pPr>
      <w:r>
        <w:rPr>
          <w:rFonts w:ascii="Arial" w:cs="Arial" w:eastAsia="Arial" w:hAnsi="Arial"/>
          <w:b/>
          <w:bCs/>
          <w:color w:val="1A6B72"/>
          <w:sz w:val="26"/>
          <w:szCs w:val="26"/>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Layer</w:t>
            </w:r>
          </w:p>
        </w:tc>
        <w:tc>
          <w:tcPr>
            <w:tcW w:type="dxa" w:w="6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Technology</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Framework</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React 18 + Vite (static site, no SSR)</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State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React Context + useReducer (SentinelContext.jsx)</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Map</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Leaflet 4 with L.canvas() renderer. CartoDB Positron tiles. All markers as L.circleMarker.</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Coordinates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proj4.js — converts Alabama State Plane East (EPSG:2895) to WGS84. Column axis swap applied (Lat=easting, Long=northing).</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CSV parsing</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Papa Parse (latin-1 encoding, header detection)</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Review scraping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Bright Data SERP API + scrape API. TripAdvisor primary, Google SERP fallback.</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Dates</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Day.js (date parsing and relative-time comparison for Past Month filter)</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PDF</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jsPDF ^2.5.1 + jspdf-autotable ^3.8.2 (static imports — dynamic import broke in Vite)</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Icons</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Lucide React @0.263.1</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Cache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sessionStorage — review data cached per OBJECTID with 1-hour TTL</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Deployment</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Pure static site. Vercel/Netlify/GitHub Pages. VITE_BRIGHTDATA_API_KEY set in host environment variables.</w:t>
            </w:r>
          </w:p>
        </w:tc>
      </w:tr>
    </w:tbl>
    <w:p>
      <w:pPr>
        <w:pStyle w:val="Heading2"/>
        <w:spacing w:before="360" w:after="160"/>
      </w:pPr>
      <w:r>
        <w:rPr>
          <w:rFonts w:ascii="Arial" w:cs="Arial" w:eastAsia="Arial" w:hAnsi="Arial"/>
          <w:b/>
          <w:bCs/>
          <w:color w:val="1A6B72"/>
          <w:sz w:val="26"/>
          <w:szCs w:val="26"/>
        </w:rPr>
        <w:t xml:space="preserve">7.2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File</w:t>
            </w:r>
          </w:p>
        </w:tc>
        <w:tc>
          <w:tcPr>
            <w:tcW w:type="dxa" w:w="57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Responsibility</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src/context/SentinelContext.jsx</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Global state (establishments, selected, reviews, filters). useReducer with typed actions.</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src/hooks/useCSVData.js</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Loads and parses food_scores.csv. Calls detectProjection() on first record, converts all coordinates. Computes SRS and PIT for each establishment.</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src/hooks/useBrightData.js</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Orchestrates review scraping. Manages per-establishment session cache. Live: TripAdvisor -&gt; Google SERP. Mock: generateMockReviews().</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src/hooks/useDataRefresh.js</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Fetches live data from Montgomery ArcGIS FeatureServer. Tries primary then fallback endpoint. Merges into state.</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src/hooks/useReportExport.js</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Generates jsPDF Priority Inspection Report. All emoji replaced with ASCII. Static jsPDF import.</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src/utils/coordConvert.js</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Hard-coded AL State Plane East (EPSG:2895) conversion. csvLat passed as X (easting), csvLong as Y (northing). Returns {lat, lng} in WGS84.</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src/utils/srsFormula.js</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Computes IRS, RRS, RecRS, SRS, and PIT for a given establishment + reviews.</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src/utils/keywords.js</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Illness keyword definitions (T1/T2/T3 tiers with weights). extractIllnessSignals() function.</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src/utils/reviewParser.js</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parseTripAdvisorMarkdown(), parseGoogleSERP(), generateMockReviews().</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src/components/map/SentinelMap.jsx</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Leaflet map with L.canvas() renderer. Manages marker creation, selection, hover tooltips, fly-to, and legend overlay.</w:t>
            </w:r>
          </w:p>
        </w:tc>
      </w:tr>
      <w:tr>
        <w:tc>
          <w:tcPr>
            <w:tcW w:type="dxa" w:w="3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src/components/right/ReviewFeed.jsx</w:t>
            </w:r>
          </w:p>
        </w:tc>
        <w:tc>
          <w:tcPr>
            <w:tcW w:type="dxa" w:w="57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Tabbed review panel. userView state pattern. Calls scrapeReviews() on establishment selection.</w:t>
            </w:r>
          </w:p>
        </w:tc>
      </w:tr>
      <w:tr>
        <w:tc>
          <w:tcPr>
            <w:tcW w:type="dxa" w:w="3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src/components/right/RecommendedAction.jsx</w:t>
            </w:r>
          </w:p>
        </w:tc>
        <w:tc>
          <w:tcPr>
            <w:tcW w:type="dxa" w:w="57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SRS-informed action recommendation component. Context-aware text referencing score, illness count, and staleness.</w:t>
            </w:r>
          </w:p>
        </w:tc>
      </w:tr>
    </w:tbl>
    <w:p>
      <w:pPr>
        <w:pStyle w:val="Heading2"/>
        <w:spacing w:before="360" w:after="160"/>
      </w:pPr>
      <w:r>
        <w:rPr>
          <w:rFonts w:ascii="Arial" w:cs="Arial" w:eastAsia="Arial" w:hAnsi="Arial"/>
          <w:b/>
          <w:bCs/>
          <w:color w:val="1A6B72"/>
          <w:sz w:val="26"/>
          <w:szCs w:val="26"/>
        </w:rPr>
        <w:t xml:space="preserve">7.3  Coordinate Conversion — Critical Notes</w:t>
      </w:r>
    </w:p>
    <w:p>
      <w:pPr>
        <w:spacing w:after="160"/>
      </w:pPr>
      <w:r>
        <w:rPr>
          <w:rFonts w:ascii="Arial" w:cs="Arial" w:eastAsia="Arial" w:hAnsi="Arial"/>
          <w:sz w:val="20"/>
          <w:szCs w:val="20"/>
        </w:rPr>
        <w:t xml:space="preserve">This section documents a non-obvious data issue that is essential for any future developer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Property</w:t>
            </w:r>
          </w:p>
        </w:tc>
        <w:tc>
          <w:tcPr>
            <w:tcW w:type="dxa" w:w="6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 / Explanation</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Projection</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Alabama State Plane East, NAD83, US Survey Feet — EPSG:2895 / ESRI spatialReference 102629. NOT State Plane West (lon_0=-87.5).</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"Lat" column</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Contains EASTING (X) values ~497,000–700,000 us-ft. Despite the column name, this is NOT latitude.</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"Long" column</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Contains NORTHING (Y) values ~620,000–730,000 us-ft. Despite the column name, this is NOT longitude.</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Conversion call</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convertToWGS84(csvLat, csvLong)</w:t>
            </w:r>
            <w:r>
              <w:rPr>
                <w:rFonts w:ascii="Arial" w:cs="Arial" w:eastAsia="Arial" w:hAnsi="Arial"/>
                <w:sz w:val="20"/>
                <w:szCs w:val="20"/>
              </w:rPr>
              <w:t xml:space="preserve"> internally passes csvLat as X and csvLong as Y to proj4.</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Refreshed data</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ArcGIS endpoint with outSR=4326 returns WGS84 directly. No conversion applied.</w:t>
            </w:r>
          </w:p>
        </w:tc>
      </w:tr>
    </w:tbl>
    <w:p>
      <w:pPr>
        <w:pStyle w:val="Heading1"/>
        <w:pBdr>
          <w:bottom w:val="single" w:color="1A6B72" w:sz="8" w:space="4"/>
        </w:pBdr>
        <w:spacing w:before="480" w:after="200"/>
      </w:pPr>
      <w:r>
        <w:rPr>
          <w:rFonts w:ascii="Arial" w:cs="Arial" w:eastAsia="Arial" w:hAnsi="Arial"/>
          <w:b/>
          <w:bCs/>
          <w:color w:val="1B3A5C"/>
          <w:sz w:val="36"/>
          <w:szCs w:val="36"/>
        </w:rPr>
        <w:t xml:space="preserve">8. Environment &amp; Deployment</w:t>
      </w:r>
    </w:p>
    <w:p>
      <w:pPr>
        <w:pStyle w:val="Heading2"/>
        <w:spacing w:before="360" w:after="160"/>
      </w:pPr>
      <w:r>
        <w:rPr>
          <w:rFonts w:ascii="Arial" w:cs="Arial" w:eastAsia="Arial" w:hAnsi="Arial"/>
          <w:b/>
          <w:bCs/>
          <w:color w:val="1A6B72"/>
          <w:sz w:val="26"/>
          <w:szCs w:val="26"/>
        </w:rPr>
        <w:t xml:space="preserve">8.1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Variable</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Required</w:t>
            </w:r>
          </w:p>
        </w:tc>
        <w:tc>
          <w:tcPr>
            <w:tcW w:type="dxa" w:w="4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Description</w:t>
            </w:r>
          </w:p>
        </w:tc>
      </w:tr>
      <w:tr>
        <w:tc>
          <w:tcPr>
            <w:tcW w:type="dxa" w:w="30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VITE_BRIGHTDATA_API_KEY</w:t>
            </w:r>
          </w:p>
        </w:tc>
        <w:tc>
          <w:tcPr>
            <w:tcW w:type="dxa" w:w="18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For live mode</w:t>
            </w:r>
          </w:p>
        </w:tc>
        <w:tc>
          <w:tcPr>
            <w:tcW w:type="dxa" w:w="45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Bright Data API key. When absent, app auto-enables Demo Mode with mock reviews.</w:t>
            </w:r>
          </w:p>
        </w:tc>
      </w:tr>
    </w:tbl>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Note: VITE_MOCK_MODE is no longer used. Mock mode is determined solely by whether VITE_BRIGHTDATA_API_KEY is set.</w:t>
      </w:r>
    </w:p>
    <w:p>
      <w:pPr>
        <w:pStyle w:val="Heading2"/>
        <w:spacing w:before="360" w:after="160"/>
      </w:pPr>
      <w:r>
        <w:rPr>
          <w:rFonts w:ascii="Arial" w:cs="Arial" w:eastAsia="Arial" w:hAnsi="Arial"/>
          <w:b/>
          <w:bCs/>
          <w:color w:val="1A6B72"/>
          <w:sz w:val="26"/>
          <w:szCs w:val="26"/>
        </w:rPr>
        <w:t xml:space="preserve">8.2  Build &amp;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Command</w:t>
            </w:r>
          </w:p>
        </w:tc>
        <w:tc>
          <w:tcPr>
            <w:tcW w:type="dxa" w:w="6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Action</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npm install</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Install all dependencies (first time only)</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npm run dev</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Start Vite dev server on localhost:5173</w:t>
            </w:r>
          </w:p>
        </w:tc>
      </w:tr>
      <w:tr>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npm run build</w:t>
            </w:r>
          </w:p>
        </w:tc>
        <w:tc>
          <w:tcPr>
            <w:tcW w:type="dxa" w:w="69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Production build to dist/</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Courier New" w:cs="Courier New" w:eastAsia="Courier New" w:hAnsi="Courier New"/>
                <w:color w:val="2E4057"/>
                <w:sz w:val="18"/>
                <w:szCs w:val="18"/>
              </w:rPr>
              <w:t xml:space="preserve">npm run preview</w:t>
            </w:r>
          </w:p>
        </w:tc>
        <w:tc>
          <w:tcPr>
            <w:tcW w:type="dxa" w:w="69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Preview production build locally</w:t>
            </w:r>
          </w:p>
        </w:tc>
      </w:tr>
    </w:tbl>
    <w:p>
      <w:pPr>
        <w:pStyle w:val="Heading2"/>
        <w:spacing w:before="360" w:after="160"/>
      </w:pPr>
      <w:r>
        <w:rPr>
          <w:rFonts w:ascii="Arial" w:cs="Arial" w:eastAsia="Arial" w:hAnsi="Arial"/>
          <w:b/>
          <w:bCs/>
          <w:color w:val="1A6B72"/>
          <w:sz w:val="26"/>
          <w:szCs w:val="26"/>
        </w:rPr>
        <w:t xml:space="preserve">8.3  Deployment</w:t>
      </w:r>
    </w:p>
    <w:p>
      <w:pPr>
        <w:spacing w:after="160"/>
      </w:pPr>
      <w:r>
        <w:rPr>
          <w:rFonts w:ascii="Arial" w:cs="Arial" w:eastAsia="Arial" w:hAnsi="Arial"/>
          <w:sz w:val="20"/>
          <w:szCs w:val="20"/>
        </w:rPr>
        <w:t xml:space="preserve">The application is a 100% client-side static site. No server or database is required. Recommended platforms:</w:t>
      </w:r>
    </w:p>
    <w:p>
      <w:pPr>
        <w:pStyle w:val="ListParagraph"/>
        <w:numPr>
          <w:ilvl w:val="0"/>
          <w:numId w:val="2"/>
        </w:numPr>
        <w:spacing w:after="80"/>
      </w:pPr>
      <w:r>
        <w:rPr>
          <w:rFonts w:ascii="Arial" w:cs="Arial" w:eastAsia="Arial" w:hAnsi="Arial"/>
          <w:sz w:val="20"/>
          <w:szCs w:val="20"/>
        </w:rPr>
        <w:t xml:space="preserve">Vercel — auto-detects Vite, zero configuration. Add VITE_BRIGHTDATA_API_KEY in Project Settings &gt; Environment Variables.</w:t>
      </w:r>
    </w:p>
    <w:p>
      <w:pPr>
        <w:pStyle w:val="ListParagraph"/>
        <w:numPr>
          <w:ilvl w:val="0"/>
          <w:numId w:val="2"/>
        </w:numPr>
        <w:spacing w:after="80"/>
      </w:pPr>
      <w:r>
        <w:rPr>
          <w:rFonts w:ascii="Arial" w:cs="Arial" w:eastAsia="Arial" w:hAnsi="Arial"/>
          <w:sz w:val="20"/>
          <w:szCs w:val="20"/>
        </w:rPr>
        <w:t xml:space="preserve">Netlify — drag dist/ folder after npm run build.</w:t>
      </w:r>
    </w:p>
    <w:p>
      <w:pPr>
        <w:pStyle w:val="ListParagraph"/>
        <w:numPr>
          <w:ilvl w:val="0"/>
          <w:numId w:val="2"/>
        </w:numPr>
        <w:spacing w:after="80"/>
      </w:pPr>
      <w:r>
        <w:rPr>
          <w:rFonts w:ascii="Arial" w:cs="Arial" w:eastAsia="Arial" w:hAnsi="Arial"/>
          <w:sz w:val="20"/>
          <w:szCs w:val="20"/>
        </w:rPr>
        <w:t xml:space="preserve">GitHub Pages — push dist/ to gh-pages branch.</w:t>
      </w:r>
    </w:p>
    <w:p>
      <w:pPr>
        <w:spacing w:after="160"/>
      </w:pPr>
      <w:r>
        <w:rPr>
          <w:rFonts w:ascii="Arial" w:cs="Arial" w:eastAsia="Arial" w:hAnsi="Arial"/>
          <w:sz w:val="20"/>
          <w:szCs w:val="20"/>
        </w:rPr>
        <w:t xml:space="preserve">Security note: VITE_ prefix embeds the Bright Data API key in the JavaScript bundle at build time. This is acceptable for an internal tool accessed only by Health Department staff. For a public-facing deployment, a Vercel serverless API route acting as a thin proxy would hide the key from the bundle and enable server-side caching.</w:t>
      </w:r>
    </w:p>
    <w:p>
      <w:pPr>
        <w:pStyle w:val="Heading1"/>
        <w:pBdr>
          <w:bottom w:val="single" w:color="1A6B72" w:sz="8" w:space="4"/>
        </w:pBdr>
        <w:spacing w:before="480" w:after="200"/>
      </w:pPr>
      <w:r>
        <w:rPr>
          <w:rFonts w:ascii="Arial" w:cs="Arial" w:eastAsia="Arial" w:hAnsi="Arial"/>
          <w:b/>
          <w:bCs/>
          <w:color w:val="1B3A5C"/>
          <w:sz w:val="36"/>
          <w:szCs w:val="36"/>
        </w:rPr>
        <w:t xml:space="preserve">9. Known Issues &amp; Future Work</w:t>
      </w:r>
    </w:p>
    <w:p>
      <w:pPr>
        <w:pStyle w:val="Heading2"/>
        <w:spacing w:before="360" w:after="160"/>
      </w:pPr>
      <w:r>
        <w:rPr>
          <w:rFonts w:ascii="Arial" w:cs="Arial" w:eastAsia="Arial" w:hAnsi="Arial"/>
          <w:b/>
          <w:bCs/>
          <w:color w:val="1A6B72"/>
          <w:sz w:val="26"/>
          <w:szCs w:val="26"/>
        </w:rPr>
        <w:t xml:space="preserve">9.1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Issue</w:t>
            </w:r>
          </w:p>
        </w:tc>
        <w:tc>
          <w:tcPr>
            <w:tcW w:type="dxa" w:w="63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Notes</w:t>
            </w:r>
          </w:p>
        </w:tc>
      </w:tr>
      <w:tr>
        <w:tc>
          <w:tcPr>
            <w:tcW w:type="dxa" w:w="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I1</w:t>
            </w:r>
          </w:p>
        </w:tc>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Yelp removed</w:t>
            </w:r>
          </w:p>
        </w:tc>
        <w:tc>
          <w:tcPr>
            <w:tcW w:type="dxa" w:w="63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Yelp renders reviews via JavaScript; Bright Data markdown scraping returns no review content. No fix available without a dedicated Yelp API or headless browser session.</w:t>
            </w:r>
          </w:p>
        </w:tc>
      </w:tr>
      <w:tr>
        <w:tc>
          <w:tcPr>
            <w:tcW w:type="dxa" w:w="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I2</w:t>
            </w:r>
          </w:p>
        </w:tc>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Review dates may be null</w:t>
            </w:r>
          </w:p>
        </w:tc>
        <w:tc>
          <w:tcPr>
            <w:tcW w:type="dxa" w:w="63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Some TripAdvisor reviews do not have a "Written..." date line. These reviews appear at the end of date-sorted lists. Past Month tab will not include them.</w:t>
            </w:r>
          </w:p>
        </w:tc>
      </w:tr>
      <w:tr>
        <w:tc>
          <w:tcPr>
            <w:tcW w:type="dxa" w:w="6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b/>
                <w:bCs/>
                <w:sz w:val="20"/>
                <w:szCs w:val="20"/>
              </w:rPr>
              <w:t xml:space="preserve">I3</w:t>
            </w:r>
          </w:p>
        </w:tc>
        <w:tc>
          <w:tcPr>
            <w:tcW w:type="dxa" w:w="240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Non-public establishments</w:t>
            </w:r>
          </w:p>
        </w:tc>
        <w:tc>
          <w:tcPr>
            <w:tcW w:type="dxa" w:w="6360"/>
            <w:tcBorders>
              <w:top w:val="single" w:color="D5D8DC" w:sz="4"/>
              <w:left w:val="single" w:color="D5D8DC" w:sz="4"/>
              <w:bottom w:val="single" w:color="D5D8DC" w:sz="4"/>
              <w:right w:val="single" w:color="D5D8DC" w:sz="4"/>
            </w:tcBorders>
            <w:shd w:fill="F4F6F7" w:val="clear"/>
            <w:tcMar>
              <w:top w:type="dxa" w:w="80"/>
              <w:left w:type="dxa" w:w="140"/>
              <w:bottom w:type="dxa" w:w="80"/>
              <w:right w:type="dxa" w:w="140"/>
            </w:tcMar>
            <w:vAlign w:val="center"/>
          </w:tcPr>
          <w:p>
            <w:r>
              <w:rPr>
                <w:rFonts w:ascii="Arial" w:cs="Arial" w:eastAsia="Arial" w:hAnsi="Arial"/>
                <w:sz w:val="20"/>
                <w:szCs w:val="20"/>
              </w:rPr>
              <w:t xml:space="preserve">Institutional facilities (school cafeterias, hospital kitchens) may have no online review presence. ReviewFeed will correctly show "No Reviews Found".</w:t>
            </w:r>
          </w:p>
        </w:tc>
      </w:tr>
      <w:tr>
        <w:tc>
          <w:tcPr>
            <w:tcW w:type="dxa" w:w="6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I4</w:t>
            </w:r>
          </w:p>
        </w:tc>
        <w:tc>
          <w:tcPr>
            <w:tcW w:type="dxa" w:w="240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API key in bundle</w:t>
            </w:r>
          </w:p>
        </w:tc>
        <w:tc>
          <w:tcPr>
            <w:tcW w:type="dxa" w:w="6360"/>
            <w:tcBorders>
              <w:top w:val="single" w:color="D5D8DC" w:sz="4"/>
              <w:left w:val="single" w:color="D5D8DC" w:sz="4"/>
              <w:bottom w:val="single" w:color="D5D8DC" w:sz="4"/>
              <w:right w:val="single" w:color="D5D8DC"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VITE_ prefix exposes Bright Data key in the built JS. Acceptable for internal use; requires server proxy for public deployment.</w:t>
            </w:r>
          </w:p>
        </w:tc>
      </w:tr>
    </w:tbl>
    <w:p>
      <w:pPr>
        <w:pStyle w:val="Heading2"/>
        <w:spacing w:before="360" w:after="160"/>
      </w:pPr>
      <w:r>
        <w:rPr>
          <w:rFonts w:ascii="Arial" w:cs="Arial" w:eastAsia="Arial" w:hAnsi="Arial"/>
          <w:b/>
          <w:bCs/>
          <w:color w:val="1A6B72"/>
          <w:sz w:val="26"/>
          <w:szCs w:val="26"/>
        </w:rPr>
        <w:t xml:space="preserve">9.2  Proposed Future Enhancements</w:t>
      </w:r>
    </w:p>
    <w:p>
      <w:pPr>
        <w:pStyle w:val="ListParagraph"/>
        <w:numPr>
          <w:ilvl w:val="0"/>
          <w:numId w:val="2"/>
        </w:numPr>
        <w:spacing w:after="80"/>
      </w:pPr>
      <w:r>
        <w:rPr>
          <w:rFonts w:ascii="Arial" w:cs="Arial" w:eastAsia="Arial" w:hAnsi="Arial"/>
          <w:sz w:val="20"/>
          <w:szCs w:val="20"/>
        </w:rPr>
        <w:t xml:space="preserve">Vercel serverless proxy for Bright Data API — hides key from bundle, enables server-side caching, fixes CORS in production</w:t>
      </w:r>
    </w:p>
    <w:p>
      <w:pPr>
        <w:pStyle w:val="ListParagraph"/>
        <w:numPr>
          <w:ilvl w:val="0"/>
          <w:numId w:val="2"/>
        </w:numPr>
        <w:spacing w:after="80"/>
      </w:pPr>
      <w:r>
        <w:rPr>
          <w:rFonts w:ascii="Arial" w:cs="Arial" w:eastAsia="Arial" w:hAnsi="Arial"/>
          <w:sz w:val="20"/>
          <w:szCs w:val="20"/>
        </w:rPr>
        <w:t xml:space="preserve">Yelp Fusion API integration — authenticated API access to Yelp reviews bypassing the JS rendering limitation</w:t>
      </w:r>
    </w:p>
    <w:p>
      <w:pPr>
        <w:pStyle w:val="ListParagraph"/>
        <w:numPr>
          <w:ilvl w:val="0"/>
          <w:numId w:val="2"/>
        </w:numPr>
        <w:spacing w:after="80"/>
      </w:pPr>
      <w:r>
        <w:rPr>
          <w:rFonts w:ascii="Arial" w:cs="Arial" w:eastAsia="Arial" w:hAnsi="Arial"/>
          <w:sz w:val="20"/>
          <w:szCs w:val="20"/>
        </w:rPr>
        <w:t xml:space="preserve">Bulk pre-scraping — background scrape all 1,350 establishments on load rather than on-demand selection</w:t>
      </w:r>
    </w:p>
    <w:p>
      <w:pPr>
        <w:pStyle w:val="ListParagraph"/>
        <w:numPr>
          <w:ilvl w:val="0"/>
          <w:numId w:val="2"/>
        </w:numPr>
        <w:spacing w:after="80"/>
      </w:pPr>
      <w:r>
        <w:rPr>
          <w:rFonts w:ascii="Arial" w:cs="Arial" w:eastAsia="Arial" w:hAnsi="Arial"/>
          <w:sz w:val="20"/>
          <w:szCs w:val="20"/>
        </w:rPr>
        <w:t xml:space="preserve">Historical SRS tracking — store SRS snapshots over time to show trend lines per establishment</w:t>
      </w:r>
    </w:p>
    <w:p>
      <w:pPr>
        <w:pStyle w:val="ListParagraph"/>
        <w:numPr>
          <w:ilvl w:val="0"/>
          <w:numId w:val="2"/>
        </w:numPr>
        <w:spacing w:after="80"/>
      </w:pPr>
      <w:r>
        <w:rPr>
          <w:rFonts w:ascii="Arial" w:cs="Arial" w:eastAsia="Arial" w:hAnsi="Arial"/>
          <w:sz w:val="20"/>
          <w:szCs w:val="20"/>
        </w:rPr>
        <w:t xml:space="preserve">Inspector assignment — allow inspectors to claim/assign PIT establishments and mark them as actioned</w:t>
      </w:r>
    </w:p>
    <w:p>
      <w:pPr>
        <w:pStyle w:val="ListParagraph"/>
        <w:numPr>
          <w:ilvl w:val="0"/>
          <w:numId w:val="2"/>
        </w:numPr>
        <w:spacing w:after="80"/>
      </w:pPr>
      <w:r>
        <w:rPr>
          <w:rFonts w:ascii="Arial" w:cs="Arial" w:eastAsia="Arial" w:hAnsi="Arial"/>
          <w:sz w:val="20"/>
          <w:szCs w:val="20"/>
        </w:rPr>
        <w:t xml:space="preserve">Mobile-responsive layout — current design targets desktop only</w:t>
      </w:r>
    </w:p>
    <w:p>
      <w:pPr>
        <w:pStyle w:val="ListParagraph"/>
        <w:numPr>
          <w:ilvl w:val="0"/>
          <w:numId w:val="2"/>
        </w:numPr>
        <w:spacing w:after="80"/>
      </w:pPr>
      <w:r>
        <w:rPr>
          <w:rFonts w:ascii="Arial" w:cs="Arial" w:eastAsia="Arial" w:hAnsi="Arial"/>
          <w:sz w:val="20"/>
          <w:szCs w:val="20"/>
        </w:rPr>
        <w:t xml:space="preserve">Notification system — email/SMS alert when new PIT establishments are detected after a data refresh</w:t>
      </w:r>
    </w:p>
    <w:p>
      <w:pPr>
        <w:pStyle w:val="Heading1"/>
        <w:pBdr>
          <w:bottom w:val="single" w:color="1A6B72" w:sz="8" w:space="4"/>
        </w:pBdr>
        <w:spacing w:before="480" w:after="200"/>
      </w:pPr>
      <w:r>
        <w:rPr>
          <w:rFonts w:ascii="Arial" w:cs="Arial" w:eastAsia="Arial" w:hAnsi="Arial"/>
          <w:b/>
          <w:bCs/>
          <w:color w:val="1B3A5C"/>
          <w:sz w:val="36"/>
          <w:szCs w:val="36"/>
        </w:rPr>
        <w:t xml:space="preserve">10. Disclaimer</w:t>
      </w:r>
    </w:p>
    <w:p>
      <w:pPr>
        <w:spacing w:after="160"/>
      </w:pPr>
      <w:r>
        <w:rPr>
          <w:rFonts w:ascii="Arial" w:cs="Arial" w:eastAsia="Arial" w:hAnsi="Arial"/>
          <w:sz w:val="20"/>
          <w:szCs w:val="20"/>
        </w:rPr>
        <w:t xml:space="preserve">Sentinel is a risk-intelligence support tool. All SRS scores, PIT flags, and Recommended Actions are algorithmic outputs intended to assist — not replace — professional judgment by trained food safety inspectors.</w:t>
      </w:r>
    </w:p>
    <w:p>
      <w:pPr>
        <w:spacing w:after="160"/>
      </w:pPr>
      <w:r>
        <w:rPr>
          <w:rFonts w:ascii="Arial" w:cs="Arial" w:eastAsia="Arial" w:hAnsi="Arial"/>
          <w:sz w:val="20"/>
          <w:szCs w:val="20"/>
        </w:rPr>
        <w:t xml:space="preserve">Sentinel recommendations do not constitute formal regulatory orders. No enforcement action should be taken solely on the basis of a Sentinel score or recommendation without independent verification by a qualified inspector.</w:t>
      </w:r>
    </w:p>
    <w:p>
      <w:pPr>
        <w:spacing w:after="160"/>
      </w:pPr>
      <w:r>
        <w:rPr>
          <w:rFonts w:ascii="Arial" w:cs="Arial" w:eastAsia="Arial" w:hAnsi="Arial"/>
          <w:sz w:val="20"/>
          <w:szCs w:val="20"/>
        </w:rPr>
        <w:t xml:space="preserve">Review data is sourced from third-party platforms (TripAdvisor, Google) and is subject to the accuracy, completeness, and timeliness limitations of those platforms. Sentinel does not verify the authenticity of any individual review.</w:t>
      </w:r>
    </w:p>
    <w:p>
      <w:pPr>
        <w:spacing w:after="320"/>
      </w:pPr>
      <w:r>
        <w:rPr>
          <w:rFonts w:ascii="Arial" w:cs="Arial" w:eastAsia="Arial" w:hAnsi="Arial"/>
          <w:sz w:val="20"/>
          <w:szCs w:val="20"/>
        </w:rPr>
        <w:t xml:space="preserve"/>
      </w:r>
    </w:p>
    <w:p>
      <w:pPr>
        <w:pBdr>
          <w:top w:val="single" w:color="D5D8DC" w:sz="4" w:space="8"/>
        </w:pBdr>
        <w:spacing w:before="240"/>
        <w:jc w:val="center"/>
      </w:pPr>
      <w:r>
        <w:rPr>
          <w:rFonts w:ascii="Arial" w:cs="Arial" w:eastAsia="Arial" w:hAnsi="Arial"/>
          <w:color w:val="95A5A6"/>
          <w:sz w:val="16"/>
          <w:szCs w:val="16"/>
        </w:rPr>
        <w:t xml:space="preserve">Sentinel PRD v1.0  |  Montgomery County Health Department  |  March 2026  |  Confidential</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spacing w:before="80"/>
      <w:jc w:val="right"/>
    </w:pPr>
    <w:r>
      <w:rPr>
        <w:rFonts w:ascii="Arial" w:cs="Arial" w:eastAsia="Arial" w:hAnsi="Arial"/>
        <w:color w:val="95A5A6"/>
        <w:sz w:val="16"/>
        <w:szCs w:val="16"/>
      </w:rPr>
      <w:t xml:space="preserve">Sentinel PRD v1.0  |  Montgomery County Health Department  |  Confidential</w:t>
    </w:r>
    <w:r>
      <w:rPr>
        <w:rFonts w:ascii="Arial" w:cs="Arial" w:eastAsia="Arial" w:hAnsi="Arial"/>
        <w:color w:val="95A5A6"/>
        <w:sz w:val="16"/>
        <w:szCs w:val="16"/>
      </w:rPr>
      <w:t xml:space="preserve">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6" w:space="4"/>
      </w:pBdr>
      <w:spacing w:after="80"/>
    </w:pPr>
    <w:r>
      <w:rPr>
        <w:rFonts w:ascii="Arial" w:cs="Arial" w:eastAsia="Arial" w:hAnsi="Arial"/>
        <w:b/>
        <w:bCs/>
        <w:color w:val="1B3A5C"/>
        <w:sz w:val="18"/>
        <w:szCs w:val="18"/>
      </w:rPr>
      <w:t xml:space="preserve">SENTINEL  </w:t>
    </w:r>
    <w:r>
      <w:rPr>
        <w:rFonts w:ascii="Arial" w:cs="Arial" w:eastAsia="Arial" w:hAnsi="Arial"/>
        <w:color w:val="7F8C8D"/>
        <w:sz w:val="16"/>
        <w:szCs w:val="16"/>
      </w:rPr>
      <w:t xml:space="preserve">Food-Borne Illness Tracker  |  Product Requirements Document  |  Montgomery County Health Dept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6B7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2026-03-08T17:36:42.455Z</dcterms:created>
  <dcterms:modified xsi:type="dcterms:W3CDTF">2026-03-08T17:36:42.456Z</dcterms:modified>
</cp:coreProperties>
</file>

<file path=docProps/custom.xml><?xml version="1.0" encoding="utf-8"?>
<Properties xmlns="http://schemas.openxmlformats.org/officeDocument/2006/custom-properties" xmlns:vt="http://schemas.openxmlformats.org/officeDocument/2006/docPropsVTypes"/>
</file>