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05BB5D">
      <w:pPr>
        <w:pStyle w:val="2"/>
        <w:bidi w:val="0"/>
        <w:spacing w:line="240" w:lineRule="auto"/>
        <w:jc w:val="center"/>
        <w:rPr>
          <w:rFonts w:hint="default" w:ascii="Times New Roman" w:hAnsi="Times New Roman" w:cs="Times New Roman"/>
        </w:rPr>
      </w:pPr>
      <w:r>
        <w:rPr>
          <w:rFonts w:hint="default" w:ascii="Times New Roman" w:hAnsi="Times New Roman" w:cs="Times New Roman"/>
        </w:rPr>
        <w:t>Ethics and responsible AI statement</w:t>
      </w:r>
    </w:p>
    <w:p w14:paraId="61843A9B">
      <w:pPr>
        <w:pStyle w:val="3"/>
        <w:bidi w:val="0"/>
        <w:spacing w:line="240" w:lineRule="auto"/>
        <w:rPr>
          <w:rFonts w:hint="default" w:ascii="Times New Roman" w:hAnsi="Times New Roman" w:cs="Times New Roman"/>
        </w:rPr>
      </w:pPr>
      <w:r>
        <w:rPr>
          <w:rFonts w:hint="default" w:ascii="Times New Roman" w:hAnsi="Times New Roman" w:cs="Times New Roman"/>
        </w:rPr>
        <w:t>DATA PRIVACY</w:t>
      </w:r>
    </w:p>
    <w:p w14:paraId="7073A30B">
      <w:pPr>
        <w:spacing w:line="240" w:lineRule="auto"/>
        <w:rPr>
          <w:rFonts w:hint="default" w:ascii="Times New Roman" w:hAnsi="Times New Roman" w:cs="Times New Roman"/>
          <w:sz w:val="24"/>
          <w:szCs w:val="24"/>
        </w:rPr>
      </w:pPr>
    </w:p>
    <w:p w14:paraId="43236CE3">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VaxAlert operates on facility-level aggregate data, not patient records. No individual is identified in any dataset we use or generate. The synthetic dataset is built entirely in code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no real patient information is ingested, stored, or processed at any point. Where we draw on DHIS2 open data, we use only the anonymized, publicly available exports that Ethiopia's Ministry of Health has authorized for research use. The GitHub repository will contain no private or restricted data of any kind.</w:t>
      </w:r>
    </w:p>
    <w:p w14:paraId="40CC042F">
      <w:pPr>
        <w:spacing w:line="240" w:lineRule="auto"/>
        <w:rPr>
          <w:rFonts w:hint="default" w:ascii="Times New Roman" w:hAnsi="Times New Roman" w:cs="Times New Roman"/>
        </w:rPr>
      </w:pPr>
    </w:p>
    <w:p w14:paraId="25836622">
      <w:pPr>
        <w:pStyle w:val="3"/>
        <w:bidi w:val="0"/>
        <w:spacing w:line="240" w:lineRule="auto"/>
        <w:rPr>
          <w:rFonts w:hint="default" w:ascii="Times New Roman" w:hAnsi="Times New Roman" w:cs="Times New Roman"/>
          <w:b/>
          <w:bCs/>
        </w:rPr>
      </w:pPr>
      <w:r>
        <w:rPr>
          <w:rFonts w:hint="default" w:ascii="Times New Roman" w:hAnsi="Times New Roman" w:cs="Times New Roman"/>
          <w:b/>
          <w:bCs/>
        </w:rPr>
        <w:t>BIAS AND FAIRNESS</w:t>
      </w:r>
    </w:p>
    <w:p w14:paraId="633A8226">
      <w:pPr>
        <w:spacing w:line="240" w:lineRule="auto"/>
        <w:rPr>
          <w:rFonts w:hint="default" w:ascii="Times New Roman" w:hAnsi="Times New Roman" w:cs="Times New Roman"/>
        </w:rPr>
      </w:pPr>
    </w:p>
    <w:p w14:paraId="2BE77E18">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The system could inadvertently favor urban facilities if training data is richer for them than for remote health posts. We address this in two ways. First, our EDA explicitly segments stockout frequency and model error by facility type and road access, so we can see where the model performs worse. Second, our replenishment queue deliberately weights by days-to-stockout rather than raw volume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a small rural health post running out of BCG ranks just as urgently as a hospital, because the consequence to an unvaccinated child is the same regardless of where they live.</w:t>
      </w:r>
    </w:p>
    <w:p w14:paraId="6840DA07">
      <w:pPr>
        <w:spacing w:line="240" w:lineRule="auto"/>
        <w:rPr>
          <w:rFonts w:hint="default" w:ascii="Times New Roman" w:hAnsi="Times New Roman" w:cs="Times New Roman"/>
          <w:sz w:val="24"/>
          <w:szCs w:val="24"/>
        </w:rPr>
      </w:pPr>
    </w:p>
    <w:p w14:paraId="1926505C">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We also flag that SARIMAX exogenous inputs (campaign flags, population denominators) come from national-level estimates. Where local population data diverges significantly from national projections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common in rapidly growing peri-urban areas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model confidence should be stated explicitly to the end user, not hidden.</w:t>
      </w:r>
    </w:p>
    <w:p w14:paraId="4CD0CF8D">
      <w:pPr>
        <w:spacing w:line="240" w:lineRule="auto"/>
        <w:rPr>
          <w:rFonts w:hint="default" w:ascii="Times New Roman" w:hAnsi="Times New Roman" w:cs="Times New Roman"/>
        </w:rPr>
      </w:pPr>
    </w:p>
    <w:p w14:paraId="288DD891">
      <w:pPr>
        <w:pStyle w:val="3"/>
        <w:bidi w:val="0"/>
        <w:spacing w:line="240" w:lineRule="auto"/>
        <w:rPr>
          <w:rFonts w:hint="default" w:ascii="Times New Roman" w:hAnsi="Times New Roman" w:cs="Times New Roman"/>
          <w:b/>
          <w:bCs/>
        </w:rPr>
      </w:pPr>
      <w:r>
        <w:rPr>
          <w:rFonts w:hint="default" w:ascii="Times New Roman" w:hAnsi="Times New Roman" w:cs="Times New Roman"/>
          <w:b/>
          <w:bCs/>
        </w:rPr>
        <w:t>EXPLAINABILITY</w:t>
      </w:r>
    </w:p>
    <w:p w14:paraId="634B8342">
      <w:pPr>
        <w:spacing w:line="240" w:lineRule="auto"/>
        <w:rPr>
          <w:rFonts w:hint="default" w:ascii="Times New Roman" w:hAnsi="Times New Roman" w:cs="Times New Roman"/>
          <w:sz w:val="24"/>
          <w:szCs w:val="24"/>
        </w:rPr>
      </w:pPr>
      <w:bookmarkStart w:id="0" w:name="_GoBack"/>
    </w:p>
    <w:p w14:paraId="3EA74632">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Prophet's output decomposes naturally into trend, seasonal, and campaign components, all of which we surface in the dashboard. A health officer can see not just "this facility is critical" but why: consumption spiked during last month's MCV campaign, for instance, and the next delivery is 9 days out. SARIMAX outputs include confidence intervals on the stockout date, which we display rather than hide. We don't present a black-box risk score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every alert links back to the data that produced it.</w:t>
      </w:r>
    </w:p>
    <w:p w14:paraId="678C8210">
      <w:pPr>
        <w:spacing w:line="240" w:lineRule="auto"/>
        <w:rPr>
          <w:rFonts w:hint="default" w:ascii="Times New Roman" w:hAnsi="Times New Roman" w:cs="Times New Roman"/>
          <w:sz w:val="24"/>
          <w:szCs w:val="24"/>
        </w:rPr>
      </w:pPr>
    </w:p>
    <w:p w14:paraId="18681280">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Where the model is uncertain, we say so. A facility with fewer than 6 months of consumption history gets a "low confidence" flag on its forecast card. Overconfident predictions in a healthcare context cause harm; we'd rather a health officer treat a tentative forecast with appropriate skepticism than act on a number that looks more precise than it is.</w:t>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B65B31"/>
    <w:rsid w:val="42540F74"/>
    <w:rsid w:val="5EB65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2026-05-06T10:59:00Z</dcterms:created>
  <dc:creator>Zeamanuel Hailu</dc:creator>
  <cp:lastModifiedBy>Zeamanuel Hailu</cp:lastModifiedBy>
  <dcterms:modified xsi:type="dcterms:W3CDTF">2026-05-06T11:03:37Z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C7B937A2867B4A98A650FEA5312FC29C_11</vt:lpwstr>
  </property>
</Properties>
</file>