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D874F">
      <w:pPr>
        <w:pStyle w:val="2"/>
        <w:bidi w:val="0"/>
        <w:spacing w:line="240" w:lineRule="auto"/>
        <w:jc w:val="center"/>
        <w:rPr>
          <w:rFonts w:hint="default" w:ascii="Times New Roman" w:hAnsi="Times New Roman" w:cs="Times New Roman"/>
          <w:sz w:val="60"/>
          <w:szCs w:val="60"/>
          <w:lang w:val="en-US"/>
        </w:rPr>
      </w:pPr>
      <w:r>
        <w:rPr>
          <w:rFonts w:hint="default" w:ascii="Times New Roman" w:hAnsi="Times New Roman" w:cs="Times New Roman"/>
          <w:sz w:val="60"/>
          <w:szCs w:val="60"/>
          <w:lang w:val="en-US"/>
        </w:rPr>
        <w:t>Project: VaxAlert</w:t>
      </w:r>
    </w:p>
    <w:p w14:paraId="336F003D">
      <w:pPr>
        <w:pStyle w:val="2"/>
        <w:bidi w:val="0"/>
        <w:spacing w:line="240" w:lineRule="auto"/>
        <w:jc w:val="center"/>
        <w:rPr>
          <w:rFonts w:hint="default" w:ascii="Times New Roman" w:hAnsi="Times New Roman" w:cs="Times New Roman"/>
        </w:rPr>
      </w:pPr>
      <w:r>
        <w:rPr>
          <w:rFonts w:hint="default" w:ascii="Times New Roman" w:hAnsi="Times New Roman" w:cs="Times New Roman"/>
        </w:rPr>
        <w:t>Project summary</w:t>
      </w:r>
    </w:p>
    <w:p w14:paraId="6B146446">
      <w:pPr>
        <w:spacing w:line="240" w:lineRule="auto"/>
        <w:rPr>
          <w:rFonts w:hint="default" w:ascii="Times New Roman" w:hAnsi="Times New Roman" w:cs="Times New Roman"/>
        </w:rPr>
      </w:pPr>
    </w:p>
    <w:p w14:paraId="7B8A1537">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Vaccine stockouts in Ethiopia aren't a supply problem</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they're a visibility problem. A facility runs dry, a child misses th</w:t>
      </w:r>
      <w:bookmarkStart w:id="0" w:name="_GoBack"/>
      <w:bookmarkEnd w:id="0"/>
      <w:r>
        <w:rPr>
          <w:rFonts w:hint="default" w:ascii="Times New Roman" w:hAnsi="Times New Roman" w:cs="Times New Roman"/>
          <w:sz w:val="24"/>
          <w:szCs w:val="24"/>
        </w:rPr>
        <w:t>eir BCG or Penta dose, and the supplier finds out too late to help. VaxAlert changes that.</w:t>
      </w:r>
    </w:p>
    <w:p w14:paraId="2AF874B0">
      <w:pPr>
        <w:spacing w:line="240" w:lineRule="auto"/>
        <w:rPr>
          <w:rFonts w:hint="default" w:ascii="Times New Roman" w:hAnsi="Times New Roman" w:cs="Times New Roman"/>
          <w:sz w:val="24"/>
          <w:szCs w:val="24"/>
        </w:rPr>
      </w:pPr>
    </w:p>
    <w:p w14:paraId="68C58FBD">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We're building a predictive system that forecasts how many days of vaccine stock remain at each facility, flags which ones are about to run out, and tells suppliers exactly what to send and when. The system runs SARIMAX and Prophet time-series models on facility consumption data from DHIS2, anchored by WHO population targets and Ethiopia's national immunization calendar.</w:t>
      </w:r>
    </w:p>
    <w:p w14:paraId="70EC3BA6">
      <w:pPr>
        <w:spacing w:line="240" w:lineRule="auto"/>
        <w:rPr>
          <w:rFonts w:hint="default" w:ascii="Times New Roman" w:hAnsi="Times New Roman" w:cs="Times New Roman"/>
          <w:sz w:val="24"/>
          <w:szCs w:val="24"/>
        </w:rPr>
      </w:pPr>
    </w:p>
    <w:p w14:paraId="2E976562">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Results feed a Streamlit dashboard: a color-coded facility risk map, days-to-stockout per vaccine, and a ranked replenishment queue for suppliers. An optional FastAPI endpoint lets supplier systems query recommendations directly.</w:t>
      </w:r>
    </w:p>
    <w:p w14:paraId="60CB1CA9">
      <w:pPr>
        <w:spacing w:line="240" w:lineRule="auto"/>
        <w:rPr>
          <w:rFonts w:hint="default" w:ascii="Times New Roman" w:hAnsi="Times New Roman" w:cs="Times New Roman"/>
          <w:sz w:val="24"/>
          <w:szCs w:val="24"/>
        </w:rPr>
      </w:pPr>
    </w:p>
    <w:p w14:paraId="0093B1C4">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The problem costs lives. The data exists. VaxAlert connects them into something a district health officer can open on Monday morning and act on.</w:t>
      </w:r>
    </w:p>
    <w:p w14:paraId="4E01ECFE">
      <w:pPr>
        <w:spacing w:line="240" w:lineRule="auto"/>
        <w:rPr>
          <w:rFonts w:hint="default" w:ascii="Times New Roman" w:hAnsi="Times New Roman" w:cs="Times New Roman"/>
          <w:sz w:val="24"/>
          <w:szCs w:val="24"/>
        </w:rPr>
      </w:pPr>
    </w:p>
    <w:p w14:paraId="7A561433">
      <w:pPr>
        <w:spacing w:line="240" w:lineRule="auto"/>
        <w:jc w:val="center"/>
        <w:rPr>
          <w:rFonts w:hint="default" w:ascii="Times New Roman" w:hAnsi="Times New Roman" w:cs="Times New Roman"/>
          <w:b/>
          <w:bCs/>
          <w:sz w:val="40"/>
          <w:szCs w:val="40"/>
        </w:rPr>
      </w:pPr>
      <w:r>
        <w:rPr>
          <w:rFonts w:hint="default" w:ascii="Times New Roman" w:hAnsi="Times New Roman" w:cs="Times New Roman"/>
          <w:b/>
          <w:bCs/>
          <w:sz w:val="40"/>
          <w:szCs w:val="40"/>
        </w:rPr>
        <w:t>Technical abstract</w:t>
      </w:r>
    </w:p>
    <w:p w14:paraId="079222AC">
      <w:pPr>
        <w:pStyle w:val="3"/>
        <w:bidi w:val="0"/>
        <w:spacing w:line="240" w:lineRule="auto"/>
        <w:rPr>
          <w:rFonts w:hint="default" w:ascii="Times New Roman" w:hAnsi="Times New Roman" w:cs="Times New Roman"/>
        </w:rPr>
      </w:pPr>
      <w:r>
        <w:rPr>
          <w:rFonts w:hint="default" w:ascii="Times New Roman" w:hAnsi="Times New Roman" w:cs="Times New Roman"/>
        </w:rPr>
        <w:t>PROBLEM STATEMENT</w:t>
      </w:r>
    </w:p>
    <w:p w14:paraId="2D47DDC6">
      <w:pPr>
        <w:spacing w:line="240" w:lineRule="auto"/>
        <w:rPr>
          <w:rFonts w:hint="default" w:ascii="Times New Roman" w:hAnsi="Times New Roman" w:cs="Times New Roman"/>
        </w:rPr>
      </w:pPr>
    </w:p>
    <w:p w14:paraId="353C4925">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Ethiopia's Expanded Programme on Immunization covers eight core vaccines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BCG, OPV, Penta, PCV, Rotavirus, MCV, TT, HPV</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across roughly 3,700 health facilities. Stock management at the facility level is mostly manual. Health workers record doses administered on paper forms, once a month. By the time a stockout is reported upstream, it's already happened. Children have missed vaccinations. The coverage gap compounds: a missed first dose often means the second and third doses don't happen either.</w:t>
      </w:r>
    </w:p>
    <w:p w14:paraId="7F89893C">
      <w:pPr>
        <w:spacing w:line="240" w:lineRule="auto"/>
        <w:rPr>
          <w:rFonts w:hint="default" w:ascii="Times New Roman" w:hAnsi="Times New Roman" w:cs="Times New Roman"/>
          <w:sz w:val="24"/>
          <w:szCs w:val="24"/>
        </w:rPr>
      </w:pPr>
    </w:p>
    <w:p w14:paraId="709A35DE">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The core failure is timing. Suppliers have no advance signal that a facility is approaching zero. They find out when the call comes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and by then, the lead time from a woreda store to a remote health post (sometimes 5–10 days by road) means another week of empty shelves even after the problem is acknowledged.</w:t>
      </w:r>
    </w:p>
    <w:p w14:paraId="13DFA546">
      <w:pPr>
        <w:spacing w:line="240" w:lineRule="auto"/>
        <w:rPr>
          <w:rFonts w:hint="default" w:ascii="Times New Roman" w:hAnsi="Times New Roman" w:cs="Times New Roman"/>
        </w:rPr>
      </w:pPr>
    </w:p>
    <w:p w14:paraId="59342330">
      <w:pPr>
        <w:pStyle w:val="3"/>
        <w:bidi w:val="0"/>
        <w:spacing w:line="240" w:lineRule="auto"/>
        <w:rPr>
          <w:rFonts w:hint="default" w:ascii="Times New Roman" w:hAnsi="Times New Roman" w:cs="Times New Roman"/>
        </w:rPr>
      </w:pPr>
      <w:r>
        <w:rPr>
          <w:rFonts w:hint="default" w:ascii="Times New Roman" w:hAnsi="Times New Roman" w:cs="Times New Roman"/>
        </w:rPr>
        <w:t>PROPOSED APPROACH</w:t>
      </w:r>
    </w:p>
    <w:p w14:paraId="2A102ADB">
      <w:pPr>
        <w:spacing w:line="240" w:lineRule="auto"/>
        <w:rPr>
          <w:rFonts w:hint="default" w:ascii="Times New Roman" w:hAnsi="Times New Roman" w:cs="Times New Roman"/>
        </w:rPr>
      </w:pPr>
    </w:p>
    <w:p w14:paraId="6E553CED">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VaxAlert models each facility-vaccine pair as an independent time series. The target variable is stock on hand, from which we derive days-to-stockout: current stock divided by rolling 3-month average consumption rate.</w:t>
      </w:r>
    </w:p>
    <w:p w14:paraId="095C4D55">
      <w:pPr>
        <w:spacing w:line="240" w:lineRule="auto"/>
        <w:rPr>
          <w:rFonts w:hint="default" w:ascii="Times New Roman" w:hAnsi="Times New Roman" w:cs="Times New Roman"/>
          <w:sz w:val="24"/>
          <w:szCs w:val="24"/>
        </w:rPr>
      </w:pPr>
    </w:p>
    <w:p w14:paraId="3999EB7A">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Our primary model is SARIMAX</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Seasonal ARIMA with exogenous variables. Vaccine consumption has clear monthly seasonality driven by fixed immunization session days, national campaign periods, and seasonal disease patterns. SARIMAX captures that structure while also taking in external inputs: expected monthly doses from WHO population denominators, campaign flags from Ethiopia's EPI calendar, facility type, and road access category (which sets realistic resupply lead times).</w:t>
      </w:r>
    </w:p>
    <w:p w14:paraId="74555220">
      <w:pPr>
        <w:spacing w:line="240" w:lineRule="auto"/>
        <w:rPr>
          <w:rFonts w:hint="default" w:ascii="Times New Roman" w:hAnsi="Times New Roman" w:cs="Times New Roman"/>
          <w:sz w:val="24"/>
          <w:szCs w:val="24"/>
        </w:rPr>
      </w:pPr>
    </w:p>
    <w:p w14:paraId="16F2CDAA">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At scale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30 facilities × 8 vaccines = 240 time series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manual SARIMAX parameter tuning isn't practical. Prophet runs in parallel as our automation layer. It handles irregular campaign periods as named events, tolerates data gaps common in rural records, and selects parameters automatically. Both models run per series; whichever fits better by MAE is used for that series.</w:t>
      </w:r>
    </w:p>
    <w:p w14:paraId="7D72A689">
      <w:pPr>
        <w:spacing w:line="240" w:lineRule="auto"/>
        <w:rPr>
          <w:rFonts w:hint="default" w:ascii="Times New Roman" w:hAnsi="Times New Roman" w:cs="Times New Roman"/>
        </w:rPr>
      </w:pPr>
    </w:p>
    <w:p w14:paraId="0F18D9B1">
      <w:pPr>
        <w:pStyle w:val="3"/>
        <w:bidi w:val="0"/>
        <w:spacing w:line="240" w:lineRule="auto"/>
        <w:rPr>
          <w:rFonts w:hint="default" w:ascii="Times New Roman" w:hAnsi="Times New Roman" w:cs="Times New Roman"/>
          <w:b/>
          <w:bCs/>
        </w:rPr>
      </w:pPr>
      <w:r>
        <w:rPr>
          <w:rFonts w:hint="default" w:ascii="Times New Roman" w:hAnsi="Times New Roman" w:cs="Times New Roman"/>
          <w:b/>
          <w:bCs/>
        </w:rPr>
        <w:t>DATA</w:t>
      </w:r>
    </w:p>
    <w:p w14:paraId="5E3A68A4">
      <w:pPr>
        <w:spacing w:line="240" w:lineRule="auto"/>
        <w:rPr>
          <w:rFonts w:hint="default" w:ascii="Times New Roman" w:hAnsi="Times New Roman" w:cs="Times New Roman"/>
        </w:rPr>
      </w:pPr>
    </w:p>
    <w:p w14:paraId="02F451A1">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Four synthetic tables built in Python: facilities (location, type, catchment population, cold chain capacity), stock transactions (daily ledger of doses received, administered, and wasted), deliveries (order and receipt records with lead times and delay reasons), and external signals (WHO coverage targets, campaign calendar flags). Real consumption rate anchors come from Ethiopia's DHIS2 open data; the stock and delivery side is realistically simulated to match EPI delivery schedules. The full dataset is reproducible from a fixed random seed.</w:t>
      </w:r>
    </w:p>
    <w:p w14:paraId="1810A17D">
      <w:pPr>
        <w:spacing w:line="240" w:lineRule="auto"/>
        <w:rPr>
          <w:rFonts w:hint="default" w:ascii="Times New Roman" w:hAnsi="Times New Roman" w:cs="Times New Roman"/>
        </w:rPr>
      </w:pPr>
    </w:p>
    <w:p w14:paraId="583E7DFD">
      <w:pPr>
        <w:pStyle w:val="3"/>
        <w:bidi w:val="0"/>
        <w:spacing w:line="240" w:lineRule="auto"/>
        <w:rPr>
          <w:rFonts w:hint="default" w:ascii="Times New Roman" w:hAnsi="Times New Roman" w:cs="Times New Roman"/>
          <w:b/>
          <w:bCs/>
        </w:rPr>
      </w:pPr>
      <w:r>
        <w:rPr>
          <w:rFonts w:hint="default" w:ascii="Times New Roman" w:hAnsi="Times New Roman" w:cs="Times New Roman"/>
          <w:b/>
          <w:bCs/>
        </w:rPr>
        <w:t>EXPECTED OUTPUTS</w:t>
      </w:r>
    </w:p>
    <w:p w14:paraId="36AA4F32">
      <w:pPr>
        <w:spacing w:line="240" w:lineRule="auto"/>
        <w:rPr>
          <w:rFonts w:hint="default" w:ascii="Times New Roman" w:hAnsi="Times New Roman" w:cs="Times New Roman"/>
        </w:rPr>
      </w:pPr>
    </w:p>
    <w:p w14:paraId="060DE090">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Three concrete things: a days-to-stockout forecast per facility per vaccine, updated monthly; a risk classification (critical / warning / stable) displayed on a Streamlit facility map with KPI cards and a ranked replenishment queue; and a FastAPI endpoint that lets a supplier's system query replenishment recommendations programmatically.</w:t>
      </w:r>
    </w:p>
    <w:p w14:paraId="05B0DD30">
      <w:pPr>
        <w:spacing w:line="240" w:lineRule="auto"/>
        <w:rPr>
          <w:rFonts w:hint="default" w:ascii="Times New Roman" w:hAnsi="Times New Roman" w:cs="Times New Roman"/>
        </w:rPr>
      </w:pPr>
    </w:p>
    <w:p w14:paraId="3B481DF5">
      <w:pPr>
        <w:pStyle w:val="3"/>
        <w:bidi w:val="0"/>
        <w:spacing w:line="240" w:lineRule="auto"/>
        <w:rPr>
          <w:rFonts w:hint="default" w:ascii="Times New Roman" w:hAnsi="Times New Roman" w:cs="Times New Roman"/>
          <w:b/>
          <w:bCs/>
        </w:rPr>
      </w:pPr>
      <w:r>
        <w:rPr>
          <w:rFonts w:hint="default" w:ascii="Times New Roman" w:hAnsi="Times New Roman" w:cs="Times New Roman"/>
          <w:b/>
          <w:bCs/>
        </w:rPr>
        <w:t>2-WEEK EXECUTION PLAN</w:t>
      </w:r>
    </w:p>
    <w:p w14:paraId="6752EF48">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Days 1 – 2</w:t>
      </w:r>
    </w:p>
    <w:p w14:paraId="1B24178B">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Dataset generation; DHIS2 open data exploration and consumption rate extraction</w:t>
      </w:r>
    </w:p>
    <w:p w14:paraId="453D85D5">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Days 3 – 4</w:t>
      </w:r>
    </w:p>
    <w:p w14:paraId="4061FE65">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EDA</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consumption trends, seasonality checks, stockout frequency by region and facility type</w:t>
      </w:r>
    </w:p>
    <w:p w14:paraId="6046E571">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Days 5 – 7</w:t>
      </w:r>
    </w:p>
    <w:p w14:paraId="462E3A24">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SARIMAX modeling, Prophet comparison, error evaluation (MAE, RMSE), days-to-stockout derivation</w:t>
      </w:r>
    </w:p>
    <w:p w14:paraId="44DA315C">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Days 8 – 9</w:t>
      </w:r>
    </w:p>
    <w:p w14:paraId="150AA21B">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Streamlit dashboard</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risk map, KPI cards, replenishment queue</w:t>
      </w:r>
    </w:p>
    <w:p w14:paraId="0D7E291F">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Days 10 – 11</w:t>
      </w:r>
    </w:p>
    <w:p w14:paraId="32BE2A9C">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FastAPI endpoint; model packaging and GitHub setup</w:t>
      </w:r>
    </w:p>
    <w:p w14:paraId="551D4235">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Days 12 – 13</w:t>
      </w:r>
    </w:p>
    <w:p w14:paraId="44AF7C9A">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5-slide presentation deck and 3–5 minute demo video</w:t>
      </w:r>
    </w:p>
    <w:p w14:paraId="140069BB">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Day 14</w:t>
      </w:r>
    </w:p>
    <w:p w14:paraId="34C3914A">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Final review, reproducibility check, submission</w:t>
      </w:r>
    </w:p>
    <w:p w14:paraId="7306DA21">
      <w:pPr>
        <w:spacing w:line="240" w:lineRule="auto"/>
        <w:rPr>
          <w:rFonts w:hint="default" w:ascii="Times New Roman" w:hAnsi="Times New Roman" w:cs="Times New Roman"/>
          <w:sz w:val="24"/>
          <w:szCs w:val="24"/>
        </w:rPr>
      </w:pPr>
    </w:p>
    <w:p w14:paraId="4A05BB5D">
      <w:pPr>
        <w:pStyle w:val="2"/>
        <w:bidi w:val="0"/>
        <w:spacing w:line="240" w:lineRule="auto"/>
        <w:jc w:val="center"/>
        <w:rPr>
          <w:rFonts w:hint="default" w:ascii="Times New Roman" w:hAnsi="Times New Roman" w:cs="Times New Roman"/>
        </w:rPr>
      </w:pPr>
      <w:r>
        <w:rPr>
          <w:rFonts w:hint="default" w:ascii="Times New Roman" w:hAnsi="Times New Roman" w:cs="Times New Roman"/>
        </w:rPr>
        <w:t>Ethics and responsible AI statement</w:t>
      </w:r>
    </w:p>
    <w:p w14:paraId="61843A9B">
      <w:pPr>
        <w:pStyle w:val="3"/>
        <w:bidi w:val="0"/>
        <w:spacing w:line="240" w:lineRule="auto"/>
        <w:rPr>
          <w:rFonts w:hint="default" w:ascii="Times New Roman" w:hAnsi="Times New Roman" w:cs="Times New Roman"/>
        </w:rPr>
      </w:pPr>
      <w:r>
        <w:rPr>
          <w:rFonts w:hint="default" w:ascii="Times New Roman" w:hAnsi="Times New Roman" w:cs="Times New Roman"/>
        </w:rPr>
        <w:t>DATA PRIVACY</w:t>
      </w:r>
    </w:p>
    <w:p w14:paraId="7073A30B">
      <w:pPr>
        <w:spacing w:line="240" w:lineRule="auto"/>
        <w:rPr>
          <w:rFonts w:hint="default" w:ascii="Times New Roman" w:hAnsi="Times New Roman" w:cs="Times New Roman"/>
          <w:sz w:val="24"/>
          <w:szCs w:val="24"/>
        </w:rPr>
      </w:pPr>
    </w:p>
    <w:p w14:paraId="43236CE3">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VaxAlert operates on facility-level aggregate data, not patient records. No individual is identified in any dataset we use or generate. The synthetic dataset is built entirely in code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no real patient information is ingested, stored, or processed at any point. Where we draw on DHIS2 open data, we use only the anonymized, publicly available exports that Ethiopia's Ministry of Health has authorized for research use. The GitHub repository will contain no private or restricted data of any kind.</w:t>
      </w:r>
    </w:p>
    <w:p w14:paraId="40CC042F">
      <w:pPr>
        <w:spacing w:line="240" w:lineRule="auto"/>
        <w:rPr>
          <w:rFonts w:hint="default" w:ascii="Times New Roman" w:hAnsi="Times New Roman" w:cs="Times New Roman"/>
        </w:rPr>
      </w:pPr>
    </w:p>
    <w:p w14:paraId="25836622">
      <w:pPr>
        <w:pStyle w:val="3"/>
        <w:bidi w:val="0"/>
        <w:spacing w:line="240" w:lineRule="auto"/>
        <w:rPr>
          <w:rFonts w:hint="default" w:ascii="Times New Roman" w:hAnsi="Times New Roman" w:cs="Times New Roman"/>
          <w:b/>
          <w:bCs/>
        </w:rPr>
      </w:pPr>
      <w:r>
        <w:rPr>
          <w:rFonts w:hint="default" w:ascii="Times New Roman" w:hAnsi="Times New Roman" w:cs="Times New Roman"/>
          <w:b/>
          <w:bCs/>
        </w:rPr>
        <w:t>BIAS AND FAIRNESS</w:t>
      </w:r>
    </w:p>
    <w:p w14:paraId="633A8226">
      <w:pPr>
        <w:spacing w:line="240" w:lineRule="auto"/>
        <w:rPr>
          <w:rFonts w:hint="default" w:ascii="Times New Roman" w:hAnsi="Times New Roman" w:cs="Times New Roman"/>
        </w:rPr>
      </w:pPr>
    </w:p>
    <w:p w14:paraId="2BE77E18">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The system could inadvertently favor urban facilities if training data is richer for them than for remote health posts. We address this in two ways. First, our EDA explicitly segments stockout frequency and model error by facility type and road access, so we can see where the model performs worse. Second, our replenishment queue deliberately weights by days-to-stockout rather than raw volume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a small rural health post running out of BCG ranks just as urgently as a hospital, because the consequence to an unvaccinated child is the same regardless of where they live.</w:t>
      </w:r>
    </w:p>
    <w:p w14:paraId="6840DA07">
      <w:pPr>
        <w:spacing w:line="240" w:lineRule="auto"/>
        <w:rPr>
          <w:rFonts w:hint="default" w:ascii="Times New Roman" w:hAnsi="Times New Roman" w:cs="Times New Roman"/>
          <w:sz w:val="24"/>
          <w:szCs w:val="24"/>
        </w:rPr>
      </w:pPr>
    </w:p>
    <w:p w14:paraId="1926505C">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We also flag that SARIMAX exogenous inputs (campaign flags, population denominators) come from national-level estimates. Where local population data diverges significantly from national projections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common in rapidly growing peri-urban areas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model confidence should be stated explicitly to the end user, not hidden.</w:t>
      </w:r>
    </w:p>
    <w:p w14:paraId="4CD0CF8D">
      <w:pPr>
        <w:spacing w:line="240" w:lineRule="auto"/>
        <w:rPr>
          <w:rFonts w:hint="default" w:ascii="Times New Roman" w:hAnsi="Times New Roman" w:cs="Times New Roman"/>
        </w:rPr>
      </w:pPr>
    </w:p>
    <w:p w14:paraId="288DD891">
      <w:pPr>
        <w:pStyle w:val="3"/>
        <w:bidi w:val="0"/>
        <w:spacing w:line="240" w:lineRule="auto"/>
        <w:rPr>
          <w:rFonts w:hint="default" w:ascii="Times New Roman" w:hAnsi="Times New Roman" w:cs="Times New Roman"/>
          <w:b/>
          <w:bCs/>
        </w:rPr>
      </w:pPr>
      <w:r>
        <w:rPr>
          <w:rFonts w:hint="default" w:ascii="Times New Roman" w:hAnsi="Times New Roman" w:cs="Times New Roman"/>
          <w:b/>
          <w:bCs/>
        </w:rPr>
        <w:t>EXPLAINABILITY</w:t>
      </w:r>
    </w:p>
    <w:p w14:paraId="634B8342">
      <w:pPr>
        <w:spacing w:line="240" w:lineRule="auto"/>
        <w:rPr>
          <w:rFonts w:hint="default" w:ascii="Times New Roman" w:hAnsi="Times New Roman" w:cs="Times New Roman"/>
          <w:sz w:val="24"/>
          <w:szCs w:val="24"/>
        </w:rPr>
      </w:pPr>
    </w:p>
    <w:p w14:paraId="3EA74632">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Prophet's output decomposes naturally into trend, seasonal, and campaign components, all of which we surface in the dashboard. A health officer can see not just "this facility is critical" but why: consumption spiked during last month's MCV campaign, for instance, and the next delivery is 9 days out. SARIMAX outputs include confidence intervals on the stockout date, which we display rather than hide. We don't present a black-box risk score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every alert links back to the data that produced it.</w:t>
      </w:r>
    </w:p>
    <w:p w14:paraId="678C8210">
      <w:pPr>
        <w:spacing w:line="240" w:lineRule="auto"/>
        <w:rPr>
          <w:rFonts w:hint="default" w:ascii="Times New Roman" w:hAnsi="Times New Roman" w:cs="Times New Roman"/>
          <w:sz w:val="24"/>
          <w:szCs w:val="24"/>
        </w:rPr>
      </w:pPr>
    </w:p>
    <w:p w14:paraId="18681280">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Where the model is uncertain, we say so. A facility with fewer than 6 months of consumption history gets a "low confidence" flag on its forecast card. Overconfident predictions in a healthcare context cause harm; we'd rather a health officer treat a tentative forecast with appropriate skepticism than act on a number that looks more precise than it is.</w:t>
      </w:r>
    </w:p>
    <w:p w14:paraId="6804F852">
      <w:pPr>
        <w:spacing w:line="240" w:lineRule="auto"/>
        <w:rPr>
          <w:rFonts w:hint="default" w:ascii="Times New Roman" w:hAnsi="Times New Roman" w:cs="Times New Roman"/>
          <w:sz w:val="24"/>
          <w:szCs w:val="24"/>
        </w:rPr>
      </w:pPr>
    </w:p>
    <w:p w14:paraId="42EBC5CF">
      <w:pPr>
        <w:pStyle w:val="2"/>
        <w:bidi w:val="0"/>
        <w:spacing w:line="240" w:lineRule="auto"/>
        <w:jc w:val="center"/>
        <w:rPr>
          <w:rFonts w:hint="default" w:ascii="Times New Roman" w:hAnsi="Times New Roman" w:cs="Times New Roman"/>
        </w:rPr>
      </w:pPr>
      <w:r>
        <w:rPr>
          <w:rFonts w:hint="default" w:ascii="Times New Roman" w:hAnsi="Times New Roman" w:cs="Times New Roman"/>
        </w:rPr>
        <w:t>Agreement to terms</w:t>
      </w:r>
    </w:p>
    <w:p w14:paraId="51948F72">
      <w:pPr>
        <w:numPr>
          <w:ilvl w:val="0"/>
          <w:numId w:val="1"/>
        </w:numPr>
        <w:spacing w:line="24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We confirm that all work submitted is our own. Any external libraries, datasets, or reference code will be clearly attributed in the GitHub repository.</w:t>
      </w:r>
    </w:p>
    <w:p w14:paraId="747273A3">
      <w:pPr>
        <w:numPr>
          <w:ilvl w:val="0"/>
          <w:numId w:val="1"/>
        </w:numPr>
        <w:spacing w:line="24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We will not use datasets that are unauthorized, proprietary, or restricted. All data sources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DHIS2 open exports, WHO public records, and synthetic data generated by our own code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are either publicly licensed or original work.</w:t>
      </w:r>
    </w:p>
    <w:p w14:paraId="197BE518">
      <w:pPr>
        <w:numPr>
          <w:ilvl w:val="0"/>
          <w:numId w:val="1"/>
        </w:numPr>
        <w:spacing w:line="24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Our work will be fully reproducible. The GitHub repository will include all code, a fixed random seed for synthetic data generation, a requirements file, and clear instructions for running the pipeline end to end.</w:t>
      </w:r>
    </w:p>
    <w:p w14:paraId="2F50968E">
      <w:pPr>
        <w:numPr>
          <w:ilvl w:val="0"/>
          <w:numId w:val="1"/>
        </w:numPr>
        <w:spacing w:line="24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We will submit all deliverables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repository, demo, dashboard, video, and presentation</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before the stated deadline. We understand late submissions are not accepted.</w:t>
      </w:r>
    </w:p>
    <w:p w14:paraId="56CECA03">
      <w:pPr>
        <w:numPr>
          <w:ilvl w:val="0"/>
          <w:numId w:val="1"/>
        </w:numPr>
        <w:spacing w:line="24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We agree to handle all data, real or synthetic, in line with the privacy and confidentiality standards described in our ethics statement throughout the competition period.</w:t>
      </w:r>
    </w:p>
    <w:p w14:paraId="75A3C59B">
      <w:pPr>
        <w:numPr>
          <w:ilvl w:val="0"/>
          <w:numId w:val="1"/>
        </w:numPr>
        <w:spacing w:line="24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We understand the competition organizers may use our submitted work for educational or promotional purposes, and we consent to this use.</w:t>
      </w:r>
    </w:p>
    <w:p w14:paraId="0821C543">
      <w:pPr>
        <w:spacing w:line="240" w:lineRule="auto"/>
        <w:rPr>
          <w:rFonts w:hint="default" w:ascii="Times New Roman" w:hAnsi="Times New Roman" w:cs="Times New Roman"/>
          <w:sz w:val="24"/>
          <w:szCs w:val="24"/>
        </w:rPr>
      </w:pPr>
    </w:p>
    <w:p w14:paraId="4C2B94B2">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By submitting this application, all named team members confirm they have read, understood, and agree to abide by the full competition rules and code of conduct.</w:t>
      </w:r>
    </w:p>
    <w:p w14:paraId="53E5040F">
      <w:pPr>
        <w:spacing w:line="240" w:lineRule="auto"/>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7911F7"/>
    <w:multiLevelType w:val="singleLevel"/>
    <w:tmpl w:val="1F7911F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8C4AB8"/>
    <w:rsid w:val="17BE4308"/>
    <w:rsid w:val="3F3B5167"/>
    <w:rsid w:val="411A439A"/>
    <w:rsid w:val="5A8C4AB8"/>
    <w:rsid w:val="6CA55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150</Words>
  <Characters>829</Characters>
  <Lines>0</Lines>
  <Paragraphs>0</Paragraphs>
  <TotalTime>0</TotalTime>
  <ScaleCrop>false</ScaleCrop>
  <LinksUpToDate>false</LinksUpToDate>
  <CharactersWithSpaces>974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2026-05-06T10:55:00Z</dcterms:created>
  <dc:creator>Zeamanuel Hailu</dc:creator>
  <cp:lastModifiedBy>Zeamanuel Hailu</cp:lastModifiedBy>
  <dcterms:modified xsi:type="dcterms:W3CDTF">2026-05-06T12:28:16Z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A5179A884B7648DFB5A0F96D747E7195_11</vt:lpwstr>
  </property>
  <property fmtid="{D5CDD505-2E9C-101B-9397-08002B2CF9AE}" pid="4" name="KSOTemplateDocerSaveRecord">
    <vt:lpwstr>eyJoZGlkIjoiN2YzNjBkOTgyNWQ1YTMxYzM3MzMwNWFiODNmOWIzYWMiLCJ1c2VySWQiOiI1NDk3NTU4OTkzMjEyIn0=</vt:lpwstr>
  </property>
</Properties>
</file>