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61433">
      <w:pPr>
        <w:spacing w:line="240" w:lineRule="auto"/>
        <w:jc w:val="center"/>
        <w:rPr>
          <w:rFonts w:hint="default" w:ascii="Times New Roman" w:hAnsi="Times New Roman" w:cs="Times New Roman"/>
          <w:b/>
          <w:bCs/>
          <w:sz w:val="40"/>
          <w:szCs w:val="40"/>
        </w:rPr>
      </w:pPr>
      <w:r>
        <w:rPr>
          <w:rFonts w:hint="default" w:ascii="Times New Roman" w:hAnsi="Times New Roman" w:cs="Times New Roman"/>
          <w:b/>
          <w:bCs/>
          <w:sz w:val="40"/>
          <w:szCs w:val="40"/>
        </w:rPr>
        <w:t>Technical abstract</w:t>
      </w:r>
    </w:p>
    <w:p w14:paraId="079222AC">
      <w:pPr>
        <w:pStyle w:val="2"/>
        <w:bidi w:val="0"/>
        <w:spacing w:line="240" w:lineRule="auto"/>
        <w:rPr>
          <w:rFonts w:hint="default" w:ascii="Times New Roman" w:hAnsi="Times New Roman" w:cs="Times New Roman"/>
        </w:rPr>
      </w:pPr>
      <w:r>
        <w:rPr>
          <w:rFonts w:hint="default" w:ascii="Times New Roman" w:hAnsi="Times New Roman" w:cs="Times New Roman"/>
        </w:rPr>
        <w:t>PROBLEM STATEMENT</w:t>
      </w:r>
    </w:p>
    <w:p w14:paraId="2D47DDC6">
      <w:pPr>
        <w:spacing w:line="240" w:lineRule="auto"/>
        <w:rPr>
          <w:rFonts w:hint="default" w:ascii="Times New Roman" w:hAnsi="Times New Roman" w:cs="Times New Roman"/>
        </w:rPr>
      </w:pPr>
    </w:p>
    <w:p w14:paraId="353C4925">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Ethiopia's Expanded Programme on Immunization covers eight core vaccines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BCG, OPV, Penta, PCV, Rotavirus, MCV, TT, HPV</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across roughly 3,700 health facilities. Stock management at the facility level is mostly manual. Health workers record doses administered on paper forms, once a month. By the time a stockout is reported upstream, it's already happened. Children have missed vaccinations. The coverage gap compounds: a missed first dose often means the second and third doses don't happen either.</w:t>
      </w:r>
    </w:p>
    <w:p w14:paraId="7F89893C">
      <w:pPr>
        <w:spacing w:line="240" w:lineRule="auto"/>
        <w:rPr>
          <w:rFonts w:hint="default" w:ascii="Times New Roman" w:hAnsi="Times New Roman" w:cs="Times New Roman"/>
          <w:sz w:val="24"/>
          <w:szCs w:val="24"/>
        </w:rPr>
      </w:pPr>
    </w:p>
    <w:p w14:paraId="709A35DE">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The core failure is timing. Suppliers have no advance signal that a facility is approaching zero. They find out when the call comes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and by then, the lead time from a woreda store to a remote health post (sometimes 5–10 days by road) means another week of empty shelves even after the problem is acknowledged.</w:t>
      </w:r>
    </w:p>
    <w:p w14:paraId="13DFA546">
      <w:pPr>
        <w:spacing w:line="240" w:lineRule="auto"/>
        <w:rPr>
          <w:rFonts w:hint="default" w:ascii="Times New Roman" w:hAnsi="Times New Roman" w:cs="Times New Roman"/>
        </w:rPr>
      </w:pPr>
    </w:p>
    <w:p w14:paraId="59342330">
      <w:pPr>
        <w:pStyle w:val="2"/>
        <w:bidi w:val="0"/>
        <w:spacing w:line="240" w:lineRule="auto"/>
        <w:rPr>
          <w:rFonts w:hint="default" w:ascii="Times New Roman" w:hAnsi="Times New Roman" w:cs="Times New Roman"/>
        </w:rPr>
      </w:pPr>
      <w:r>
        <w:rPr>
          <w:rFonts w:hint="default" w:ascii="Times New Roman" w:hAnsi="Times New Roman" w:cs="Times New Roman"/>
        </w:rPr>
        <w:t>PROPOSED APPROACH</w:t>
      </w:r>
    </w:p>
    <w:p w14:paraId="2A102ADB">
      <w:pPr>
        <w:spacing w:line="240" w:lineRule="auto"/>
        <w:rPr>
          <w:rFonts w:hint="default" w:ascii="Times New Roman" w:hAnsi="Times New Roman" w:cs="Times New Roman"/>
        </w:rPr>
      </w:pPr>
    </w:p>
    <w:p w14:paraId="6E553CED">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VaxAlert models each facility-vaccine pair as an independent time series. The target variable is stock on hand, from which we derive days-to-stockout: current stock divided by rolling 3-month average consumption rate.</w:t>
      </w:r>
    </w:p>
    <w:p w14:paraId="095C4D55">
      <w:pPr>
        <w:spacing w:line="240" w:lineRule="auto"/>
        <w:rPr>
          <w:rFonts w:hint="default" w:ascii="Times New Roman" w:hAnsi="Times New Roman" w:cs="Times New Roman"/>
          <w:sz w:val="24"/>
          <w:szCs w:val="24"/>
        </w:rPr>
      </w:pPr>
    </w:p>
    <w:p w14:paraId="3999EB7A">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Our primary model is SARIMAX</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Seasonal ARIMA with exogenous variables. Vaccine consumption has clear monthly seasonality driven by fixed immunization session days, national campaign periods, and seasonal disease patterns. SARIMAX captures that structure while also taking in external inputs: expected monthly doses from WHO population denominators, campaign flags from Ethiopia's EPI calendar, facility type, and road access category (which sets realistic resupply lead times).</w:t>
      </w:r>
    </w:p>
    <w:p w14:paraId="74555220">
      <w:pPr>
        <w:spacing w:line="240" w:lineRule="auto"/>
        <w:rPr>
          <w:rFonts w:hint="default" w:ascii="Times New Roman" w:hAnsi="Times New Roman" w:cs="Times New Roman"/>
          <w:sz w:val="24"/>
          <w:szCs w:val="24"/>
        </w:rPr>
      </w:pPr>
    </w:p>
    <w:p w14:paraId="16F2CDAA">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At scale</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30 facilities × 8 vaccines = 240 time series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manual SARIMAX parameter tuning isn't practical. Prophet runs in parallel as our automation layer. It handles irregular campaign periods as named events, tolerates data gaps common in rural records, and selects parameters automatically. Both models run per series; whichever fits better by MAE is used for that series.</w:t>
      </w:r>
    </w:p>
    <w:p w14:paraId="7D72A689">
      <w:pPr>
        <w:spacing w:line="240" w:lineRule="auto"/>
        <w:rPr>
          <w:rFonts w:hint="default" w:ascii="Times New Roman" w:hAnsi="Times New Roman" w:cs="Times New Roman"/>
        </w:rPr>
      </w:pPr>
    </w:p>
    <w:p w14:paraId="0F18D9B1">
      <w:pPr>
        <w:pStyle w:val="2"/>
        <w:bidi w:val="0"/>
        <w:spacing w:line="240" w:lineRule="auto"/>
        <w:rPr>
          <w:rFonts w:hint="default" w:ascii="Times New Roman" w:hAnsi="Times New Roman" w:cs="Times New Roman"/>
          <w:b/>
          <w:bCs/>
        </w:rPr>
      </w:pPr>
      <w:r>
        <w:rPr>
          <w:rFonts w:hint="default" w:ascii="Times New Roman" w:hAnsi="Times New Roman" w:cs="Times New Roman"/>
          <w:b/>
          <w:bCs/>
        </w:rPr>
        <w:t>DATA</w:t>
      </w:r>
    </w:p>
    <w:p w14:paraId="5E3A68A4">
      <w:pPr>
        <w:spacing w:line="240" w:lineRule="auto"/>
        <w:rPr>
          <w:rFonts w:hint="default" w:ascii="Times New Roman" w:hAnsi="Times New Roman" w:cs="Times New Roman"/>
        </w:rPr>
      </w:pPr>
    </w:p>
    <w:p w14:paraId="02F451A1">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Four synthetic tables built in Python: facilities (location, type, catchment population, cold chain capacity), stock transactions (daily ledger of doses received, administered, and wasted), deliveries (order and receipt records with lead times and delay reasons), and external signals (WHO coverage targets, campaign calendar flags). Real consumption rate anchors come from Ethiopia's DHIS2 open data; the stock and delivery side is realistically simulated to match EPI delivery schedules. The full dataset is reproducible from a fixed random seed.</w:t>
      </w:r>
    </w:p>
    <w:p w14:paraId="1810A17D">
      <w:pPr>
        <w:spacing w:line="240" w:lineRule="auto"/>
        <w:rPr>
          <w:rFonts w:hint="default" w:ascii="Times New Roman" w:hAnsi="Times New Roman" w:cs="Times New Roman"/>
        </w:rPr>
      </w:pPr>
    </w:p>
    <w:p w14:paraId="583E7DFD">
      <w:pPr>
        <w:pStyle w:val="2"/>
        <w:bidi w:val="0"/>
        <w:spacing w:line="240" w:lineRule="auto"/>
        <w:rPr>
          <w:rFonts w:hint="default" w:ascii="Times New Roman" w:hAnsi="Times New Roman" w:cs="Times New Roman"/>
          <w:b/>
          <w:bCs/>
        </w:rPr>
      </w:pPr>
      <w:r>
        <w:rPr>
          <w:rFonts w:hint="default" w:ascii="Times New Roman" w:hAnsi="Times New Roman" w:cs="Times New Roman"/>
          <w:b/>
          <w:bCs/>
        </w:rPr>
        <w:t>EXPECTED OUTPUTS</w:t>
      </w:r>
    </w:p>
    <w:p w14:paraId="36AA4F32">
      <w:pPr>
        <w:spacing w:line="240" w:lineRule="auto"/>
        <w:rPr>
          <w:rFonts w:hint="default" w:ascii="Times New Roman" w:hAnsi="Times New Roman" w:cs="Times New Roman"/>
        </w:rPr>
      </w:pPr>
    </w:p>
    <w:p w14:paraId="060DE090">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Three concrete things: a days-to-stockout forecast per facility per vaccine, updated monthly; a risk classification (critical / warning / stable) displayed on a Streamlit facility map with KPI cards and a ranked replenishment queue; and a FastAPI endpoint that lets a supplier's system query replenishment recommendations programmatically.</w:t>
      </w:r>
    </w:p>
    <w:p w14:paraId="05B0DD30">
      <w:pPr>
        <w:spacing w:line="240" w:lineRule="auto"/>
        <w:rPr>
          <w:rFonts w:hint="default" w:ascii="Times New Roman" w:hAnsi="Times New Roman" w:cs="Times New Roman"/>
        </w:rPr>
      </w:pPr>
    </w:p>
    <w:p w14:paraId="3B481DF5">
      <w:pPr>
        <w:pStyle w:val="2"/>
        <w:bidi w:val="0"/>
        <w:spacing w:line="240" w:lineRule="auto"/>
        <w:rPr>
          <w:rFonts w:hint="default" w:ascii="Times New Roman" w:hAnsi="Times New Roman" w:cs="Times New Roman"/>
          <w:b/>
          <w:bCs/>
        </w:rPr>
      </w:pPr>
      <w:r>
        <w:rPr>
          <w:rFonts w:hint="default" w:ascii="Times New Roman" w:hAnsi="Times New Roman" w:cs="Times New Roman"/>
          <w:b/>
          <w:bCs/>
        </w:rPr>
        <w:t>2-WEEK EXECUTION PLAN</w:t>
      </w:r>
    </w:p>
    <w:p w14:paraId="6752EF48">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Days 1 – 2</w:t>
      </w:r>
    </w:p>
    <w:p w14:paraId="1B24178B">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Dataset generation; DHIS2 open data exploration and consumption rate extraction</w:t>
      </w:r>
    </w:p>
    <w:p w14:paraId="453D85D5">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Days 3 – 4</w:t>
      </w:r>
    </w:p>
    <w:p w14:paraId="4061FE65">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EDA</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consumption trends, seasonality checks, stockout frequency by region and facility type</w:t>
      </w:r>
    </w:p>
    <w:p w14:paraId="6046E571">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Days 5 – 7</w:t>
      </w:r>
    </w:p>
    <w:p w14:paraId="462E3A24">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SARIMAX modeling, Prophet comparison, error evaluation (MAE, RMSE), days-to-stockout derivation</w:t>
      </w:r>
    </w:p>
    <w:p w14:paraId="44DA315C">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Days 8 – 9</w:t>
      </w:r>
    </w:p>
    <w:p w14:paraId="150AA21B">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Streamlit dashboard</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risk map, KPI cards, replenishment queue</w:t>
      </w:r>
    </w:p>
    <w:p w14:paraId="0D7E291F">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Days 10 – 11</w:t>
      </w:r>
    </w:p>
    <w:p w14:paraId="32BE2A9C">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FastAPI endpoint; model packaging and GitHub setup</w:t>
      </w:r>
    </w:p>
    <w:p w14:paraId="551D4235">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Days 12 – 13</w:t>
      </w:r>
    </w:p>
    <w:p w14:paraId="44AF7C9A">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5-slide presentation deck and 3–5 minute demo video</w:t>
      </w:r>
    </w:p>
    <w:p w14:paraId="140069BB">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Day 14</w:t>
      </w:r>
    </w:p>
    <w:p w14:paraId="34C3914A">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Final review, reproducibility check, submission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EC5602"/>
    <w:rsid w:val="42F7409E"/>
    <w:rsid w:val="79EC56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2026-05-06T10:57:00Z</dcterms:created>
  <dc:creator>Zeamanuel Hailu</dc:creator>
  <cp:lastModifiedBy>Zeamanuel Hailu</cp:lastModifiedBy>
  <dcterms:modified xsi:type="dcterms:W3CDTF">2026-05-06T11:04:08Z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CD543D2B007C42318720DBE27E590269_11</vt:lpwstr>
  </property>
</Properties>
</file>