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6"/>
        </w:rPr>
        <w:t>COSMOS MATE Definition Worksheet</w:t>
      </w:r>
    </w:p>
    <w:p>
      <w:pPr>
        <w:spacing w:after="60"/>
        <w:jc w:val="center"/>
      </w:pPr>
      <w:r>
        <w:rPr>
          <w:i/>
          <w:sz w:val="16"/>
        </w:rPr>
        <w:t>Fill N and prevalence after rerunning the clinically aligned outcome definitions in Epic COSMOS</w:t>
      </w:r>
    </w:p>
    <w:p>
      <w:pPr>
        <w:spacing w:after="60"/>
      </w:pPr>
      <w:r>
        <w:rPr>
          <w:b/>
        </w:rPr>
        <w:t xml:space="preserve">Working target: </w:t>
      </w:r>
      <w:r>
        <w:t>approximately 25-30% non-death MATE-EHR prevalence in COSMOS; the final clinical MATE is expected to be approximately 30-35% after death is incorporated in LTC/STAR with overlap accounted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4"/>
        <w:gridCol w:w="2984"/>
        <w:gridCol w:w="2984"/>
        <w:gridCol w:w="2984"/>
        <w:gridCol w:w="2984"/>
      </w:tblGrid>
      <w:tr>
        <w:tc>
          <w:tcPr>
            <w:tcW w:type="dxa" w:w="2664"/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Candidate component / definition</w:t>
            </w:r>
          </w:p>
        </w:tc>
        <w:tc>
          <w:tcPr>
            <w:tcW w:type="dxa" w:w="6552"/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Exact COSMOS operational definition</w:t>
            </w:r>
          </w:p>
        </w:tc>
        <w:tc>
          <w:tcPr>
            <w:tcW w:type="dxa" w:w="1008"/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368"/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Prevalence (%)</w:t>
            </w:r>
          </w:p>
        </w:tc>
        <w:tc>
          <w:tcPr>
            <w:tcW w:type="dxa" w:w="3096"/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Decision / notes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Retransplantation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Retransplantation within 365 days of index lung transplant.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Core MATE component; retain.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Index hospitalization &gt;90 d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Index transplant admission LOS &gt;90 days.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Core MATE component; add to COSMOS proxy.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Dialysis after day 90 - any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&gt;=1 dialysis/hemodialysis event on days 91-365.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Closest implementation of proposed MATE.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Dialysis after day 90 - persistent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&gt;=2 dialysis events on distinct dates during days 91-365, preferably &gt;=7 days apart.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Specificity check for persistent dialysis.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&gt;=3 unplanned readmissions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&gt;=3 unplanned inpatient readmissions after index discharge through day 365.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Current preliminary threshold; likely permissive.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&gt;=4 unplanned readmissions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&gt;=4 unplanned inpatient readmissions after index discharge through day 365.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Matches proposal's &gt;3 readmissions; test first.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&gt;=5 unplanned readmissions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&gt;=5 unplanned inpatient readmissions after index discharge through day 365.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Main tightening option if &gt;=4 is too prevalent.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&gt;=6 unplanned readmissions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&gt;=6 unplanned inpatient readmissions after index discharge through day 365.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Sensitivity analysis.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Oxygen dependence after day 90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Oxygen dependence / oxygen DME evidence on or after day 90.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Sensitivity/QOL candidate; exclude from primary MATE.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MATE-EHR v1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 OR index LOS &gt;90 d OR any dialysis after day 90 OR &gt;=4 unplanned readmissions.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Primary definition to evaluate first.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MATE-EHR v2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 OR index LOS &gt;90 d OR persistent dialysis after day 90 OR &gt;=4 unplanned readmissions.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Cleaner EHR-specific candidate.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MATE-EHR v3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 OR index LOS &gt;90 d OR persistent dialysis after day 90 OR &gt;=5 unplanned readmissions.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Use if v1/v2 remain materially &gt;30%.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High-burden MATE</w:t>
            </w:r>
          </w:p>
        </w:tc>
        <w:tc>
          <w:tcPr>
            <w:tcW w:type="dxa" w:w="6552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&gt;=2 non-death MATE components.</w:t>
            </w:r>
          </w:p>
        </w:tc>
        <w:tc>
          <w:tcPr>
            <w:tcW w:type="dxa" w:w="100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3096"/>
            <w:vAlign w:val="center"/>
          </w:tcPr>
          <w:p>
            <w:pPr>
              <w:spacing w:after="0" w:line="216" w:lineRule="auto"/>
            </w:pPr>
            <w:r>
              <w:rPr>
                <w:sz w:val="13"/>
              </w:rPr>
              <w:t>Secondary severity construct, not primary MATE.</w:t>
            </w:r>
          </w:p>
        </w:tc>
      </w:tr>
    </w:tbl>
    <w:p>
      <w:pPr>
        <w:spacing w:before="60" w:after="20"/>
      </w:pPr>
      <w:r>
        <w:rPr>
          <w:b/>
          <w:sz w:val="17"/>
        </w:rPr>
        <w:t>Overlap / burden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3"/>
        <w:gridCol w:w="4973"/>
        <w:gridCol w:w="4973"/>
      </w:tblGrid>
      <w:tr>
        <w:tc>
          <w:tcPr>
            <w:tcW w:type="dxa" w:w="11520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Overlap / burden calculation</w:t>
            </w:r>
          </w:p>
        </w:tc>
        <w:tc>
          <w:tcPr>
            <w:tcW w:type="dxa" w:w="1584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584"/>
            <w:shd w:fill="D9E2F3"/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% of cohort</w:t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Exactly 0 MATE-EHR components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Exactly 1 component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Exactly 2 components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Exactly 3 components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All 4 components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Retransplantation + any other component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Index LOS &gt;90 d + dialysis after day 90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Index LOS &gt;90 d + high readmission burden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  <w:tr>
        <w:tc>
          <w:tcPr>
            <w:tcW w:type="dxa" w:w="11520"/>
          </w:tcPr>
          <w:p>
            <w:pPr>
              <w:spacing w:after="0" w:line="216" w:lineRule="auto"/>
            </w:pPr>
            <w:r>
              <w:rPr>
                <w:sz w:val="13"/>
              </w:rPr>
              <w:t>Dialysis after day 90 + high readmission burden</w:t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  <w:tc>
          <w:tcPr>
            <w:tcW w:type="dxa" w:w="1584"/>
            <w:shd w:fill="FFF2CC"/>
          </w:tcPr>
          <w:p>
            <w:pPr>
              <w:spacing w:after="0" w:line="216" w:lineRule="auto"/>
            </w:pPr>
            <w:r>
              <w:rPr>
                <w:sz w:val="13"/>
              </w:rPr>
            </w:r>
          </w:p>
        </w:tc>
      </w:tr>
    </w:tbl>
    <w:p>
      <w:pPr>
        <w:spacing w:before="60" w:after="0"/>
      </w:pPr>
      <w:r>
        <w:rPr>
          <w:b/>
          <w:sz w:val="14"/>
        </w:rPr>
        <w:t xml:space="preserve">Decision rule: </w:t>
      </w:r>
      <w:r>
        <w:rPr>
          <w:sz w:val="14"/>
        </w:rPr>
        <w:t>If MATE-EHR v1 is ~25-30%, retain &gt;=4 readmissions. If it remains materially &gt;30%, evaluate v2 and then v3. Do not require &gt;=2 components for primary MATE; use that only as a secondary high-burden phenotype.</w:t>
      </w:r>
    </w:p>
    <w:sectPr w:rsidR="00FC693F" w:rsidRPr="0006063C" w:rsidSect="00034616">
      <w:pgSz w:w="15840" w:h="12240" w:orient="landscape"/>
      <w:pgMar w:top="432" w:right="461" w:bottom="432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