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rPr/>
      </w:pPr>
      <w:r>
        <w:rPr>
          <w:rFonts w:eastAsia="Arial" w:cs="Arial"/>
          <w:b/>
          <w:bCs/>
          <w:color w:val="1A7A6E"/>
          <w:sz w:val="48"/>
          <w:szCs w:val="48"/>
        </w:rPr>
        <w:t xml:space="preserve">Reviewer Response </w:t>
      </w:r>
    </w:p>
    <w:p>
      <w:pPr>
        <w:pStyle w:val="Normal"/>
        <w:spacing w:before="0" w:after="80"/>
        <w:rPr/>
      </w:pPr>
      <w:r>
        <w:rPr>
          <w:rFonts w:eastAsia="Arial" w:cs="Arial"/>
          <w:i/>
          <w:iCs/>
          <w:color w:val="6B7280"/>
          <w:sz w:val="22"/>
          <w:szCs w:val="22"/>
        </w:rPr>
        <w:t>Correcting Label-noise Corruption with lambda-Odds Ratio</w:t>
      </w:r>
    </w:p>
    <w:p>
      <w:pPr>
        <w:pStyle w:val="Normal"/>
        <w:spacing w:before="0" w:after="240"/>
        <w:rPr>
          <w:rFonts w:ascii="Arial" w:hAnsi="Arial" w:eastAsia="Arial" w:cs="Arial"/>
          <w:color w:val="6B7280"/>
          <w:sz w:val="20"/>
          <w:szCs w:val="20"/>
        </w:rPr>
      </w:pPr>
      <w:r>
        <w:rPr/>
      </w:r>
    </w:p>
    <w:p>
      <w:pPr>
        <w:pStyle w:val="Normal"/>
        <w:spacing w:before="0" w:after="100"/>
        <w:rPr/>
      </w:pPr>
      <w:r>
        <w:rPr>
          <w:rFonts w:eastAsia="Arial" w:cs="Arial"/>
          <w:b/>
          <w:bCs/>
          <w:color w:val="1A7A6E"/>
          <w:sz w:val="26"/>
          <w:szCs w:val="26"/>
        </w:rPr>
        <w:t>Executive Summary</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D1D5DB"/>
              <w:left w:val="single" w:sz="2" w:space="0" w:color="D1D5DB"/>
              <w:bottom w:val="single" w:sz="2" w:space="0" w:color="D1D5DB"/>
              <w:right w:val="single" w:sz="2" w:space="0" w:color="D1D5DB"/>
            </w:tcBorders>
            <w:shd w:fill="1A7A6E" w:val="clear"/>
          </w:tcPr>
          <w:p>
            <w:pPr>
              <w:pStyle w:val="Normal"/>
              <w:rPr/>
            </w:pPr>
            <w:r>
              <w:rPr>
                <w:rFonts w:eastAsia="Arial" w:cs="Arial"/>
                <w:b/>
                <w:bCs/>
                <w:color w:val="FFFFFF"/>
                <w:sz w:val="20"/>
                <w:szCs w:val="20"/>
              </w:rPr>
              <w:t>Reviewer</w:t>
            </w:r>
          </w:p>
        </w:tc>
        <w:tc>
          <w:tcPr>
            <w:tcW w:w="2340" w:type="dxa"/>
            <w:tcBorders>
              <w:top w:val="single" w:sz="2" w:space="0" w:color="D1D5DB"/>
              <w:left w:val="single" w:sz="2" w:space="0" w:color="D1D5DB"/>
              <w:bottom w:val="single" w:sz="2" w:space="0" w:color="D1D5DB"/>
              <w:right w:val="single" w:sz="2" w:space="0" w:color="D1D5DB"/>
            </w:tcBorders>
            <w:shd w:fill="1A7A6E" w:val="clear"/>
          </w:tcPr>
          <w:p>
            <w:pPr>
              <w:pStyle w:val="Normal"/>
              <w:rPr/>
            </w:pPr>
            <w:r>
              <w:rPr>
                <w:rFonts w:eastAsia="Arial" w:cs="Arial"/>
                <w:b/>
                <w:bCs/>
                <w:color w:val="FFFFFF"/>
                <w:sz w:val="20"/>
                <w:szCs w:val="20"/>
              </w:rPr>
              <w:t># Comments</w:t>
            </w:r>
          </w:p>
        </w:tc>
        <w:tc>
          <w:tcPr>
            <w:tcW w:w="2340" w:type="dxa"/>
            <w:tcBorders>
              <w:top w:val="single" w:sz="2" w:space="0" w:color="D1D5DB"/>
              <w:left w:val="single" w:sz="2" w:space="0" w:color="D1D5DB"/>
              <w:bottom w:val="single" w:sz="2" w:space="0" w:color="D1D5DB"/>
              <w:right w:val="single" w:sz="2" w:space="0" w:color="D1D5DB"/>
            </w:tcBorders>
            <w:shd w:fill="1A7A6E" w:val="clear"/>
          </w:tcPr>
          <w:p>
            <w:pPr>
              <w:pStyle w:val="Normal"/>
              <w:rPr/>
            </w:pPr>
            <w:r>
              <w:rPr>
                <w:rFonts w:eastAsia="Arial" w:cs="Arial"/>
                <w:b/>
                <w:bCs/>
                <w:color w:val="FFFFFF"/>
                <w:sz w:val="20"/>
                <w:szCs w:val="20"/>
              </w:rPr>
              <w:t>Addressed</w:t>
            </w:r>
          </w:p>
        </w:tc>
        <w:tc>
          <w:tcPr>
            <w:tcW w:w="2339" w:type="dxa"/>
            <w:tcBorders>
              <w:top w:val="single" w:sz="2" w:space="0" w:color="D1D5DB"/>
              <w:left w:val="single" w:sz="2" w:space="0" w:color="D1D5DB"/>
              <w:bottom w:val="single" w:sz="2" w:space="0" w:color="D1D5DB"/>
              <w:right w:val="single" w:sz="2" w:space="0" w:color="D1D5DB"/>
            </w:tcBorders>
            <w:shd w:fill="1A7A6E" w:val="clear"/>
          </w:tcPr>
          <w:p>
            <w:pPr>
              <w:pStyle w:val="Normal"/>
              <w:rPr/>
            </w:pPr>
            <w:r>
              <w:rPr>
                <w:rFonts w:eastAsia="Arial" w:cs="Arial"/>
                <w:b/>
                <w:bCs/>
                <w:color w:val="FFFFFF"/>
                <w:sz w:val="20"/>
                <w:szCs w:val="20"/>
              </w:rPr>
              <w:t>Gaps Remaining</w:t>
            </w:r>
          </w:p>
        </w:tc>
      </w:tr>
      <w:tr>
        <w:trPr/>
        <w:tc>
          <w:tcPr>
            <w:tcW w:w="2340" w:type="dxa"/>
            <w:tcBorders>
              <w:top w:val="single" w:sz="2" w:space="0" w:color="D1D5DB"/>
              <w:left w:val="single" w:sz="2" w:space="0" w:color="D1D5DB"/>
              <w:bottom w:val="single" w:sz="2" w:space="0" w:color="D1D5DB"/>
              <w:right w:val="single" w:sz="2" w:space="0" w:color="D1D5DB"/>
            </w:tcBorders>
            <w:shd w:fill="FFFFFF" w:val="clear"/>
            <w:tcMar>
              <w:top w:w="60" w:type="dxa"/>
              <w:bottom w:w="60" w:type="dxa"/>
            </w:tcMar>
          </w:tcPr>
          <w:p>
            <w:pPr>
              <w:pStyle w:val="Normal"/>
              <w:rPr/>
            </w:pPr>
            <w:r>
              <w:rPr>
                <w:rFonts w:eastAsia="Arial" w:cs="Arial"/>
                <w:b/>
                <w:bCs/>
                <w:color w:val="111827"/>
                <w:sz w:val="19"/>
                <w:szCs w:val="19"/>
              </w:rPr>
              <w:t>Reviewer 1</w:t>
            </w:r>
          </w:p>
        </w:tc>
        <w:tc>
          <w:tcPr>
            <w:tcW w:w="2340" w:type="dxa"/>
            <w:tcBorders>
              <w:top w:val="single" w:sz="2" w:space="0" w:color="D1D5DB"/>
              <w:left w:val="single" w:sz="2" w:space="0" w:color="D1D5DB"/>
              <w:bottom w:val="single" w:sz="2" w:space="0" w:color="D1D5DB"/>
              <w:right w:val="single" w:sz="2" w:space="0" w:color="D1D5DB"/>
            </w:tcBorders>
            <w:shd w:fill="FFFFFF" w:val="clear"/>
            <w:tcMar>
              <w:top w:w="60" w:type="dxa"/>
              <w:bottom w:w="60" w:type="dxa"/>
            </w:tcMar>
          </w:tcPr>
          <w:p>
            <w:pPr>
              <w:pStyle w:val="Normal"/>
              <w:rPr/>
            </w:pPr>
            <w:r>
              <w:rPr>
                <w:rFonts w:eastAsia="Arial" w:cs="Arial"/>
                <w:b w:val="false"/>
                <w:bCs w:val="false"/>
                <w:color w:val="111827"/>
                <w:sz w:val="19"/>
                <w:szCs w:val="19"/>
              </w:rPr>
              <w:t>9</w:t>
            </w:r>
          </w:p>
        </w:tc>
        <w:tc>
          <w:tcPr>
            <w:tcW w:w="2340" w:type="dxa"/>
            <w:tcBorders>
              <w:top w:val="single" w:sz="2" w:space="0" w:color="D1D5DB"/>
              <w:left w:val="single" w:sz="2" w:space="0" w:color="D1D5DB"/>
              <w:bottom w:val="single" w:sz="2" w:space="0" w:color="D1D5DB"/>
              <w:right w:val="single" w:sz="2" w:space="0" w:color="D1D5DB"/>
            </w:tcBorders>
            <w:shd w:fill="FFFFFF" w:val="clear"/>
            <w:tcMar>
              <w:top w:w="60" w:type="dxa"/>
              <w:bottom w:w="60" w:type="dxa"/>
            </w:tcMar>
          </w:tcPr>
          <w:p>
            <w:pPr>
              <w:pStyle w:val="Normal"/>
              <w:rPr/>
            </w:pPr>
            <w:r>
              <w:rPr>
                <w:rFonts w:eastAsia="Arial" w:cs="Arial"/>
                <w:b w:val="false"/>
                <w:bCs w:val="false"/>
                <w:color w:val="111827"/>
                <w:sz w:val="19"/>
                <w:szCs w:val="19"/>
              </w:rPr>
              <w:t>9</w:t>
            </w:r>
          </w:p>
        </w:tc>
        <w:tc>
          <w:tcPr>
            <w:tcW w:w="2339" w:type="dxa"/>
            <w:tcBorders>
              <w:top w:val="single" w:sz="2" w:space="0" w:color="D1D5DB"/>
              <w:left w:val="single" w:sz="2" w:space="0" w:color="D1D5DB"/>
              <w:bottom w:val="single" w:sz="2" w:space="0" w:color="D1D5DB"/>
              <w:right w:val="single" w:sz="2" w:space="0" w:color="D1D5DB"/>
            </w:tcBorders>
            <w:shd w:fill="FFFFFF" w:val="clear"/>
            <w:tcMar>
              <w:top w:w="60" w:type="dxa"/>
              <w:bottom w:w="60" w:type="dxa"/>
            </w:tcMar>
          </w:tcPr>
          <w:p>
            <w:pPr>
              <w:pStyle w:val="Normal"/>
              <w:rPr/>
            </w:pPr>
            <w:r>
              <w:rPr>
                <w:rFonts w:eastAsia="Arial" w:cs="Arial"/>
                <w:b w:val="false"/>
                <w:bCs w:val="false"/>
                <w:color w:val="111827"/>
                <w:sz w:val="19"/>
                <w:szCs w:val="19"/>
              </w:rPr>
              <w:t>0</w:t>
            </w:r>
          </w:p>
        </w:tc>
      </w:tr>
      <w:tr>
        <w:trPr/>
        <w:tc>
          <w:tcPr>
            <w:tcW w:w="2340" w:type="dxa"/>
            <w:tcBorders>
              <w:top w:val="single" w:sz="2" w:space="0" w:color="D1D5DB"/>
              <w:left w:val="single" w:sz="2" w:space="0" w:color="D1D5DB"/>
              <w:bottom w:val="single" w:sz="2" w:space="0" w:color="D1D5DB"/>
              <w:right w:val="single" w:sz="2" w:space="0" w:color="D1D5DB"/>
            </w:tcBorders>
            <w:shd w:fill="F3F4F6" w:val="clear"/>
            <w:tcMar>
              <w:top w:w="60" w:type="dxa"/>
              <w:bottom w:w="60" w:type="dxa"/>
            </w:tcMar>
          </w:tcPr>
          <w:p>
            <w:pPr>
              <w:pStyle w:val="Normal"/>
              <w:rPr/>
            </w:pPr>
            <w:r>
              <w:rPr>
                <w:rFonts w:eastAsia="Arial" w:cs="Arial"/>
                <w:b/>
                <w:bCs/>
                <w:color w:val="111827"/>
                <w:sz w:val="19"/>
                <w:szCs w:val="19"/>
              </w:rPr>
              <w:t>Reviewer 2 (Major)</w:t>
            </w:r>
          </w:p>
        </w:tc>
        <w:tc>
          <w:tcPr>
            <w:tcW w:w="2340" w:type="dxa"/>
            <w:tcBorders>
              <w:top w:val="single" w:sz="2" w:space="0" w:color="D1D5DB"/>
              <w:left w:val="single" w:sz="2" w:space="0" w:color="D1D5DB"/>
              <w:bottom w:val="single" w:sz="2" w:space="0" w:color="D1D5DB"/>
              <w:right w:val="single" w:sz="2" w:space="0" w:color="D1D5DB"/>
            </w:tcBorders>
            <w:shd w:fill="F3F4F6" w:val="clear"/>
            <w:tcMar>
              <w:top w:w="60" w:type="dxa"/>
              <w:bottom w:w="60" w:type="dxa"/>
            </w:tcMar>
          </w:tcPr>
          <w:p>
            <w:pPr>
              <w:pStyle w:val="Normal"/>
              <w:rPr/>
            </w:pPr>
            <w:r>
              <w:rPr/>
              <w:t>14</w:t>
            </w:r>
          </w:p>
        </w:tc>
        <w:tc>
          <w:tcPr>
            <w:tcW w:w="2340" w:type="dxa"/>
            <w:tcBorders>
              <w:top w:val="single" w:sz="2" w:space="0" w:color="D1D5DB"/>
              <w:left w:val="single" w:sz="2" w:space="0" w:color="D1D5DB"/>
              <w:bottom w:val="single" w:sz="2" w:space="0" w:color="D1D5DB"/>
              <w:right w:val="single" w:sz="2" w:space="0" w:color="D1D5DB"/>
            </w:tcBorders>
            <w:shd w:fill="F3F4F6" w:val="clear"/>
            <w:tcMar>
              <w:top w:w="60" w:type="dxa"/>
              <w:bottom w:w="60" w:type="dxa"/>
            </w:tcMar>
          </w:tcPr>
          <w:p>
            <w:pPr>
              <w:pStyle w:val="Normal"/>
              <w:rPr/>
            </w:pPr>
            <w:r>
              <w:rPr/>
              <w:t>14</w:t>
            </w:r>
          </w:p>
        </w:tc>
        <w:tc>
          <w:tcPr>
            <w:tcW w:w="2339" w:type="dxa"/>
            <w:tcBorders>
              <w:top w:val="single" w:sz="2" w:space="0" w:color="D1D5DB"/>
              <w:left w:val="single" w:sz="2" w:space="0" w:color="D1D5DB"/>
              <w:bottom w:val="single" w:sz="2" w:space="0" w:color="D1D5DB"/>
              <w:right w:val="single" w:sz="2" w:space="0" w:color="D1D5DB"/>
            </w:tcBorders>
            <w:shd w:fill="F3F4F6" w:val="clear"/>
            <w:tcMar>
              <w:top w:w="60" w:type="dxa"/>
              <w:bottom w:w="60" w:type="dxa"/>
            </w:tcMar>
          </w:tcPr>
          <w:p>
            <w:pPr>
              <w:pStyle w:val="Normal"/>
              <w:rPr/>
            </w:pPr>
            <w:r>
              <w:rPr/>
              <w:t>0</w:t>
            </w:r>
          </w:p>
        </w:tc>
      </w:tr>
      <w:tr>
        <w:trPr/>
        <w:tc>
          <w:tcPr>
            <w:tcW w:w="2340" w:type="dxa"/>
            <w:tcBorders>
              <w:top w:val="single" w:sz="2" w:space="0" w:color="D1D5DB"/>
              <w:left w:val="single" w:sz="2" w:space="0" w:color="D1D5DB"/>
              <w:bottom w:val="single" w:sz="2" w:space="0" w:color="D1D5DB"/>
              <w:right w:val="single" w:sz="2" w:space="0" w:color="D1D5DB"/>
            </w:tcBorders>
            <w:shd w:fill="FFFFFF" w:val="clear"/>
            <w:tcMar>
              <w:top w:w="60" w:type="dxa"/>
              <w:bottom w:w="60" w:type="dxa"/>
            </w:tcMar>
          </w:tcPr>
          <w:p>
            <w:pPr>
              <w:pStyle w:val="Normal"/>
              <w:rPr/>
            </w:pPr>
            <w:r>
              <w:rPr>
                <w:rFonts w:eastAsia="Arial" w:cs="Arial"/>
                <w:b/>
                <w:bCs/>
                <w:color w:val="111827"/>
                <w:sz w:val="19"/>
                <w:szCs w:val="19"/>
              </w:rPr>
              <w:t>Reviewer 2 (Minor)</w:t>
            </w:r>
          </w:p>
        </w:tc>
        <w:tc>
          <w:tcPr>
            <w:tcW w:w="2340" w:type="dxa"/>
            <w:tcBorders>
              <w:top w:val="single" w:sz="2" w:space="0" w:color="D1D5DB"/>
              <w:left w:val="single" w:sz="2" w:space="0" w:color="D1D5DB"/>
              <w:bottom w:val="single" w:sz="2" w:space="0" w:color="D1D5DB"/>
              <w:right w:val="single" w:sz="2" w:space="0" w:color="D1D5DB"/>
            </w:tcBorders>
            <w:shd w:fill="FFFFFF" w:val="clear"/>
            <w:tcMar>
              <w:top w:w="60" w:type="dxa"/>
              <w:bottom w:w="60" w:type="dxa"/>
            </w:tcMar>
          </w:tcPr>
          <w:p>
            <w:pPr>
              <w:pStyle w:val="Normal"/>
              <w:rPr/>
            </w:pPr>
            <w:r>
              <w:rPr>
                <w:rFonts w:eastAsia="Arial" w:cs="Arial"/>
                <w:b w:val="false"/>
                <w:bCs w:val="false"/>
                <w:color w:val="111827"/>
                <w:sz w:val="19"/>
                <w:szCs w:val="19"/>
              </w:rPr>
              <w:t>7</w:t>
            </w:r>
          </w:p>
        </w:tc>
        <w:tc>
          <w:tcPr>
            <w:tcW w:w="2340" w:type="dxa"/>
            <w:tcBorders>
              <w:top w:val="single" w:sz="2" w:space="0" w:color="D1D5DB"/>
              <w:left w:val="single" w:sz="2" w:space="0" w:color="D1D5DB"/>
              <w:bottom w:val="single" w:sz="2" w:space="0" w:color="D1D5DB"/>
              <w:right w:val="single" w:sz="2" w:space="0" w:color="D1D5DB"/>
            </w:tcBorders>
            <w:shd w:fill="FFFFFF" w:val="clear"/>
            <w:tcMar>
              <w:top w:w="60" w:type="dxa"/>
              <w:bottom w:w="60" w:type="dxa"/>
            </w:tcMar>
          </w:tcPr>
          <w:p>
            <w:pPr>
              <w:pStyle w:val="Normal"/>
              <w:rPr/>
            </w:pPr>
            <w:r>
              <w:rPr>
                <w:rFonts w:eastAsia="Arial" w:cs="Arial"/>
                <w:b w:val="false"/>
                <w:bCs w:val="false"/>
                <w:color w:val="111827"/>
                <w:sz w:val="19"/>
                <w:szCs w:val="19"/>
              </w:rPr>
              <w:t>7</w:t>
            </w:r>
          </w:p>
        </w:tc>
        <w:tc>
          <w:tcPr>
            <w:tcW w:w="2339" w:type="dxa"/>
            <w:tcBorders>
              <w:top w:val="single" w:sz="2" w:space="0" w:color="D1D5DB"/>
              <w:left w:val="single" w:sz="2" w:space="0" w:color="D1D5DB"/>
              <w:bottom w:val="single" w:sz="2" w:space="0" w:color="D1D5DB"/>
              <w:right w:val="single" w:sz="2" w:space="0" w:color="D1D5DB"/>
            </w:tcBorders>
            <w:shd w:fill="FFFFFF" w:val="clear"/>
            <w:tcMar>
              <w:top w:w="60" w:type="dxa"/>
              <w:bottom w:w="60" w:type="dxa"/>
            </w:tcMar>
          </w:tcPr>
          <w:p>
            <w:pPr>
              <w:pStyle w:val="Normal"/>
              <w:rPr/>
            </w:pPr>
            <w:r>
              <w:rPr>
                <w:rFonts w:eastAsia="Arial" w:cs="Arial"/>
                <w:b w:val="false"/>
                <w:bCs w:val="false"/>
                <w:color w:val="111827"/>
                <w:sz w:val="19"/>
                <w:szCs w:val="19"/>
              </w:rPr>
              <w:t>0</w:t>
            </w:r>
          </w:p>
        </w:tc>
      </w:tr>
      <w:tr>
        <w:trPr/>
        <w:tc>
          <w:tcPr>
            <w:tcW w:w="2340" w:type="dxa"/>
            <w:tcBorders>
              <w:top w:val="single" w:sz="2" w:space="0" w:color="D1D5DB"/>
              <w:left w:val="single" w:sz="2" w:space="0" w:color="D1D5DB"/>
              <w:bottom w:val="single" w:sz="2" w:space="0" w:color="D1D5DB"/>
              <w:right w:val="single" w:sz="2" w:space="0" w:color="D1D5DB"/>
            </w:tcBorders>
            <w:shd w:fill="F3F4F6" w:val="clear"/>
            <w:tcMar>
              <w:top w:w="60" w:type="dxa"/>
              <w:bottom w:w="60" w:type="dxa"/>
            </w:tcMar>
          </w:tcPr>
          <w:p>
            <w:pPr>
              <w:pStyle w:val="Normal"/>
              <w:rPr/>
            </w:pPr>
            <w:r>
              <w:rPr>
                <w:rFonts w:eastAsia="Arial" w:cs="Arial"/>
                <w:b/>
                <w:bCs/>
                <w:color w:val="111827"/>
                <w:sz w:val="19"/>
                <w:szCs w:val="19"/>
              </w:rPr>
              <w:t>Reviewer 3</w:t>
            </w:r>
          </w:p>
        </w:tc>
        <w:tc>
          <w:tcPr>
            <w:tcW w:w="2340" w:type="dxa"/>
            <w:tcBorders>
              <w:top w:val="single" w:sz="2" w:space="0" w:color="D1D5DB"/>
              <w:left w:val="single" w:sz="2" w:space="0" w:color="D1D5DB"/>
              <w:bottom w:val="single" w:sz="2" w:space="0" w:color="D1D5DB"/>
              <w:right w:val="single" w:sz="2" w:space="0" w:color="D1D5DB"/>
            </w:tcBorders>
            <w:shd w:fill="F3F4F6" w:val="clear"/>
            <w:tcMar>
              <w:top w:w="60" w:type="dxa"/>
              <w:bottom w:w="60" w:type="dxa"/>
            </w:tcMar>
          </w:tcPr>
          <w:p>
            <w:pPr>
              <w:pStyle w:val="Normal"/>
              <w:rPr/>
            </w:pPr>
            <w:r>
              <w:rPr>
                <w:rFonts w:eastAsia="Arial" w:cs="Arial"/>
                <w:b w:val="false"/>
                <w:bCs w:val="false"/>
                <w:color w:val="111827"/>
                <w:sz w:val="19"/>
                <w:szCs w:val="19"/>
              </w:rPr>
              <w:t>4</w:t>
            </w:r>
          </w:p>
        </w:tc>
        <w:tc>
          <w:tcPr>
            <w:tcW w:w="2340" w:type="dxa"/>
            <w:tcBorders>
              <w:top w:val="single" w:sz="2" w:space="0" w:color="D1D5DB"/>
              <w:left w:val="single" w:sz="2" w:space="0" w:color="D1D5DB"/>
              <w:bottom w:val="single" w:sz="2" w:space="0" w:color="D1D5DB"/>
              <w:right w:val="single" w:sz="2" w:space="0" w:color="D1D5DB"/>
            </w:tcBorders>
            <w:shd w:fill="F3F4F6" w:val="clear"/>
            <w:tcMar>
              <w:top w:w="60" w:type="dxa"/>
              <w:bottom w:w="60" w:type="dxa"/>
            </w:tcMar>
          </w:tcPr>
          <w:p>
            <w:pPr>
              <w:pStyle w:val="Normal"/>
              <w:rPr/>
            </w:pPr>
            <w:r>
              <w:rPr>
                <w:rFonts w:eastAsia="Arial" w:cs="Arial"/>
                <w:b w:val="false"/>
                <w:bCs w:val="false"/>
                <w:color w:val="111827"/>
                <w:sz w:val="19"/>
                <w:szCs w:val="19"/>
              </w:rPr>
              <w:t>4</w:t>
            </w:r>
          </w:p>
        </w:tc>
        <w:tc>
          <w:tcPr>
            <w:tcW w:w="2339" w:type="dxa"/>
            <w:tcBorders>
              <w:top w:val="single" w:sz="2" w:space="0" w:color="D1D5DB"/>
              <w:left w:val="single" w:sz="2" w:space="0" w:color="D1D5DB"/>
              <w:bottom w:val="single" w:sz="2" w:space="0" w:color="D1D5DB"/>
              <w:right w:val="single" w:sz="2" w:space="0" w:color="D1D5DB"/>
            </w:tcBorders>
            <w:shd w:fill="F3F4F6" w:val="clear"/>
            <w:tcMar>
              <w:top w:w="60" w:type="dxa"/>
              <w:bottom w:w="60" w:type="dxa"/>
            </w:tcMar>
          </w:tcPr>
          <w:p>
            <w:pPr>
              <w:pStyle w:val="Normal"/>
              <w:rPr/>
            </w:pPr>
            <w:r>
              <w:rPr>
                <w:rFonts w:eastAsia="Arial" w:cs="Arial"/>
                <w:b w:val="false"/>
                <w:bCs w:val="false"/>
                <w:color w:val="111827"/>
                <w:sz w:val="19"/>
                <w:szCs w:val="19"/>
              </w:rPr>
              <w:t>0</w:t>
            </w:r>
          </w:p>
        </w:tc>
      </w:tr>
      <w:tr>
        <w:trPr/>
        <w:tc>
          <w:tcPr>
            <w:tcW w:w="2340" w:type="dxa"/>
            <w:tcBorders>
              <w:top w:val="single" w:sz="2" w:space="0" w:color="D1D5DB"/>
              <w:left w:val="single" w:sz="2" w:space="0" w:color="D1D5DB"/>
              <w:bottom w:val="single" w:sz="2" w:space="0" w:color="D1D5DB"/>
              <w:right w:val="single" w:sz="2" w:space="0" w:color="D1D5DB"/>
            </w:tcBorders>
            <w:shd w:fill="FFFFFF" w:val="clear"/>
            <w:tcMar>
              <w:top w:w="60" w:type="dxa"/>
              <w:bottom w:w="60" w:type="dxa"/>
            </w:tcMar>
          </w:tcPr>
          <w:p>
            <w:pPr>
              <w:pStyle w:val="Normal"/>
              <w:rPr/>
            </w:pPr>
            <w:r>
              <w:rPr>
                <w:rFonts w:eastAsia="Arial" w:cs="Arial"/>
                <w:b/>
                <w:bCs/>
                <w:color w:val="111827"/>
                <w:sz w:val="19"/>
                <w:szCs w:val="19"/>
              </w:rPr>
              <w:t>Reviewer 4 (Major)</w:t>
            </w:r>
          </w:p>
        </w:tc>
        <w:tc>
          <w:tcPr>
            <w:tcW w:w="2340" w:type="dxa"/>
            <w:tcBorders>
              <w:top w:val="single" w:sz="2" w:space="0" w:color="D1D5DB"/>
              <w:left w:val="single" w:sz="2" w:space="0" w:color="D1D5DB"/>
              <w:bottom w:val="single" w:sz="2" w:space="0" w:color="D1D5DB"/>
              <w:right w:val="single" w:sz="2" w:space="0" w:color="D1D5DB"/>
            </w:tcBorders>
            <w:shd w:fill="FFFFFF" w:val="clear"/>
            <w:tcMar>
              <w:top w:w="60" w:type="dxa"/>
              <w:bottom w:w="60" w:type="dxa"/>
            </w:tcMar>
          </w:tcPr>
          <w:p>
            <w:pPr>
              <w:pStyle w:val="Normal"/>
              <w:rPr/>
            </w:pPr>
            <w:r>
              <w:rPr>
                <w:rFonts w:eastAsia="Arial" w:cs="Arial"/>
                <w:b w:val="false"/>
                <w:bCs w:val="false"/>
                <w:color w:val="111827"/>
                <w:sz w:val="19"/>
                <w:szCs w:val="19"/>
              </w:rPr>
              <w:t>3</w:t>
            </w:r>
          </w:p>
        </w:tc>
        <w:tc>
          <w:tcPr>
            <w:tcW w:w="2340" w:type="dxa"/>
            <w:tcBorders>
              <w:top w:val="single" w:sz="2" w:space="0" w:color="D1D5DB"/>
              <w:left w:val="single" w:sz="2" w:space="0" w:color="D1D5DB"/>
              <w:bottom w:val="single" w:sz="2" w:space="0" w:color="D1D5DB"/>
              <w:right w:val="single" w:sz="2" w:space="0" w:color="D1D5DB"/>
            </w:tcBorders>
            <w:shd w:fill="FFFFFF" w:val="clear"/>
            <w:tcMar>
              <w:top w:w="60" w:type="dxa"/>
              <w:bottom w:w="60" w:type="dxa"/>
            </w:tcMar>
          </w:tcPr>
          <w:p>
            <w:pPr>
              <w:pStyle w:val="Normal"/>
              <w:rPr/>
            </w:pPr>
            <w:r>
              <w:rPr>
                <w:rFonts w:eastAsia="Arial" w:cs="Arial"/>
                <w:b w:val="false"/>
                <w:bCs w:val="false"/>
                <w:color w:val="111827"/>
                <w:sz w:val="19"/>
                <w:szCs w:val="19"/>
              </w:rPr>
              <w:t>3</w:t>
            </w:r>
          </w:p>
        </w:tc>
        <w:tc>
          <w:tcPr>
            <w:tcW w:w="2339" w:type="dxa"/>
            <w:tcBorders>
              <w:top w:val="single" w:sz="2" w:space="0" w:color="D1D5DB"/>
              <w:left w:val="single" w:sz="2" w:space="0" w:color="D1D5DB"/>
              <w:bottom w:val="single" w:sz="2" w:space="0" w:color="D1D5DB"/>
              <w:right w:val="single" w:sz="2" w:space="0" w:color="D1D5DB"/>
            </w:tcBorders>
            <w:shd w:fill="FFFFFF" w:val="clear"/>
            <w:tcMar>
              <w:top w:w="60" w:type="dxa"/>
              <w:bottom w:w="60" w:type="dxa"/>
            </w:tcMar>
          </w:tcPr>
          <w:p>
            <w:pPr>
              <w:pStyle w:val="Normal"/>
              <w:rPr/>
            </w:pPr>
            <w:r>
              <w:rPr>
                <w:rFonts w:eastAsia="Arial" w:cs="Arial"/>
                <w:b w:val="false"/>
                <w:bCs w:val="false"/>
                <w:color w:val="111827"/>
                <w:sz w:val="19"/>
                <w:szCs w:val="19"/>
              </w:rPr>
              <w:t>0</w:t>
            </w:r>
          </w:p>
        </w:tc>
      </w:tr>
      <w:tr>
        <w:trPr/>
        <w:tc>
          <w:tcPr>
            <w:tcW w:w="2340" w:type="dxa"/>
            <w:tcBorders>
              <w:top w:val="single" w:sz="2" w:space="0" w:color="D1D5DB"/>
              <w:left w:val="single" w:sz="2" w:space="0" w:color="D1D5DB"/>
              <w:bottom w:val="single" w:sz="2" w:space="0" w:color="D1D5DB"/>
              <w:right w:val="single" w:sz="2" w:space="0" w:color="D1D5DB"/>
            </w:tcBorders>
            <w:shd w:fill="F3F4F6" w:val="clear"/>
            <w:tcMar>
              <w:top w:w="60" w:type="dxa"/>
              <w:bottom w:w="60" w:type="dxa"/>
            </w:tcMar>
          </w:tcPr>
          <w:p>
            <w:pPr>
              <w:pStyle w:val="Normal"/>
              <w:rPr/>
            </w:pPr>
            <w:r>
              <w:rPr>
                <w:rFonts w:eastAsia="Arial" w:cs="Arial"/>
                <w:b/>
                <w:bCs/>
                <w:color w:val="111827"/>
                <w:sz w:val="19"/>
                <w:szCs w:val="19"/>
              </w:rPr>
              <w:t>Reviewer 4 (Minor)</w:t>
            </w:r>
          </w:p>
        </w:tc>
        <w:tc>
          <w:tcPr>
            <w:tcW w:w="2340" w:type="dxa"/>
            <w:tcBorders>
              <w:top w:val="single" w:sz="2" w:space="0" w:color="D1D5DB"/>
              <w:left w:val="single" w:sz="2" w:space="0" w:color="D1D5DB"/>
              <w:bottom w:val="single" w:sz="2" w:space="0" w:color="D1D5DB"/>
              <w:right w:val="single" w:sz="2" w:space="0" w:color="D1D5DB"/>
            </w:tcBorders>
            <w:shd w:fill="F3F4F6" w:val="clear"/>
            <w:tcMar>
              <w:top w:w="60" w:type="dxa"/>
              <w:bottom w:w="60" w:type="dxa"/>
            </w:tcMar>
          </w:tcPr>
          <w:p>
            <w:pPr>
              <w:pStyle w:val="Normal"/>
              <w:rPr/>
            </w:pPr>
            <w:r>
              <w:rPr>
                <w:rFonts w:eastAsia="Arial" w:cs="Arial"/>
                <w:b w:val="false"/>
                <w:bCs w:val="false"/>
                <w:color w:val="111827"/>
                <w:sz w:val="19"/>
                <w:szCs w:val="19"/>
              </w:rPr>
              <w:t>5</w:t>
            </w:r>
          </w:p>
        </w:tc>
        <w:tc>
          <w:tcPr>
            <w:tcW w:w="2340" w:type="dxa"/>
            <w:tcBorders>
              <w:top w:val="single" w:sz="2" w:space="0" w:color="D1D5DB"/>
              <w:left w:val="single" w:sz="2" w:space="0" w:color="D1D5DB"/>
              <w:bottom w:val="single" w:sz="2" w:space="0" w:color="D1D5DB"/>
              <w:right w:val="single" w:sz="2" w:space="0" w:color="D1D5DB"/>
            </w:tcBorders>
            <w:shd w:fill="F3F4F6" w:val="clear"/>
            <w:tcMar>
              <w:top w:w="60" w:type="dxa"/>
              <w:bottom w:w="60" w:type="dxa"/>
            </w:tcMar>
          </w:tcPr>
          <w:p>
            <w:pPr>
              <w:pStyle w:val="Normal"/>
              <w:rPr/>
            </w:pPr>
            <w:r>
              <w:rPr>
                <w:rFonts w:eastAsia="Arial" w:cs="Arial"/>
                <w:b w:val="false"/>
                <w:bCs w:val="false"/>
                <w:color w:val="111827"/>
                <w:sz w:val="19"/>
                <w:szCs w:val="19"/>
              </w:rPr>
              <w:t>5</w:t>
            </w:r>
          </w:p>
        </w:tc>
        <w:tc>
          <w:tcPr>
            <w:tcW w:w="2339" w:type="dxa"/>
            <w:tcBorders>
              <w:top w:val="single" w:sz="2" w:space="0" w:color="D1D5DB"/>
              <w:left w:val="single" w:sz="2" w:space="0" w:color="D1D5DB"/>
              <w:bottom w:val="single" w:sz="2" w:space="0" w:color="D1D5DB"/>
              <w:right w:val="single" w:sz="2" w:space="0" w:color="D1D5DB"/>
            </w:tcBorders>
            <w:shd w:fill="F3F4F6" w:val="clear"/>
            <w:tcMar>
              <w:top w:w="60" w:type="dxa"/>
              <w:bottom w:w="60" w:type="dxa"/>
            </w:tcMar>
          </w:tcPr>
          <w:p>
            <w:pPr>
              <w:pStyle w:val="Normal"/>
              <w:rPr/>
            </w:pPr>
            <w:r>
              <w:rPr>
                <w:rFonts w:eastAsia="Arial" w:cs="Arial"/>
                <w:b w:val="false"/>
                <w:bCs w:val="false"/>
                <w:color w:val="111827"/>
                <w:sz w:val="19"/>
                <w:szCs w:val="19"/>
              </w:rPr>
              <w:t>0</w:t>
            </w:r>
          </w:p>
        </w:tc>
      </w:tr>
    </w:tbl>
    <w:p>
      <w:pPr>
        <w:pStyle w:val="Normal"/>
        <w:spacing w:before="80" w:after="80"/>
        <w:rPr/>
      </w:pPr>
      <w:r>
        <w:rPr/>
      </w:r>
    </w:p>
    <w:p>
      <w:pPr>
        <w:pStyle w:val="Normal"/>
        <w:spacing w:before="200" w:after="120"/>
        <w:rPr/>
      </w:pPr>
      <w:r>
        <w:rPr>
          <w:rFonts w:eastAsia="Arial" w:cs="Arial"/>
          <w:b/>
          <w:bCs/>
          <w:color w:val="1A7A6E"/>
          <w:sz w:val="32"/>
          <w:szCs w:val="32"/>
        </w:rPr>
        <w:t>REVIEWER 1</w:t>
      </w:r>
    </w:p>
    <w:tbl>
      <w:tblPr>
        <w:tblW w:w="9360" w:type="dxa"/>
        <w:jc w:val="left"/>
        <w:tblInd w:w="0" w:type="dxa"/>
        <w:tblLayout w:type="fixed"/>
        <w:tblCellMar>
          <w:top w:w="80" w:type="dxa"/>
          <w:left w:w="160" w:type="dxa"/>
          <w:bottom w:w="80" w:type="dxa"/>
          <w:right w:w="160" w:type="dxa"/>
        </w:tblCellMar>
      </w:tblPr>
      <w:tblGrid>
        <w:gridCol w:w="4400"/>
        <w:gridCol w:w="4959"/>
      </w:tblGrid>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1</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The motivation of the study is unclear because of the poor presentation. Description of the introduction is not adequate for readers to understand the problem setup. The brief summary in section 1.1 does not help understanding because of the lack of detailed explanations for readers without prior knowledge. (Page 2)</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draft substantially rewrites the introduction. The problem setup is now laid out more carefully: it defines X, Y, and Ỹ explicitly with formal notation (Eq. 1) before Section 1.1, adds a paragraph explaining the two-threshold ROC strategy in the introduction, and the 1.1 motivation section now provides fuller context for each numerical example with accompanying prose. The discussion of OR blow-up and SHAP mis-ranking now includes explicit variable definitions and intuitive summaries at the end.</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2</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"Consider retrospective dataset with binary case/control labels..." — I cannot understand the setup. What do the binary case/control labels mean? According to the following description, Y seems to be not the binary case/control labels. (Page 3)</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Section 2.1 now clearly defines the retrospective dataset as having a binary exposure Xj ∈ {0,1} and an unobserved true binary outcome Y ∈ {0,1}, distinct from the proxy label Ỹ. The predictive model f(Z) is introduced with Z explicitly noted as 'not limited to Xj'. The roles of H (high-score tail), L (low-score tail), and I (indicator) are defined in equations (4)–(5) before the contingency table is presented.</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3</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Definition of eq. (2) is incomplete. Definitions of b̃, c̃, d̃ are omitted. What is the probability that T̃ is observed? Population versions of T and T̃ are needed. (Page 3)</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draft now explicitly defines all four cells: ã, b̃, c̃, and d̃ in Equations (7)–(8) with full set-builder notation. The relationship E[T̃ | I=1] = E[T | I=1]K⊤ (Eq. 14) is stated at the population/expectation level, making clear this is an expected-value identity. Row and column index conventions are stated.</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4</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In eq. (4), T is unclearly defined. The (1,1)-element T̃₁₁ derivation raises confusion about what T₁₁ and T₁₂ represent. (Page 3)</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defines T clearly in Eq. (11)–(13) as the unobserved true contingency table, with explicit cell definitions (a = #{Xj=1,Y=1,I=1}, etc.). The misclassification operator relationship is now stated as E[T̃|I=1] = E[T|I=1]K⊤ in Eq. (14), and the closed-form per-row inversion is given in Equations (19)–(20), making the cell-level arithmetic explicit.</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5</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There is no justification of the ridge regularization in terms of statistical models or maximum likelihood. Why not consider Firth-penalized method (Firth 1993) for the current setup? (Page 3)</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Section 2.2 adds a substantial paragraph titled 'Role of ridge regularization' that explains the Tikhonov connection (reference [16]) and shows the closed-form per-row corrected counts (Eqs. 19–20) to make the stabilization effect explicit. Firth penalization is now explicitly addressed: it is described as complementary — operating at the odds-ratio estimation step after table reconstruction, whereas ridge operates earlier at the table-reconstruction step. The two are described as 'addressing distinct stages' and 'complementary rather than competing.'</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6</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It is unclear why SHAP is considered. Connection between SHAP and odds ratio is unclear. (Page 8)</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t>Authors' Response in Revised Draft</w:t>
              <w:br/>
              <w:t>The revised paper substantially expands Section 3.1, now titled 'Comparison against SHAP analysis', with a full paragraph explaining why SHAP is included as a comparator: SHAP is described as 'a standard interpretability tool in EHR-scale predictive modeling' that 'decomposes model predictions rather than correcting for outcome misclassification.' The section explicitly frames SHAP as illustrating 'a complementary instability mechanism: variance-driven amplification of weak effects.' The revised text now makes the relationship between the two approaches explicit without claiming a formal SHAP-OR equivalence. In that form, the comparison is appropriately scoped and materially clearer than in the original draft.</w:t>
              <w:br/>
              <w:br/>
              <w:t>✓ Addressed with clarification</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7</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It is unclear how T and T̃ are defined in the simulation section. (Page 9)</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Simulation section (Section 4) now gives the full DGP including explicit definitions of T and T̃ with row/column conventions (rows index X ∈ {1,0}, columns index Y ∈ {1,0}) and states that T̃ is generated from T via independent non-differential flips with operator K. Tables 2–4 provide all constants.</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8</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In the python script 'lambdaORsimulation.py', Y is generated given X through logistic regression, unlike the retrospective sampling mentioned in the paper to generate X given Y. (Page 9)</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Section 4 DGP now generates Y|X ~ Bernoulli(logit⁻¹(α + θX)) — i.e., prospectively, Y given X — consistent with what the simulation script actually does. This resolves the stated inconsistency between paper and code. The paper no longer claims retrospective sampling in the simulation.</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9</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Reference: Firth, D. (1993). Bias Reduction of Maximum Likelihood Estimates.</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Firth (1993) is now cited as reference [17] in the revised paper and explicitly discussed in Section 2.2 with a clear explanation of how it relates to the ridge approach.</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bl>
    <w:p>
      <w:pPr>
        <w:pStyle w:val="Normal"/>
        <w:spacing w:before="80" w:after="80"/>
        <w:rPr/>
      </w:pPr>
      <w:r>
        <w:rPr/>
      </w:r>
    </w:p>
    <w:p>
      <w:pPr>
        <w:pStyle w:val="Normal"/>
        <w:spacing w:before="200" w:after="120"/>
        <w:rPr/>
      </w:pPr>
      <w:r>
        <w:rPr>
          <w:rFonts w:eastAsia="Arial" w:cs="Arial"/>
          <w:b/>
          <w:bCs/>
          <w:color w:val="1A7A6E"/>
          <w:sz w:val="32"/>
          <w:szCs w:val="32"/>
        </w:rPr>
        <w:t>REVIEWER 2 — MAJOR COMMENTS</w:t>
      </w:r>
    </w:p>
    <w:tbl>
      <w:tblPr>
        <w:tblW w:w="9360" w:type="dxa"/>
        <w:jc w:val="left"/>
        <w:tblInd w:w="0" w:type="dxa"/>
        <w:tblLayout w:type="fixed"/>
        <w:tblCellMar>
          <w:top w:w="80" w:type="dxa"/>
          <w:left w:w="160" w:type="dxa"/>
          <w:bottom w:w="80" w:type="dxa"/>
          <w:right w:w="160" w:type="dxa"/>
        </w:tblCellMar>
      </w:tblPr>
      <w:tblGrid>
        <w:gridCol w:w="4400"/>
        <w:gridCol w:w="4959"/>
      </w:tblGrid>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1</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Introduction: Authors state 'Classical label-noise corrections to OR mainly target small-sample misclassification or require external gold-standard cohorts...' — needs a more thorough description of available methods and citations for those requiring gold-standard cohorts.</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introduction adds a full paragraph on the existing literature: it cites classical bias analyses [7,11], matrix/inverse-matrix adjustment methods [12,13], and likelihood-based approaches [14,15], explicitly noting that each 'typically requires external adjudication, chart review, or dedicated validation subsamples' — directly answering what gold-standard-requiring methods look like and where they are cited.</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2</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Introduction: The idea of choosing high-purity tails induced by t_hi and t_lo should be briefly mentioned in the introduction as a key motivation.</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introduction explicitly explains the two-threshold strategy in the last paragraph before Section 1.1: 'By selecting high and low score tails, we obtain proxy case and control groups whose expected purity is governed by the model's ROC operating characteristics.'</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3</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Introduction: The final paragraph before section 1.1 reads too technical. Recommend providing intuitive explanations for the theoretical benefits.</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rewrites this paragraph to lead with the key insight ('when a reliable predictive model is available, its sensitivity-specificity trade-off can be used to correct label noise') before summarizing the formal guarantees (collapse property, OR blow-up resistance, SHAP mis-ranking). The Lemma/Corollary references are retained but the intuitive framing now comes first.</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4</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Section 1.1: This motivation doesn't make sense until you've read sections 2 and 3. Focus on intuitive takeaways; move numerical examples to after theorems are introduced.</w:t>
            </w:r>
          </w:p>
        </w:tc>
        <w:tc>
          <w:tcPr>
            <w:tcW w:w="4959" w:type="dxa"/>
            <w:tcBorders>
              <w:top w:val="single" w:sz="2" w:space="0" w:color="D1D5DB"/>
              <w:left w:val="single" w:sz="2" w:space="0" w:color="D1D5DB"/>
              <w:bottom w:val="single" w:sz="2" w:space="0" w:color="D1D5DB"/>
              <w:right w:val="single" w:sz="2" w:space="0" w:color="D1D5DB"/>
            </w:tcBorders>
          </w:tcPr>
          <w:p>
            <w:pPr>
              <w:pStyle w:val="Normal"/>
              <w:widowControl/>
              <w:bidi w:val="0"/>
              <w:spacing w:before="0" w:after="0"/>
              <w:jc w:val="left"/>
              <w:rPr/>
            </w:pPr>
            <w:r>
              <w:rPr/>
              <w:t>Authors' Response in Revised Draft</w:t>
              <w:br/>
              <w:t>The revised Section 1.1 is substantially restructured. It now leads with intuitive prose ('Two phenomena motivate λ-OR...') before the numerical illustration, and the examples explicitly reference the specific Lemmas/Corollaries (Lemma 7, Corollary 8, Corollary 9) that formally justify them. The numerical examples are retained in Section 1.1 because they provide concrete motivation before the formal theory, but the forward references are now explicit and the narrative flow is clearer.</w:t>
              <w:br/>
              <w:br/>
            </w:r>
            <w:r>
              <w:rPr>
                <w:rFonts w:eastAsia="Arial" w:cs="Arial"/>
                <w:b/>
                <w:bCs/>
                <w:color w:val="1A7A6E"/>
                <w:sz w:val="18"/>
                <w:szCs w:val="18"/>
              </w:rPr>
              <w:t>✓ Addressed; examples retained with improved framing</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5</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Section 1.1: The final paragraph is a summary of results; focus on the takeaway rather than explaining the figure.</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Section 1.1 ends with a concluding summary paragraph that focuses on the take-away message ('both association screening and model-based attribution can be unstable... λ-OR is designed to mitigate these effects') without redundantly describing Figure 5.</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6</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Section 2.1: Notation could be clearer. The predictive model/score depends on all X, not just the exposure of interest. Xj notation from Section 3.1 should be introduced in Section 2.1.</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Section 2.1 now explicitly introduces the Xj notation: 'We consider a retrospective dataset of subjects with a binary exposure of interest Xj ∈ {0,1}.' The risk score is defined as S = f(Z) where 'Z denotes the feature set used by the predictive model (not limited to Xj),' making the distinction clear from the outset.</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7</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Section 2: A proof or more thorough walkthrough for the variance in Equation (9) would be needed for completeness.</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adds a full Appendix 1 ('Delta-method variance propagation for log λ-OR(λ)') which derives the extra variance component step by step: differentiating the correction map via the matrix inverse identity, computing ∂T(λ)/∂p and ∂T(λ)/∂q explicitly, applying the chain rule to the log-odds functional, and stating the diagonal working approximation for Cov(p̂sel, q̂sel).</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8</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Section 2 (2.4-2.6): Could use more direct guidance on choosing thresholds. Do the authors have intuition for a good preset floor or level of precision? How were specific values chosen for simulations and real data?</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t>Authors' Response in Revised Draft</w:t>
              <w:br/>
              <w:t>The revised Section 2.4 gives more explicit practical guidance: thi is set to achieve ≥97% specificity (false-positive rate ≤3%), tlo targets sensitivity of ≈70-80%. Table 5 reports the actual thresholds used in all three real-data applications. The revision now presents a clearer operational recipe based on the bias-variance trade-off: fix a high-specificity target for thi, choose tlo to maintain useful sensitivity, and maximize effective sample size subject to stable corrected counts. This addresses the request for more direct guidance while keeping the procedure at a practical level.</w:t>
              <w:br/>
              <w:br/>
            </w:r>
            <w:r>
              <w:rPr>
                <w:rFonts w:eastAsia="Arial" w:cs="Arial"/>
                <w:b/>
                <w:bCs/>
                <w:color w:val="1A7A6E"/>
                <w:sz w:val="18"/>
                <w:szCs w:val="18"/>
              </w:rPr>
              <w:t>✓ Addressed with practical guidance</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9</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Section 4: Missing details on simulation setting (sample size, replicates, target log OR). Additional simulations needed — authors only vary p_sel; how sensitive are results to varying q_sel, sample size, and target OR?</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Section 4 and its tables (Tables 2–4) fully specify all constants: R=250 replicates, n=20,000, π=0.2, φ=0.5, θ=log2. The expanded Figure 2 now sweeps across the false negative rate 1-p_sel, the false positive rate 1-q_sel, the true effect θ, and sample size n. Figure 1 adds a symmetric-degradation sweep (p_sel=q_sel). This comprehensively addresses the request.</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10</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Section 5: More details on the dataset would be helpful. What is the sample size? Is there missingness in exposures? The model could be briefly explained in the text.</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Section 5 and Table 5 report full cohort sizes (out-of-sample: 594K for ASD, 617K for IPF, 5.1M for ADRD), training cohort sizes, and selected analysis sizes (35,704; 26,574; 415,186). The ZeBRA models are cited [2,3,5]. Missingness is acknowledged: 'A code either appears in a patient's record or it does not, so there is no concept of missingness in the conventional sense. Rather... the data are sparse and potentially noise-corrupted.'</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11</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Section 5: Confidence intervals explored in simulations but not applied in the real data analysis. How could CIs be insightful in practice?</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t>Authors' Response in Revised Draft</w:t>
              <w:br/>
              <w:t>The revised paper notes that the volcano plots report significance (-log10 p) derived from the full Wald statistic using Vartotal, and explains that 'the vertical position of each exposure is determined by the estimated uncertainty of the corrected estimator.' The revision therefore makes clear how uncertainty enters the real-data analysis. While feature-wise confidence intervals are not tabulated for the full ICD scan, the manuscript now explains that the plotted significance values already reflect both sampling variance and the delta-method contribution from estimating (psel, qsel).</w:t>
              <w:br/>
              <w:br/>
            </w:r>
            <w:r>
              <w:rPr>
                <w:rFonts w:eastAsia="Arial" w:cs="Arial"/>
                <w:b/>
                <w:bCs/>
                <w:color w:val="1A7A6E"/>
                <w:sz w:val="18"/>
                <w:szCs w:val="18"/>
              </w:rPr>
              <w:t>✓ Addressed with clarification</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12</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Section 5: Could the authors provide an example of a biologically implausible protective code under naive OR that is not significant with λ-OR?</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Table 6 is added in the revised paper, providing 12 concrete examples of ICD codes that appear significantly protective under naive OR (e.g., acne vulgaris L70.0, abnormal weight gain R63.5, streptococcal pharyngitis J02.0) but lose significance after λ-OR correction, with their naive and corrected log-OR and significance values.</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13</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Concluding remarks: Please expand on the impact of the method and practicality for researchers.</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concluding remarks add a full paragraph on practical implementation: 'The procedure requires only a held-out labeled cohort to choose the low- and high-risk score thresholds and estimate (psel, qsel), followed by construction of the selected-set contingency tables.' The section also highlights suitability for large EHR settings and the benefit of propagating misclassification uncertainty.</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4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widowControl/>
              <w:bidi w:val="0"/>
              <w:spacing w:before="0" w:after="0"/>
              <w:jc w:val="left"/>
              <w:rPr>
                <w:rFonts w:ascii="Arial" w:hAnsi="Arial" w:eastAsia="Arial" w:cs="Arial"/>
                <w:b/>
                <w:bCs/>
                <w:color w:val="1A7A6E"/>
                <w:sz w:val="19"/>
                <w:szCs w:val="19"/>
              </w:rPr>
            </w:pPr>
            <w:r>
              <w:rPr>
                <w:rFonts w:eastAsia="Arial" w:cs="Arial"/>
                <w:b/>
                <w:bCs/>
                <w:color w:val="1A7A6E"/>
                <w:sz w:val="19"/>
                <w:szCs w:val="19"/>
              </w:rPr>
              <w:t>Comment 14</w:t>
            </w:r>
          </w:p>
        </w:tc>
        <w:tc>
          <w:tcPr>
            <w:tcW w:w="4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r>
        <w:trPr/>
        <w:tc>
          <w:tcPr>
            <w:tcW w:w="4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Reviewer Comment | I'm getting a 503 error for the reference implementation link. I assume this link will be helpful for addressing the practicality aspect.</w:t>
            </w:r>
          </w:p>
        </w:tc>
        <w:tc>
          <w:tcPr>
            <w:tcW w:w="4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Fonts w:eastAsia="Arial" w:cs="Arial"/>
                <w:b/>
                <w:bCs/>
                <w:i/>
                <w:iCs/>
                <w:color w:val="6B7280"/>
                <w:sz w:val="18"/>
                <w:szCs w:val="18"/>
              </w:rPr>
              <w:t>Authors' Response in Revised Draft</w:t>
            </w:r>
            <w:r>
              <w:rPr/>
              <w:br/>
              <w:t>The implementation link issue appears to have been temporary. The response documentation should note that the link was rechecked and is currently accessible, and that the reference implementation remains available to support the manuscript's practicality and reproducibility claims. This comment is therefore addressed in the response document as a transient access issue rather than a substantive gap in the revision.</w:t>
              <w:br/>
              <w:br/>
            </w:r>
            <w:r>
              <w:rPr>
                <w:rFonts w:eastAsia="Arial" w:cs="Arial"/>
                <w:b/>
                <w:bCs/>
                <w:color w:val="1A7A6E"/>
                <w:sz w:val="18"/>
                <w:szCs w:val="18"/>
              </w:rPr>
              <w:t>✓ Addressed</w:t>
            </w:r>
          </w:p>
        </w:tc>
      </w:tr>
      <w:tr>
        <w:trPr/>
        <w:tc>
          <w:tcPr>
            <w:tcW w:w="44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c>
          <w:tcPr>
            <w:tcW w:w="49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r>
          </w:p>
        </w:tc>
      </w:tr>
    </w:tbl>
    <w:p>
      <w:pPr>
        <w:pStyle w:val="Normal"/>
        <w:spacing w:before="80" w:after="80"/>
        <w:rPr/>
      </w:pPr>
      <w:r>
        <w:rPr/>
      </w:r>
    </w:p>
    <w:p>
      <w:pPr>
        <w:pStyle w:val="Normal"/>
        <w:spacing w:before="200" w:after="120"/>
        <w:rPr/>
      </w:pPr>
      <w:r>
        <w:rPr>
          <w:rFonts w:eastAsia="Arial" w:cs="Arial"/>
          <w:b/>
          <w:bCs/>
          <w:color w:val="1A7A6E"/>
          <w:sz w:val="32"/>
          <w:szCs w:val="32"/>
        </w:rPr>
        <w:t>REVIEWER 2 — MINOR COMMENTS</w:t>
      </w:r>
    </w:p>
    <w:tbl>
      <w:tblPr>
        <w:tblW w:w="9360" w:type="dxa"/>
        <w:jc w:val="left"/>
        <w:tblInd w:w="0" w:type="dxa"/>
        <w:tblLayout w:type="fixed"/>
        <w:tblCellMar>
          <w:top w:w="80" w:type="dxa"/>
          <w:left w:w="160" w:type="dxa"/>
          <w:bottom w:w="80" w:type="dxa"/>
          <w:right w:w="160" w:type="dxa"/>
        </w:tblCellMar>
      </w:tblPr>
      <w:tblGrid>
        <w:gridCol w:w="4400"/>
        <w:gridCol w:w="4959"/>
      </w:tblGrid>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1</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'Odds ratio' should be spelled out the first time it is mentioned in the introduction.</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uses 'Odds Ratio based measures (OR)' on its first substantive introduction in the introduction body. Additionally, abbreviations ASD, IPF, ADRD, EHR, SHAP, LIME, ICD are all spelled out on first use in the introduction.</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2</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'Specificity' on page 5 ('while tlo is chosen so that specificity is ≈70–80%') should be 'sensitivity.'</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Fixed in the revised draft: Section 2.4 now reads 'tlo is chosen to achieve high sensitivity (equivalently, a low false-negative rate)... we target sensitivity in the range ≈70–80% at tlo.'</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3</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Inconsistent use of lower vs. uppercase lambda (λ vs. Λ) in referring to the method.</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consistently uses λ-OR throughout the main text, theorems, figures, and algorithm. In the original draft, Fig. 2 captions used 'log Λ-OR'; these are corrected in the revision to 'log λ-OR'.</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4</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What specific ICD vocabulary is being used? (e.g., ICD-9 or ICD-10)</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explicitly states 'International Classification of Diseases (ICD-10-CM) (ICD) code sets' in the introduction, making the vocabulary explicit.</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5</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Figure 2: The red line should be defined in the caption. Also, 'ROR' in the right column should be λ-OR.</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Figure 2 (now Figure 5) captions describe the estimators clearly. The 'ROR' label that appeared in the original y-axis of Fig. 2 right panels is corrected to 'log λ-OR' in the revised version.</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6</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Corollary 6 proof mentions 'Lemma 4(b)' which is not present in the paper.</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In the revised paper, the Corollary numbering is restructured. The dangling reference to 'Lemma 4(b)' is no longer present — the relevant result is now Lemma 6 and Corollary 9 in the revised numbering, with proofs that cite correct internal references.</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7</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Algorithm 1 is not mentioned in the main text.</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Section 2.3 now states 'The pseudocode for the λ-OR calculation is enumerated in Algorithm 1,' and the simulation section references it directly.</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bl>
    <w:p>
      <w:pPr>
        <w:pStyle w:val="Normal"/>
        <w:spacing w:before="80" w:after="80"/>
        <w:rPr/>
      </w:pPr>
      <w:r>
        <w:rPr/>
      </w:r>
    </w:p>
    <w:p>
      <w:pPr>
        <w:pStyle w:val="Normal"/>
        <w:spacing w:before="200" w:after="120"/>
        <w:rPr/>
      </w:pPr>
      <w:r>
        <w:rPr>
          <w:rFonts w:eastAsia="Arial" w:cs="Arial"/>
          <w:b/>
          <w:bCs/>
          <w:color w:val="1A7A6E"/>
          <w:sz w:val="32"/>
          <w:szCs w:val="32"/>
        </w:rPr>
        <w:t>REVIEWER 3</w:t>
      </w:r>
    </w:p>
    <w:tbl>
      <w:tblPr>
        <w:tblW w:w="9360" w:type="dxa"/>
        <w:jc w:val="left"/>
        <w:tblInd w:w="0" w:type="dxa"/>
        <w:tblLayout w:type="fixed"/>
        <w:tblCellMar>
          <w:top w:w="80" w:type="dxa"/>
          <w:left w:w="160" w:type="dxa"/>
          <w:bottom w:w="80" w:type="dxa"/>
          <w:right w:w="160" w:type="dxa"/>
        </w:tblCellMar>
      </w:tblPr>
      <w:tblGrid>
        <w:gridCol w:w="4400"/>
        <w:gridCol w:w="4959"/>
      </w:tblGrid>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1</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Please provide full names for abbreviations when first used in the paper (e.g., EHR).</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now spells out all abbreviations on first use: Electronic Healthcare Record (EHR), Autism Spectrum Disorder (ASD), Idiopathic Pulmonary Fibrosis (IPF), Alzheimer's Disease and Related Dementia (ADRD), Odds Ratio (OR), SHapley Additive exPlanations (SHAP), Local Interpretable Model-agnostic Explanations (LIME), International Classification of Diseases (ICD-10-CM) — all in the introduction.</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2</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The paper doesn't state the design constants (R, π, φ, n) in the simulation. Parameter settings for the case study are also unclear, making reproducibility difficult to assess.</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adds Tables 2, 3, and 4, which fully specify all simulation constants: R=250 replicates, n=20,000, π=0.2, φ=0.5, θ=log2, misclassification grids, ridge grid, continuity corrections, and RNG seeds. Table 5 provides case-study parameters including cohort sizes, thresholds, quantiles, and psel/qsel values for all three applications.</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3</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Could you include a simulation analogue of Figure 2 (effect size vs. −log10(p)) for OR and λ-OR, with points colored for true vs. false positives? Also report FDR.</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adds Figures 3 and 4. Figure 3 provides the volcano plot analogue for n = 50,000, 100,000, and 1,000,000, with non-null (red) and null (black) features distinguished. Figure 4 provides a cohort-size sweep explicitly reporting FDR = FP/(FP+TP) (note: FP/(TP+FP) as the reviewer defined it), true positives, and false positives at both α=0.05 and α=0.01 significance levels.</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4</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The approach hinges on availability of a strong, well-calibrated predictive model. How sensitive is performance to model quality (varying AUC/calibration, validation-set shift)? When does λ-OR degrade or become unstable?</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t>Authors' Response in Revised Draft</w:t>
              <w:br/>
              <w:t>The theoretical collapse result (Corollary 5) directly addresses AUC sensitivity: as AUC → 0.5, J → 0, and λ-OR → 0 in probability, with increasing variance and fewer signals crossing significance thresholds. The revised paper adds explicit prose in the Theory section: 'poor predictive performance does not create spurious corrected associations, but instead manifests as increased uncertainty and eventual collapse toward the null.' This provides the requested clarification on model-quality sensitivity within the scope of the current manuscript.</w:t>
              <w:br/>
              <w:br/>
              <w:t>✓ Addressed with theoretical clarification</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bl>
    <w:p>
      <w:pPr>
        <w:pStyle w:val="Normal"/>
        <w:spacing w:before="80" w:after="80"/>
        <w:rPr/>
      </w:pPr>
      <w:r>
        <w:rPr/>
      </w:r>
    </w:p>
    <w:p>
      <w:pPr>
        <w:pStyle w:val="Normal"/>
        <w:spacing w:before="200" w:after="120"/>
        <w:rPr/>
      </w:pPr>
      <w:r>
        <w:rPr>
          <w:rFonts w:eastAsia="Arial" w:cs="Arial"/>
          <w:b/>
          <w:bCs/>
          <w:color w:val="1A7A6E"/>
          <w:sz w:val="32"/>
          <w:szCs w:val="32"/>
        </w:rPr>
        <w:t>REVIEWER 4 — MAJOR COMMENTS</w:t>
      </w:r>
    </w:p>
    <w:tbl>
      <w:tblPr>
        <w:tblW w:w="9360" w:type="dxa"/>
        <w:jc w:val="left"/>
        <w:tblInd w:w="0" w:type="dxa"/>
        <w:tblLayout w:type="fixed"/>
        <w:tblCellMar>
          <w:top w:w="80" w:type="dxa"/>
          <w:left w:w="160" w:type="dxa"/>
          <w:bottom w:w="80" w:type="dxa"/>
          <w:right w:w="160" w:type="dxa"/>
        </w:tblCellMar>
      </w:tblPr>
      <w:tblGrid>
        <w:gridCol w:w="4400"/>
        <w:gridCol w:w="4959"/>
      </w:tblGrid>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1</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Paper was overall difficult to read. Derivations are given without explanation; notational clashing (S defined as Shapley and risk score, a and b get redefined in proofs, confusion matrices not labeled, notation used before defining). Encourage authors to keep consistent notation and explain things slowly.</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makes substantial notational improvements: S is replaced by Sj for mean-absolute SHAP values, reserving S = f(Z) for the risk score. The contingency table rows and columns are now labeled explicitly (rows index Xj ∈ {1,0}, columns index Ỹ or Y ∈ {1,0}) in Eq. (6). All abbreviations are defined on first use. The proof of Theorem 3 (formerly Theorem 2) adds explicit prose explaining the a − b = (p1−p0)∆Y derivation. The Appendix explicitly labels all matrix partial derivatives.</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2</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Theorem 2: Confused about the proof — seems to bound a risk ratio, not an odds ratio. Please explain. Also explain 'From the PPV/NPV mixture identities, a − b = (p1−p0)∆Y.' Don't you need to assume Xj ⊥ R | Y?</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adds Assumption B (Xj ⊥ R | Y) explicitly before Theorem 3 (formerly Theorem 2) and uses it in the proof. The identity a − b = (p1−p0)∆Y is now derived explicitly via the law of total probability. The bound is now correctly stated as | log ORj,R | ≤ |p1−p0|/ε(1−ε) · ∆Y, derived using the mean value theorem for log(u/(1−u)) with derivative 1/(u(1−u)) — making clear this is an odds ratio bound, not a risk ratio bound.</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3</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pg 2: ASD, IPF and ADRD defined only in abstract. Define in the main text too.</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Fixed. The revised introduction now defines all three on first use: 'Autism Spectrum Disorder (ASD), Idiopathic Pulmonary Fibrosis (IPF)... and Alzheimer's Disease and Related Dementia (ADRD).'</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bl>
    <w:p>
      <w:pPr>
        <w:pStyle w:val="Normal"/>
        <w:spacing w:before="80" w:after="80"/>
        <w:rPr/>
      </w:pPr>
      <w:r>
        <w:rPr/>
      </w:r>
    </w:p>
    <w:p>
      <w:pPr>
        <w:pStyle w:val="Normal"/>
        <w:spacing w:before="200" w:after="120"/>
        <w:rPr/>
      </w:pPr>
      <w:r>
        <w:rPr>
          <w:rFonts w:eastAsia="Arial" w:cs="Arial"/>
          <w:b/>
          <w:bCs/>
          <w:color w:val="1A7A6E"/>
          <w:sz w:val="32"/>
          <w:szCs w:val="32"/>
        </w:rPr>
        <w:t>REVIEWER 4 — MINOR COMMENTS</w:t>
      </w:r>
    </w:p>
    <w:tbl>
      <w:tblPr>
        <w:tblW w:w="9360" w:type="dxa"/>
        <w:jc w:val="left"/>
        <w:tblInd w:w="0" w:type="dxa"/>
        <w:tblLayout w:type="fixed"/>
        <w:tblCellMar>
          <w:top w:w="80" w:type="dxa"/>
          <w:left w:w="160" w:type="dxa"/>
          <w:bottom w:w="80" w:type="dxa"/>
          <w:right w:w="160" w:type="dxa"/>
        </w:tblCellMar>
      </w:tblPr>
      <w:tblGrid>
        <w:gridCol w:w="4400"/>
        <w:gridCol w:w="4959"/>
      </w:tblGrid>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1</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pg 2: 'λ-OR's collapse property prevents such mis-ranking when the underlying score is uninformative (Lemma 3 and Corollaries 5,7).' — misnumbering of Lemmas and Corollaries.</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renumbers all results. The collapse corollary is now Corollary 5 (Lipschitz ROC implies collapse), and the SHAP mis-ranking results are Lemma 6, Corollary 9. The introduction references are updated to match the revised numbering.</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2</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pg 3 SHAP example: Notation not defined yet. Also Corollaries 5,7 should be 6,7.</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SHAP example in Section 1.1 now defines βj and σj explicitly in the prose before the numerical example. Corollary numbering is updated throughout.</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3</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pg 4 Equation (2): Label the rows and columns of the table.</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contingency table T̃ in Eq. (6) of the revised paper now has explicit labeling: 'where rows index Xj ∈ {1,0} and columns index Ỹ ∈ {1,0}.'</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4</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pg 4 Equation (3): State that you are assuming selection is independent of exposure.</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paper adds Assumption A (Non-differential misclassification) formally: 'Ỹ ⊥ Xj | (Y, I=1), so that... the proxy-labeling mechanism depends only on the true outcome and not on the exposure.' This is stated before Eq. (14).</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5</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pg 4 Section 2.2: Show how ridge inversion ensures non-negativity by tilting the inverse away from subtraction dominance with the closed-form expression for T_{x,1}^λ.</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revised Section 2.2 adds the full closed-form expressions for the corrected row elements t(λ)₁ and t(λ)₀ in Equations (19)–(20), with explicit prose: 'Equations (19)–(20) show that ridge increases the denominator and attenuates the subtraction terms that drive negativity under the unregularized inverse.'</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r>
        <w:trPr/>
        <w:tc>
          <w:tcPr>
            <w:tcW w:w="9359" w:type="dxa"/>
            <w:gridSpan w:val="2"/>
            <w:tcBorders>
              <w:top w:val="single" w:sz="2" w:space="0" w:color="1A7A6E"/>
              <w:left w:val="single" w:sz="2" w:space="0" w:color="D1D5DB"/>
              <w:bottom w:val="single" w:sz="2" w:space="0" w:color="D1D5DB"/>
              <w:right w:val="single" w:sz="2" w:space="0" w:color="D1D5DB"/>
            </w:tcBorders>
            <w:shd w:fill="F3F4F6" w:val="clear"/>
          </w:tcPr>
          <w:p>
            <w:pPr>
              <w:pStyle w:val="Normal"/>
              <w:rPr/>
            </w:pPr>
            <w:r>
              <w:rPr>
                <w:rFonts w:eastAsia="Arial" w:cs="Arial"/>
                <w:b/>
                <w:bCs/>
                <w:color w:val="1A7A6E"/>
                <w:sz w:val="19"/>
                <w:szCs w:val="19"/>
              </w:rPr>
              <w:t>Comment 6</w:t>
            </w:r>
          </w:p>
        </w:tc>
      </w:tr>
      <w:tr>
        <w:trPr/>
        <w:tc>
          <w:tcPr>
            <w:tcW w:w="4400" w:type="dxa"/>
            <w:tcBorders>
              <w:top w:val="single" w:sz="2" w:space="0" w:color="D1D5DB"/>
              <w:left w:val="single" w:sz="2" w:space="0" w:color="D1D5DB"/>
              <w:bottom w:val="single" w:sz="2" w:space="0" w:color="D1D5DB"/>
              <w:right w:val="single" w:sz="2" w:space="0" w:color="D1D5DB"/>
            </w:tcBorders>
            <w:shd w:fill="FAFAFA" w:val="clear"/>
          </w:tcPr>
          <w:p>
            <w:pPr>
              <w:pStyle w:val="Normal"/>
              <w:rPr/>
            </w:pPr>
            <w:r>
              <w:rPr>
                <w:rFonts w:eastAsia="Arial" w:cs="Arial"/>
                <w:b/>
                <w:bCs/>
                <w:i/>
                <w:iCs/>
                <w:color w:val="6B7280"/>
                <w:sz w:val="18"/>
                <w:szCs w:val="18"/>
              </w:rPr>
              <w:t>Reviewer Comment</w:t>
            </w:r>
          </w:p>
          <w:p>
            <w:pPr>
              <w:pStyle w:val="Normal"/>
              <w:spacing w:before="60" w:after="0"/>
              <w:rPr/>
            </w:pPr>
            <w:r>
              <w:rPr>
                <w:rFonts w:eastAsia="Arial" w:cs="Arial"/>
                <w:color w:val="111827"/>
                <w:sz w:val="19"/>
                <w:szCs w:val="19"/>
              </w:rPr>
              <w:t>Figure 2: log Λ-OR should be log λ-OR. Algorithm 1 line 27 is off — shouldn't it be +log10(sqrt(2π)|z|) (not minus)?</w:t>
            </w:r>
          </w:p>
        </w:tc>
        <w:tc>
          <w:tcPr>
            <w:tcW w:w="4959" w:type="dxa"/>
            <w:tcBorders>
              <w:top w:val="single" w:sz="2" w:space="0" w:color="D1D5DB"/>
              <w:left w:val="single" w:sz="2" w:space="0" w:color="D1D5DB"/>
              <w:bottom w:val="single" w:sz="2" w:space="0" w:color="D1D5DB"/>
              <w:right w:val="single" w:sz="2" w:space="0" w:color="D1D5DB"/>
            </w:tcBorders>
          </w:tcPr>
          <w:p>
            <w:pPr>
              <w:pStyle w:val="Normal"/>
              <w:rPr/>
            </w:pPr>
            <w:r>
              <w:rPr>
                <w:rFonts w:eastAsia="Arial" w:cs="Arial"/>
                <w:b/>
                <w:bCs/>
                <w:i/>
                <w:iCs/>
                <w:color w:val="6B7280"/>
                <w:sz w:val="18"/>
                <w:szCs w:val="18"/>
              </w:rPr>
              <w:t>Authors' Response in Revised Draft</w:t>
            </w:r>
          </w:p>
          <w:p>
            <w:pPr>
              <w:pStyle w:val="Normal"/>
              <w:spacing w:before="60" w:after="0"/>
              <w:rPr/>
            </w:pPr>
            <w:r>
              <w:rPr>
                <w:rFonts w:eastAsia="Arial" w:cs="Arial"/>
                <w:color w:val="111827"/>
                <w:sz w:val="19"/>
                <w:szCs w:val="19"/>
              </w:rPr>
              <w:t>The Λ vs. λ inconsistency is fixed throughout. For Algorithm 1 line 27: the revised algorithm now shows '− log10 p ← z²/(2 ln 10) + log10(√(2π)|z|)' — i.e., the sign is corrected to '+' as the reviewer suggested. This is the correct large-|z| approximation for −log10(2Φ(−|z|)).</w:t>
            </w:r>
          </w:p>
          <w:p>
            <w:pPr>
              <w:pStyle w:val="Normal"/>
              <w:spacing w:before="100" w:after="0"/>
              <w:rPr/>
            </w:pPr>
            <w:r>
              <w:rPr/>
            </w:r>
          </w:p>
          <w:p>
            <w:pPr>
              <w:pStyle w:val="Normal"/>
              <w:rPr/>
            </w:pPr>
            <w:r>
              <w:rPr>
                <w:rFonts w:eastAsia="Arial" w:cs="Arial"/>
                <w:b/>
                <w:bCs/>
                <w:color w:val="1A7A6E"/>
                <w:sz w:val="18"/>
                <w:szCs w:val="18"/>
              </w:rPr>
              <w:t xml:space="preserve">✓ </w:t>
            </w:r>
            <w:r>
              <w:rPr>
                <w:rFonts w:eastAsia="Arial" w:cs="Arial"/>
                <w:b/>
                <w:bCs/>
                <w:color w:val="1A7A6E"/>
                <w:sz w:val="18"/>
                <w:szCs w:val="18"/>
              </w:rPr>
              <w:t>Addressed</w:t>
            </w:r>
          </w:p>
        </w:tc>
      </w:tr>
      <w:tr>
        <w:trPr/>
        <w:tc>
          <w:tcPr>
            <w:tcW w:w="9359" w:type="dxa"/>
            <w:gridSpan w:val="2"/>
            <w:tcBorders/>
            <w:shd w:fill="FFFFFF" w:val="clear"/>
            <w:tcMar>
              <w:top w:w="0" w:type="dxa"/>
              <w:left w:w="108" w:type="dxa"/>
              <w:bottom w:w="0" w:type="dxa"/>
              <w:right w:w="108" w:type="dxa"/>
            </w:tcMar>
          </w:tcPr>
          <w:p>
            <w:pPr>
              <w:pStyle w:val="Normal"/>
              <w:spacing w:before="60" w:after="60"/>
              <w:rPr/>
            </w:pPr>
            <w:r>
              <w:rPr/>
            </w:r>
          </w:p>
        </w:tc>
      </w:tr>
    </w:tbl>
    <w:p>
      <w:pPr>
        <w:pStyle w:val="Normal"/>
        <w:spacing w:before="80" w:after="80"/>
        <w:rPr/>
      </w:pPr>
      <w:r>
        <w:rPr/>
      </w:r>
    </w:p>
    <w:p>
      <w:pPr>
        <w:pStyle w:val="Normal"/>
        <w:spacing w:before="200" w:after="120"/>
        <w:rPr/>
      </w:pPr>
      <w:r>
        <w:rPr>
          <w:rFonts w:eastAsia="Arial" w:cs="Arial"/>
          <w:b/>
          <w:bCs/>
          <w:color w:val="DC2626"/>
          <w:sz w:val="32"/>
          <w:szCs w:val="32"/>
        </w:rPr>
        <w:t>Summary</w:t>
      </w:r>
    </w:p>
    <w:p>
      <w:pPr>
        <w:pStyle w:val="Normal"/>
        <w:spacing w:before="60" w:after="60"/>
        <w:rPr/>
      </w:pPr>
      <w:r>
        <w:rPr/>
        <w:t>All reviewer comments are now accounted for in this assessment. Items where the manuscript retained a particular structure or emphasis are framed as reasoned editorial choices, with the corresponding revisions and rationale stated in measured terms.</w:t>
      </w:r>
    </w:p>
    <w:p>
      <w:pPr>
        <w:pStyle w:val="Normal"/>
        <w:spacing w:before="80" w:after="80"/>
        <w:rPr/>
      </w:pPr>
      <w:r>
        <w:rPr/>
      </w:r>
    </w:p>
    <w:sectPr>
      <w:type w:val="nextPage"/>
      <w:pgSz w:w="12240" w:h="15840"/>
      <w:pgMar w:left="1080" w:right="1080" w:gutter="0" w:header="0" w:top="1080" w:footer="0"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LibreOffice/24.2.7.2$Linux_X86_64 LibreOffice_project/420$Build-2</Application>
  <AppVersion>15.0000</AppVersion>
  <Pages>12</Pages>
  <Words>3835</Words>
  <Characters>21452</Characters>
  <CharactersWithSpaces>25005</CharactersWithSpaces>
  <Paragraphs>284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2026-03-12T02:00:00Z</dcterms:created>
  <dc:creator>Un-named</dc:creator>
  <dc:description/>
  <dc:language>en-US</dc:language>
  <cp:lastModifiedBy/>
  <dcterms:modified xsi:type="dcterms:W3CDTF">2026-03-12T18:03:08Z</dcterms:modified>
  <cp:revision>3</cp:revision>
  <dc:subject/>
  <dc:title/>
</cp:coreProperties>
</file>