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i w:val="false"/>
          <w:iCs w:val="false"/>
          <w:color w:val="1E3A5F"/>
          <w:sz w:val="32"/>
          <w:szCs w:val="32"/>
        </w:rPr>
        <w:t xml:space="preserve">Reviewer Response Assessment</w:t>
      </w:r>
    </w:p>
    <w:p>
      <w:pPr>
        <w:spacing w:before="0" w:after="40"/>
        <w:jc w:val="center"/>
      </w:pPr>
      <w:r>
        <w:rPr>
          <w:rFonts w:ascii="Arial" w:cs="Arial" w:eastAsia="Arial" w:hAnsi="Arial"/>
          <w:b w:val="false"/>
          <w:bCs w:val="false"/>
          <w:i/>
          <w:iCs/>
          <w:color w:val="6B7280"/>
          <w:sz w:val="22"/>
          <w:szCs w:val="22"/>
        </w:rPr>
        <w:t xml:space="preserve">Correcting Label-noise Corruption with lambda-Odds Ratio</w:t>
      </w:r>
    </w:p>
    <w:p>
      <w:pPr>
        <w:spacing w:before="0" w:after="320"/>
        <w:jc w:val="center"/>
      </w:pPr>
      <w:r>
        <w:rPr>
          <w:rFonts w:ascii="Arial" w:cs="Arial" w:eastAsia="Arial" w:hAnsi="Arial"/>
          <w:b w:val="false"/>
          <w:bCs w:val="false"/>
          <w:i w:val="false"/>
          <w:iCs w:val="false"/>
          <w:color w:val="6B7280"/>
          <w:sz w:val="18"/>
          <w:szCs w:val="18"/>
        </w:rPr>
        <w:t xml:space="preserve">Authors' point-by-point response to reviewer comments | Revised draft: mainBMCrevised.pdf</w:t>
      </w:r>
    </w:p>
    <w:p>
      <w:pPr>
        <w:spacing w:before="0" w:after="120"/>
        <w:jc w:val="left"/>
      </w:pPr>
      <w:r>
        <w:rPr>
          <w:rFonts w:ascii="Arial" w:cs="Arial" w:eastAsia="Arial" w:hAnsi="Arial"/>
          <w:b/>
          <w:bCs/>
          <w:i w:val="false"/>
          <w:iCs w:val="false"/>
          <w:color w:val="1E3A5F"/>
          <w:sz w:val="24"/>
          <w:szCs w:val="24"/>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19"/>
                <w:szCs w:val="19"/>
              </w:rPr>
              <w:t xml:space="preserve">Reviewer</w:t>
            </w:r>
          </w:p>
        </w:tc>
        <w:tc>
          <w:tcPr>
            <w:tcW w:type="dxa" w:w="234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19"/>
                <w:szCs w:val="19"/>
              </w:rPr>
              <w:t xml:space="preserve"># Comments</w:t>
            </w:r>
          </w:p>
        </w:tc>
        <w:tc>
          <w:tcPr>
            <w:tcW w:type="dxa" w:w="234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19"/>
                <w:szCs w:val="19"/>
              </w:rPr>
              <w:t xml:space="preserve">Addressed</w:t>
            </w:r>
          </w:p>
        </w:tc>
        <w:tc>
          <w:tcPr>
            <w:tcW w:type="dxa" w:w="234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19"/>
                <w:szCs w:val="19"/>
              </w:rPr>
              <w:t xml:space="preserve">Gaps Remaining</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1</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9</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9</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0</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2 (Major)</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10</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10</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0</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2 (Minor)</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0</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3</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4</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4</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0</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4 (Major)</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0</w:t>
            </w:r>
          </w:p>
        </w:tc>
      </w:tr>
      <w:tr>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bCs/>
                <w:i w:val="false"/>
                <w:iCs w:val="false"/>
                <w:color w:val="111827"/>
                <w:sz w:val="19"/>
                <w:szCs w:val="19"/>
              </w:rPr>
              <w:t xml:space="preserve">Reviewer 4 (Minor)</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6</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6</w:t>
            </w:r>
          </w:p>
        </w:tc>
        <w:tc>
          <w:tcPr>
            <w:tcW w:type="dxa" w:w="234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9"/>
                <w:szCs w:val="19"/>
              </w:rPr>
              <w:t xml:space="preserve">0</w:t>
            </w:r>
          </w:p>
        </w:tc>
      </w:tr>
    </w:tbl>
    <w:p>
      <w:pPr>
        <w:spacing w:before="400" w:after="0"/>
      </w:pPr>
    </w:p>
    <w:p>
      <w:pPr>
        <w:shd w:fill="1E3A5F" w:val="clear"/>
        <w:spacing w:before="320" w:after="160"/>
        <w:ind w:left="160" w:right="160"/>
      </w:pPr>
      <w:r>
        <w:rPr>
          <w:rFonts w:ascii="Arial" w:cs="Arial" w:eastAsia="Arial" w:hAnsi="Arial"/>
          <w:b/>
          <w:bCs/>
          <w:color w:val="FFFFFF"/>
          <w:sz w:val="26"/>
          <w:szCs w:val="26"/>
        </w:rPr>
        <w:t xml:space="preserve">REVIEWER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motivation of the study is unclear because of the poor presentation. Description of the introduction is not adequate for readers to understand the problem setup. The brief summary in section 1.1 does not help understanding because of the lack of detailed explanations for readers without prior knowledge. (Page 2)</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substantially rewritten the introduction (pp. 1–3). We now lay out the problem setup before Section 1.1: the variables X, Y, and Ỹ are defined formally in Eq. (1), and a dedicated paragraph explains the two-threshold ROC strategy. Section 1.1 opens with explicit intuitive prose ("Two phenomena motivate λ-OR…") and every numerical example is accompanied by the relevant formal reference (Lemma 7, Corollary 8, Corollary 9). The discussion of OR blow-up and SHAP mis-ranking now includes explicit variable definitions throughout.</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"Consider retrospective dataset with binary case/control labels…" — I cannot understand the setup. What do the binary case/control labels mean? According to the following description, Y seems to be not the binary case/control labels. (Page 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restructured Section 2.1 (p. 4) to make the setup unambiguous. We now state explicitly that the dataset contains a binary exposure of interest Xj ∈ {0,1} and an unobserved true binary outcome Y ∈ {0,1}, distinct from the proxy label Ỹ. The predictive model f(Z) is introduced in Eq. (3) with Z explicitly noted as "not limited to Xj." The roles of the high-score tail H, low-score tail L, and selection indicator I are defined in Eqs. (4)–(5) before the contingency table is presented.</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Definition of eq. (2) is incomplete. Definitions of b̃, c̃, d̃ are omitted. What is the probability that T̃ is observed? Population versions of T and T̃ are needed. (Page 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explicit set-builder definitions of all four cells ã, b̃, c̃, and d̃ in Eqs. (7)–(8) (p. 5). The population-level relationship E[T̃ | I=1] = E[T | I=1]K⊤ is stated in Eq. (14) (p. 5), making clear that this is an expected-value identity rather than a sample-level identity. Row and column index conventions (rows index Xj, columns index Ỹ or Y) are stated explicitly with Eq. (6).</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4</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 eq. (4), T is unclearly defined. The (1,1)-element T̃₁₁ derivation raises confusion about what T₁₁ and T₁₂ represent. (Page 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defined T clearly in Eqs. (11)–(13) (p. 5) as the unobserved true contingency table, with fully explicit cell definitions: a = #{Xj=1, Y=1, I=1}, b = #{Xj=1, Y=0, I=1}, and so on. The operator relationship E[T̃|I=1] = E[T|I=1]K⊤ is given in Eq. (14). The closed-form per-row inversion is provided in Eqs. (19)–(20) (p. 6–7), making the cell-level arithmetic explicit and traceable.</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5</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There is no justification of the ridge regularization in terms of statistical models or maximum likelihood. Why not consider Firth-penalized method (Firth 1993) for the current setup? (Page 3)</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 dedicated "Role of ridge regularization" subsection within Section 2.2 (pp. 6–7). We show the connection to Tikhonov regularization [16], derive the closed-form corrected counts in Eqs. (19)–(20), and explain how ridge increases the denominator and attenuates the subtraction terms that drive negativity. We explicitly address Firth penalization [17]: it operates at the odds-ratio estimation step after table reconstruction, whereas ridge operates earlier at the table-reconstruction step via Eq. (16). We describe the two as "addressing distinct stages" of the estimation pipeline and "complementary rather than competing."</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6</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It is unclear why SHAP is considered. Connection between SHAP and odds ratio is unclear. (Page 8)</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substantially expanded Section 3.1 (pp. 13–14), now titled "Comparison against SHAP analysis." We explain that SHAP is widely used in EHR-scale predictive modeling (cited as [8]) and therefore provides a natural practical benchmark, and we make the comparison's basis explicit: SHAP decomposes model predictions; λ-OR corrects outcome misclassification. These address different failure modes, and we believe the comparison is informative precisely because the two methods are not doing the same thing. We have not attempted a formal equivalence theorem between SHAP values and odds ratios, as the two quantities are of different types, but we hope the expanded framing in Section 3.1 satisfactorily clarifies why SHAP is included.</w:t>
            </w:r>
          </w:p>
          <w:p>
            <w:pPr>
              <w:spacing w:before="80" w:after="0"/>
            </w:pPr>
          </w:p>
          <w:p>
            <w:pPr>
              <w:spacing w:before="0" w:after="60"/>
              <w:jc w:val="left"/>
            </w:pPr>
            <w:r>
              <w:rPr>
                <w:rFonts w:ascii="Arial" w:cs="Arial" w:eastAsia="Arial" w:hAnsi="Arial"/>
                <w:b/>
                <w:bCs/>
                <w:color w:val="166534"/>
                <w:sz w:val="18"/>
                <w:szCs w:val="18"/>
              </w:rPr>
              <w:t xml:space="preserve">✓ Addressed — see response for our reasoning</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7</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It is unclear how T and T̃ are defined in the simulation section. (Page 9)</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explicit DGP definitions at the start of Section 4 (p. 15–16). T and T̃ are defined with row/column conventions (rows index X ∈ {1,0}, columns index the outcome state Y or Ỹ ∈ {1,0}). We state that T̃ is generated from T via independent non-differential flips with operator K, consistent with Assumption A. All constants — R, n, π, φ, θ, ridge grid, RNG seed — are given in Tables 2 and 3 (pp. 35–36).</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8</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 the python script 'lambdaORsimulation.py', Y is generated given X through logistic regression, unlike the retrospective sampling mentioned in the paper to generate X given Y. (Page 9)</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corrected the DGP description in Section 4 (p. 15). The revised paper now generates Y|X ~ Bernoulli(logit⁻¹(α + θX)) — i.e., prospectively, Y given X, consistent with what the simulation script actually does. We no longer claim retrospective sampling in the simulation, resolving the inconsistency between the paper and the code. The constant α is chosen numerically so that Pr(Y=1) = π, as specified in Table 2 (p. 35).</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9</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Reference: Firth, D. (1993). Bias Reduction of Maximum Likelihood Estimates.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Firth (1993) as reference [17] and discuss it explicitly in Section 2.2 (p. 7) with a clear explanation of how ridge regularization and Firth penalization address distinct stages of the estimation pipeline. The citation now appears in the body of the revised text rather than only in passing.</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pacing w:before="320" w:after="0"/>
      </w:pPr>
    </w:p>
    <w:p>
      <w:pPr>
        <w:shd w:fill="1E3A5F" w:val="clear"/>
        <w:spacing w:before="320" w:after="160"/>
        <w:ind w:left="160" w:right="160"/>
      </w:pPr>
      <w:r>
        <w:rPr>
          <w:rFonts w:ascii="Arial" w:cs="Arial" w:eastAsia="Arial" w:hAnsi="Arial"/>
          <w:b/>
          <w:bCs/>
          <w:color w:val="FFFFFF"/>
          <w:sz w:val="26"/>
          <w:szCs w:val="26"/>
        </w:rPr>
        <w:t xml:space="preserve">REVIEWER 2 — MAJOR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Introduction: Authors state 'Classical label-noise corrections to OR mainly target small-sample misclassification or require external gold-standard cohorts…' — needs a more thorough description of available methods and citations for those requiring gold-standard cohorts.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 full literature paragraph to the introduction (p. 2). We cite classical bias analyses [7, 11], matrix and inverse-matrix adjustment methods [12, 13], and likelihood-based approaches [14, 15], and note explicitly that each "typically requires external adjudication, chart review, or dedicated validation subsamples" — directly answering which methods require gold-standard data and where they are cited.</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Introduction: The idea of choosing high-purity tails induced by t_hi and t_lo should be briefly mentioned in the introduction as a key motivation.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an explicit explanation of the two-threshold strategy in the final paragraph of the introduction before Section 1.1 (p. 3): "By selecting high and low score tails, we obtain proxy case and control groups whose expected purity is governed by the model's ROC operating characteristics." This motivates the core construction before the formal development in Section 2.1.</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Introduction: The final paragraph before section 1.1 reads too technical. Recommend providing intuitive explanations for the theoretical benefits.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rewritten this paragraph (p. 3) to lead with the key insight ("when a reliable predictive model is available, its sensitivity–specificity trade-off can be used to correct label noise") before summarising the formal guarantees (collapse property via Corollary 5, OR blow-up resistance via Lemma 7 and Corollary 8, SHAP mis-ranking via Corollary 9). The Lemma/Corollary references are retained but the intuitive framing now comes first.</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4</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1.1: This motivation doesn't make sense until you've read sections 2 and 3. Focus on intuitive takeaways; move numerical examples to after theorems are introduced.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restructured Section 1.1 (pp. 3–4) to open with intuitive prose ("Two phenomena motivate λ-OR…") before the numerical illustrations. Each example now explicitly cites the Lemma or Corollary that formally justifies it — Lemma 7 and Corollary 8 for OR blow-up, Corollary 9 for SHAP mis-ranking — so the reader can see immediately where the formal backing appears. We understand the reviewer's preference for placing numerical examples after the theorems, and we appreciate the suggestion. We have nevertheless kept the examples in Section 1.1, as we feel the concrete parameter illustrations in Eq. (2) and the SHAP mis-ranking calculation are most useful as motivation before the formal development. We hope the added forward-references make the structure feel less circular.</w:t>
            </w:r>
          </w:p>
          <w:p>
            <w:pPr>
              <w:spacing w:before="80" w:after="0"/>
            </w:pPr>
          </w:p>
          <w:p>
            <w:pPr>
              <w:spacing w:before="0" w:after="60"/>
              <w:jc w:val="left"/>
            </w:pPr>
            <w:r>
              <w:rPr>
                <w:rFonts w:ascii="Arial" w:cs="Arial" w:eastAsia="Arial" w:hAnsi="Arial"/>
                <w:b/>
                <w:bCs/>
                <w:color w:val="166534"/>
                <w:sz w:val="18"/>
                <w:szCs w:val="18"/>
              </w:rPr>
              <w:t xml:space="preserve">✓ Addressed — see response for our reasoning</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5</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1.1: The final paragraph is a summary of results; focus on the takeaway rather than explaining the figure.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rewritten the closing paragraph of Section 1.1 (p. 4) to focus on the take-away: "both association screening via naive odds ratios and model-based attribution via SHAP can be unstable under common conditions in large observational EHR data. λ-OR is designed to mitigate these effects by explicitly correcting for outcome misclassification before computing odds ratios and by collapsing toward null attribution when the underlying score is non-informative." The paragraph no longer redundantly describes Figure 5.</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6</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2.1: Notation could be clearer. The predictive model/score depends on all X, not just the exposure of interest. Xj notation from Section 3.1 should be introduced in Section 2.1.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revised the opening of Section 2.1 (p. 4) to introduce the Xj notation explicitly from the outset: "We consider a retrospective dataset of subjects with a binary exposure of interest Xj ∈ {0,1}." The risk score is defined as S = f(Z) in Eq. (3), where "Z denotes the feature set used by the predictive model (not limited to Xj)," making the distinction between Xj and the full feature set clear before the contingency table construction.</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7</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2: A proof or more thorough walkthrough for the variance in Equation (9) would be needed for completeness.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 full Appendix 1 (pp. 30–33) titled "Delta-method variance propagation for log λ-OR(λ)." This derives the extra variance component step by step: we differentiate the correction map (psel, qsel) → K → T(λ) → log(ad/bc) using the matrix inverse identity ∂M⁻¹/∂θ = −M⁻¹(∂M/∂θ)M⁻¹, compute ∂T(λ)/∂p and ∂T(λ)/∂q explicitly, apply the chain rule to the log-odds functional g(a,b,c,d) = log(ad/bc), and state the diagonal working approximation for Cov(p̂sel, q̂sel). The total variance in Eq. (25) is Varnaive + Varextra, with both components fully derived.</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8</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2 (2.4-2.6): Could use more direct guidance on choosing thresholds. Do the authors have intuition for a good preset floor or level of precision? How were specific values chosen for simulations and real data?</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expanded Section 2.4 (pp. 8–10) with explicit practical guidance: thi is set to achieve ≥97% specificity (false-positive rate ≤3%), and tlo targets sensitivity of ≈70–80%. Table 5 (p. 36) reports the exact thresholds used in all three real-data applications. We also provide a formal bias–variance trade-off framing, showing that MSE(log OR) ≈ C₁(1−J)² + C₂/neff, with an explicit "Practical recipe for threshold selection" paragraph that explains the interior-optimum logic. We hope this gives practitioners the guidance they need. We have not added a formal closed-form optimisation rule, as we felt the bias–variance trade-off framing captures the essential logic and the specific numerical targets in Table 5 ground it in practice.</w:t>
            </w:r>
          </w:p>
          <w:p>
            <w:pPr>
              <w:spacing w:before="80" w:after="0"/>
            </w:pPr>
          </w:p>
          <w:p>
            <w:pPr>
              <w:spacing w:before="0" w:after="60"/>
              <w:jc w:val="left"/>
            </w:pPr>
            <w:r>
              <w:rPr>
                <w:rFonts w:ascii="Arial" w:cs="Arial" w:eastAsia="Arial" w:hAnsi="Arial"/>
                <w:b/>
                <w:bCs/>
                <w:color w:val="166534"/>
                <w:sz w:val="18"/>
                <w:szCs w:val="18"/>
              </w:rPr>
              <w:t xml:space="preserve">✓ Addressed — see response for our reasoning</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9</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4: Missing details on simulation setting (sample size, replicates, target log OR). Additional simulations needed — authors only vary p_sel; how sensitive are results to varying q_sel, sample size, and target OR?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fully specified all simulation constants in Tables 2 and 3 (pp. 35–36): R=250 replicates, n=20,000, π=0.2, φ=0.5, θ=log 2, ridge grid λ ∈ {0, 10⁻⁶, 10⁻⁵, 10⁻⁴, 10⁻³}, and RNG seed 20251005. Figure 1 (p. 16) sweeps specificity degradation (fixed psel=0.95, varying 1−qsel) and symmetric degradation (psel=qsel). Figure 2 (p. 17) sweeps across false negative rate 1−psel (panels a,b), false positive rate 1−qsel (panels c,d,i), target effect θ (panels e,f,g), and sample size n (panel h), comprehensively addressing the request.</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10</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5: More details on the dataset would be helpful. What is the sample size? Is there missingness in exposures? The model could be briefly explained in the text.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Table 5 (p. 36) reporting full cohort sizes for all three applications: out-of-sample totals of 594,442 (ASD), 616,722 (IPF), and 5,104,357 (ADRD), with training cohort sizes, feature counts, selected analysis sizes (35,704; 26,574; 415,186), and the two-gate parameters (thi, tlo, psel, qsel). The ZeBRA models are cited as [2, 3, 5]. On missingness, we clarify in Section 5 (p. 22): "A code either appears in a patient's record or it does not, so there is no concept of missingness in the conventional sense. Rather… the data are sparse and potentially noise-corrupted."</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5: Confidence intervals explored in simulations but not applied in the real data analysis. How could CIs be insightful in practice?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appreciate this suggestion. The volcano plots in Figure 5 (p. 23) encode the full uncertainty picture via the vertical axis, which reports −log₁₀(p) derived from the Wald statistic Z = ℓ/√Vartotal (Eqs. 26–27, p. 7–8), where Vartotal = Varnaive + Varextra (Eq. 25) incorporates both sampling variance and the delta-method contribution from estimating (psel, qsel). Approximate 95% CIs can be recovered directly as ℓ ± 1.96 × SE. We have not added a tabulated CI column for individual ICD codes, as the feature spaces run to tens of thousands of codes and the volcano plots already convey the same information graphically. We hope the explicit connection between the vertical axis and Vartotal in Section 5 (p. 24) addresses the spirit of the comment.</w:t>
            </w:r>
          </w:p>
          <w:p>
            <w:pPr>
              <w:spacing w:before="80" w:after="0"/>
            </w:pPr>
          </w:p>
          <w:p>
            <w:pPr>
              <w:spacing w:before="0" w:after="60"/>
              <w:jc w:val="left"/>
            </w:pPr>
            <w:r>
              <w:rPr>
                <w:rFonts w:ascii="Arial" w:cs="Arial" w:eastAsia="Arial" w:hAnsi="Arial"/>
                <w:b/>
                <w:bCs/>
                <w:color w:val="166534"/>
                <w:sz w:val="18"/>
                <w:szCs w:val="18"/>
              </w:rPr>
              <w:t xml:space="preserve">✓ Addressed — see response for our reasoning</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Section 5: Could the authors provide an example of a biologically implausible protective code under naive OR that is not significant with λ-OR?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Table 6 (p. 37) providing 12 concrete real-data examples of ICD codes that appear significantly protective under the naive odds ratio but lose significance after λ-OR correction, with their log OR, naive −log₁₀(p), log λ-OR, and corrected −log₁₀(p) values tabulated. Representative examples include acne vulgaris (L70.0), streptococcal pharyngitis (J02.0), abnormal weight gain (R63.5), ADHD (F90.0), and cervicobrachial syndrome (M53.1). These are precisely the attribution artefacts λ-OR is designed to suppress.</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Concluding remarks: Please expand on the impact of the method and practicality for researchers.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expanded the concluding remarks (p. 25–26) with a paragraph on practical implementation: "The procedure requires only a held-out labelled cohort to choose the low- and high-risk score thresholds and estimate (psel, qsel), followed by construction of the selected-set contingency tables for the exposures of interest." We also highlight suitability for large EHR settings, the role of the validation-induced variance floor in preventing uncontrolled significance inflation, and the availability of a reference implementation at the DOI and GitHub links provided.</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pacing w:before="320" w:after="0"/>
      </w:pPr>
    </w:p>
    <w:p>
      <w:pPr>
        <w:shd w:fill="1E3A5F" w:val="clear"/>
        <w:spacing w:before="320" w:after="160"/>
        <w:ind w:left="160" w:right="160"/>
      </w:pPr>
      <w:r>
        <w:rPr>
          <w:rFonts w:ascii="Arial" w:cs="Arial" w:eastAsia="Arial" w:hAnsi="Arial"/>
          <w:b/>
          <w:bCs/>
          <w:color w:val="FFFFFF"/>
          <w:sz w:val="26"/>
          <w:szCs w:val="26"/>
        </w:rPr>
        <w:t xml:space="preserve">REVIEWER 2 — MINOR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'Odds ratio' should be spelled out the first time it is mentioned in the introduction.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spelled out "Odds Ratio (OR)" on its first substantive use in the introduction body (p. 2). All other key abbreviations — ASD, IPF, ADRD, EHR, SHAP, LIME, ICD-10-CM — are also spelled out on first use in the introduction.</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'Specificity' on page 5 ('while tlo is chosen so that specificity is ≈70–80%') should be 'sensitivity.'</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Corrected. Section 2.4 (p. 8) now reads: "tlo is chosen to achieve high sensitivity (equivalently, a low false-negative rate)… we target sensitivity in the range ≈70–80% at tlo."</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Inconsistent use of lower vs. uppercase lambda (λ vs. Λ) in referring to the method.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standardised to λ-OR throughout the revised manuscript — in the main text, all theorems, corollaries, figure captions, and Algorithm 1. The original Fig. 2 captions used "log Λ-OR"; these are corrected to "log λ-OR" in the revised version. No instances of the uppercase Λ form remain.</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4</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What specific ICD vocabulary is being used? (e.g., ICD-9 or ICD-10)</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this in the introduction (p. 2): "International Classification of Diseases (ICD-10-CM) (ICD) code sets," making the vocabulary explicit. The same specification is repeated in Section 5 (p. 22) when the applications are described.</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5</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Figure 2: The red line should be defined in the caption. Also, 'ROR' in the right column should be λ-OR.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"ROR" label in the original Fig. 2 right panels is corrected to "log λ-OR" in the revised version. The estimator labels are defined in the caption of the revised Figure 2 (p. 17): "the naive log-odds ratio computed from the misclassified outcome table (OR; gray) and the corrected estimator λ-OR (red)."</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6</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Corollary 6 proof mentions 'Lemma 4(b)' which is not present in the paper.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dangling reference to "Lemma 4(b)" no longer appears in the revised paper. The result numbering has been restructured: the relevant collapse corollary is now Corollary 5, and the SHAP mis-ranking results are Lemma 6 and Corollary 9. All proofs cite correct internal references.</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7</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Algorithm 1 is not mentioned in the main text.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an explicit reference to Algorithm 1 in Section 2.3 (p. 7): "The pseudocode for the λ-OR calculation is enumerated in Algorithm 1." The algorithm (p. 34) is also referenced directly in the simulation section (Section 4, p. 15–16) where we state that "the corrected estimator λ-OR is computed exactly as in Algorithm 1."</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pacing w:before="320" w:after="0"/>
      </w:pPr>
    </w:p>
    <w:p>
      <w:pPr>
        <w:shd w:fill="1E3A5F" w:val="clear"/>
        <w:spacing w:before="320" w:after="160"/>
        <w:ind w:left="160" w:right="160"/>
      </w:pPr>
      <w:r>
        <w:rPr>
          <w:rFonts w:ascii="Arial" w:cs="Arial" w:eastAsia="Arial" w:hAnsi="Arial"/>
          <w:b/>
          <w:bCs/>
          <w:color w:val="FFFFFF"/>
          <w:sz w:val="26"/>
          <w:szCs w:val="26"/>
        </w:rPr>
        <w:t xml:space="preserve">REVIEWER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Please provide full names for abbreviations when first used in the paper (e.g., EHR).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spelled out all abbreviations on first use in the introduction: Electronic Healthcare Record (EHR) (p. 1), Autism Spectrum Disorder (ASD), Idiopathic Pulmonary Fibrosis (IPF), Alzheimer's Disease and Related Dementia (ADRD) (p. 2), SHapley Additive exPlanations (SHAP), Local Interpretable Model-agnostic Explanations (LIME) (p. 2), and International Classification of Diseases (ICD-10-CM) (p. 2).</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paper doesn't state the design constants (R, π, φ, n) in the simulation. Parameter settings for the case study are also unclear, making reproducibility difficult to assess.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Tables 2, 3, and 4 (pp. 35–36) fully specifying all simulation constants: R=250 replicates, n=20,000, π=0.2, φ=0.5, θ=log 2, misclassification grids, ridge grid λ ∈ {0, 10⁻⁶, 10⁻⁵, 10⁻⁴, 10⁻³}, continuity correction (0.5 added to each cell), feasibility floor ε=10⁻⁹, and RNG seed 20251005. Table 5 (p. 36) provides case-study parameters for all three applications: cohort sizes, feature counts, thi, tlo, quantiles, and the selection-conditional (psel, qsel) values.</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Could you include a simulation analogue of Figure 2 (effect size vs. −log10(p)) for OR and λ-OR, with points colored for true vs. false positives? Also report FDR.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Figures 3 and 4 (pp. 19–21). Figure 3 provides the volcano plot analogue for n = 50,000, 100,000, and 1,000,000, with non-null features shown in red and null features in black — comparing naive OR (panels a, c, e) to λ-OR inference (panels b, d, f). Figure 4 provides a cohort-size sweep (102 to 106 cases, 11 log-spaced points) explicitly reporting FDR = FP/(TP+FP), true positives, and false positives at both α=0.05 (panels a–c) and α=0.01 (panels d–f). Simulation parameters are listed in Table 4 (p. 36).</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4</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approach hinges on availability of a strong, well-calibrated predictive model. How sensitive is performance to model quality (varying AUC/calibration, validation-set shift)? When does λ-OR degrade or become unstable?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appreciate the reviewer raising this important point. Corollary 5 (p. 13) provides the theoretical guarantee: as AUC → 0.5, J → 0, and log λ-OR → 0 in probability, with increasing variance and fewer signals crossing significance thresholds. We have added explicit prose in the Theory section (p. 13) noting that "poor predictive performance does not create spurious corrected associations, but instead manifests as increased uncertainty and eventual collapse toward the null." The J/det(K) sweeps in Figures 1–2 (pp. 16–17) illustrate this degradation across the full conditioning range. We have not added an empirical simulation with a deliberately degraded upstream model, as the method's intended setting is one where a reasonably good predictive model is already available — that is the premise from which the paper proceeds. We hope Corollary 5 together with the J-based sweeps provides sufficient characterisation of the degradation behaviour.</w:t>
            </w:r>
          </w:p>
          <w:p>
            <w:pPr>
              <w:spacing w:before="80" w:after="0"/>
            </w:pPr>
          </w:p>
          <w:p>
            <w:pPr>
              <w:spacing w:before="0" w:after="60"/>
              <w:jc w:val="left"/>
            </w:pPr>
            <w:r>
              <w:rPr>
                <w:rFonts w:ascii="Arial" w:cs="Arial" w:eastAsia="Arial" w:hAnsi="Arial"/>
                <w:b/>
                <w:bCs/>
                <w:color w:val="166534"/>
                <w:sz w:val="18"/>
                <w:szCs w:val="18"/>
              </w:rPr>
              <w:t xml:space="preserve">✓ Addressed — see response for our reasoning</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pacing w:before="320" w:after="0"/>
      </w:pPr>
    </w:p>
    <w:p>
      <w:pPr>
        <w:shd w:fill="1E3A5F" w:val="clear"/>
        <w:spacing w:before="320" w:after="160"/>
        <w:ind w:left="160" w:right="160"/>
      </w:pPr>
      <w:r>
        <w:rPr>
          <w:rFonts w:ascii="Arial" w:cs="Arial" w:eastAsia="Arial" w:hAnsi="Arial"/>
          <w:b/>
          <w:bCs/>
          <w:color w:val="FFFFFF"/>
          <w:sz w:val="26"/>
          <w:szCs w:val="26"/>
        </w:rPr>
        <w:t xml:space="preserve">REVIEWER 4 — MAJOR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Paper was overall difficult to read. Derivations are given without explanation; notational clashing (S defined as Shapley and risk score, a and b get redefined in proofs, confusion matrices not labeled, notation used before defining). Encourage authors to keep consistent notation and explain things slowly.</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made extensive notational revisions throughout. We now use Sj for mean-absolute SHAP values (Eq. 53, p. 14), reserving S = f(Z) (Eq. 3, p. 4) for the risk score. The contingency table T̃ in Eq. (6) (p. 5) is now explicitly labeled: rows index Xj ∈ {1,0} and columns index Ỹ ∈ {1,0}. All abbreviations are defined on first use. The proof of Theorem 3 (p. 11) adds explicit prose deriving a − b = (p₁−p₀)ΔY via the law of total probability. Appendix 1 (pp. 30–33) labels all matrix partial derivatives ∂K⊤/∂p and ∂K⊤/∂q explicitly.</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Theorem 2: Confused about the proof — seems to bound a risk ratio, not an odds ratio. Please explain. Also explain 'From the PPV/NPV mixture identities, a − b = (p1−p0)ΔY.' Don't you need to assume Xj ⊥ R | Y?</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Assumption B (Xj ⊥ R | Y) explicitly before Theorem 3 (formerly Theorem 2) on p. 11, and used it in the proof. The identity a − b = (p₁−p₀)ΔY is now derived explicitly via the law of total probability (p. 11). The bound is correctly stated as |log ORj,R| ≤ |p₁−p₀|/ε(1−ε) · ΔY, derived using the mean value theorem for log(u/(1−u)) with derivative 1/(u(1−u)) ≤ 1/(ε(1−ε)) for u ∈ [ε, 1−ε] — making clear this is an odds-ratio bound, not a risk-ratio bound.</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2: ASD, IPF and ADRD defined only in abstract. Define in the main text too.</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Fixed. The revised introduction (p. 2) defines all three on first use: "Autism Spectrum Disorder (ASD), Idiopathic Pulmonary Fibrosis (IPF)… and Alzheimer's Disease and Related Dementia (ADRD)." These definitions now appear in the main text body, independently of the abstract.</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pacing w:before="320" w:after="0"/>
      </w:pPr>
    </w:p>
    <w:p>
      <w:pPr>
        <w:shd w:fill="1E3A5F" w:val="clear"/>
        <w:spacing w:before="320" w:after="160"/>
        <w:ind w:left="160" w:right="160"/>
      </w:pPr>
      <w:r>
        <w:rPr>
          <w:rFonts w:ascii="Arial" w:cs="Arial" w:eastAsia="Arial" w:hAnsi="Arial"/>
          <w:b/>
          <w:bCs/>
          <w:color w:val="FFFFFF"/>
          <w:sz w:val="26"/>
          <w:szCs w:val="26"/>
        </w:rPr>
        <w:t xml:space="preserve">REVIEWER 4 — MINOR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1</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2: 'λ-OR's collapse property prevents such mis-ranking when the underlying score is uninformative (Lemma 3 and Corollaries 5,7).' — misnumbering of Lemmas and Corollaries.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renumbered all results in the revised paper. The collapse corollary is now Corollary 5 ("Lipschitz ROC implies collapse as AUC → 0.5"), the SHAP mis-ranking result is Corollary 9, and the mean-absolute SHAP lemma is Lemma 6. All references to these results in the introduction (p. 3) and throughout the paper are updated to match the revised numbering.</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2</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3 SHAP example: Notation not defined yet. Also Corollaries 5,7 should be 6,7.</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definitions of βj (the regression coefficient for feature j) and σj = √Var(Xj) directly in the prose of Section 1.1 (p. 4) before the numerical SHAP mis-ranking example. Corollary numbering is corrected throughout; the relevant result in the revised paper is Corollary 9 (SHAP mis-ranking under heterogeneous feature variance, p. 15).</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3</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4 Equation (2): Label the rows and columns of the table.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The contingency table T̃ in Eq. (6) (p. 5) of the revised paper is now explicitly labeled: "where rows index Xj ∈ {1,0} and columns index Ỹ ∈ {1,0}." The full explicit cell definitions appear in Eqs. (7)–(8).</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4</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4 Equation (3): State that you are assuming selection is independent of exposure.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Assumption A (Non-differential misclassification) formally before Eq. (14) on p. 5: "Ỹ ⊥ Xj | (Y, I=1), so that… the proxy-labeling mechanism depends only on the true outcome and not on the exposure." This ensures that the same operator K applies in both exposure strata and justifies the matrix relationship in Eq. (14).</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5</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pg 4 Section 2.2: Show how ridge inversion ensures non-negativity by tilting the inverse away from subtraction dominance with the closed-form expression for T_{x,1}^λ.</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We have added the full closed-form expressions for the corrected row elements t(λ)₁ and t(λ)₀ in Eqs. (19)–(20) (pp. 6–7), with explicit prose: "Equations (19)–(20) show that ridge increases the denominator and attenuates the subtraction terms that drive negativity under the unregularized inverse… This trades a small bias for substantial numerical stability and prevents spurious extreme odds ratios arising from near-zero or negative recovered counts."</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r>
        <w:tc>
          <w:tcPr>
            <w:tcW w:type="dxa" w:w="9360"/>
            <w:gridSpan w:val="2"/>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20"/>
                <w:szCs w:val="20"/>
              </w:rPr>
              <w:t xml:space="preserve">Comment 6</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Reviewer Comment</w:t>
            </w:r>
          </w:p>
        </w:tc>
        <w:tc>
          <w:tcPr>
            <w:tcW w:type="dxa" w:w="5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before="0" w:after="60"/>
              <w:jc w:val="left"/>
            </w:pPr>
            <w:r>
              <w:rPr>
                <w:rFonts w:ascii="Arial" w:cs="Arial" w:eastAsia="Arial" w:hAnsi="Arial"/>
                <w:b/>
                <w:bCs/>
                <w:i/>
                <w:iCs/>
                <w:color w:val="6B7280"/>
                <w:sz w:val="18"/>
                <w:szCs w:val="18"/>
              </w:rPr>
              <w:t xml:space="preserve">Our Response in Revised Draft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Figure 2: log Λ-OR should be log λ-OR. Algorithm 1 line 27 is off — shouldn't it be +log10(sqrt(2π)|z|) (not minus)?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60"/>
              <w:jc w:val="left"/>
            </w:pPr>
            <w:r>
              <w:rPr>
                <w:rFonts w:ascii="Arial" w:cs="Arial" w:eastAsia="Arial" w:hAnsi="Arial"/>
                <w:b w:val="false"/>
                <w:bCs w:val="false"/>
                <w:i w:val="false"/>
                <w:iCs w:val="false"/>
                <w:color w:val="111827"/>
                <w:sz w:val="19"/>
                <w:szCs w:val="19"/>
              </w:rPr>
              <w:t xml:space="preserve">Both issues are corrected. The Λ vs. λ inconsistency is fixed throughout all figures. For Algorithm 1 line 27 (p. 34): the revised algorithm now shows "−log₁₀ p ← z²/(2 ln 10) + log₁₀(√(2π)|z|)" — i.e., the sign is corrected to '+' as the reviewer indicated. This is the correct large-|z| approximation for −log₁₀(2Φ(−|z|)).</w:t>
            </w:r>
          </w:p>
          <w:p>
            <w:pPr>
              <w:spacing w:before="80" w:after="0"/>
            </w:pPr>
          </w:p>
          <w:p>
            <w:pPr>
              <w:spacing w:before="0" w:after="60"/>
              <w:jc w:val="left"/>
            </w:pPr>
            <w:r>
              <w:rPr>
                <w:rFonts w:ascii="Arial" w:cs="Arial" w:eastAsia="Arial" w:hAnsi="Arial"/>
                <w:b/>
                <w:bCs/>
                <w:color w:val="166534"/>
                <w:sz w:val="18"/>
                <w:szCs w:val="18"/>
              </w:rPr>
              <w:t xml:space="preserve">✓ Addressed</w:t>
            </w:r>
          </w:p>
        </w:tc>
      </w:tr>
      <w:tr>
        <w:tc>
          <w:tcPr>
            <w:tcW w:type="dxa" w:w="9360"/>
            <w:gridSpan w:val="2"/>
            <w:tcBorders>
              <w:top w:val="single" w:color="FFFFFF" w:sz="1"/>
              <w:left w:val="single" w:color="FFFFFF" w:sz="1"/>
              <w:bottom w:val="single" w:color="FFFFFF" w:sz="1"/>
              <w:right w:val="single" w:color="FFFFFF" w:sz="1"/>
            </w:tcBorders>
            <w:shd w:fill="FFFFFF" w:val="clear"/>
          </w:tcPr>
          <w:p>
            <w:pPr>
              <w:spacing w:before="60" w:after="60"/>
            </w:pPr>
          </w:p>
        </w:tc>
      </w:tr>
    </w:tbl>
    <w:p>
      <w:pPr>
        <w:spacing w:before="400" w:after="0"/>
      </w:pPr>
    </w:p>
    <w:p>
      <w:pPr>
        <w:spacing w:before="0" w:after="80"/>
        <w:jc w:val="left"/>
      </w:pPr>
      <w:r>
        <w:rPr>
          <w:rFonts w:ascii="Arial" w:cs="Arial" w:eastAsia="Arial" w:hAnsi="Arial"/>
          <w:b/>
          <w:bCs/>
          <w:i w:val="false"/>
          <w:iCs w:val="false"/>
          <w:color w:val="1E3A5F"/>
          <w:sz w:val="24"/>
          <w:szCs w:val="24"/>
        </w:rPr>
        <w:t xml:space="preserve">Summary</w:t>
      </w:r>
    </w:p>
    <w:p>
      <w:pPr>
        <w:spacing w:before="0" w:after="120"/>
        <w:jc w:val="left"/>
      </w:pPr>
      <w:r>
        <w:rPr>
          <w:rFonts w:ascii="Arial" w:cs="Arial" w:eastAsia="Arial" w:hAnsi="Arial"/>
          <w:b w:val="false"/>
          <w:bCs w:val="false"/>
          <w:i/>
          <w:iCs/>
          <w:color w:val="6B7280"/>
          <w:sz w:val="19"/>
          <w:szCs w:val="19"/>
        </w:rPr>
        <w:t xml:space="preserve">All reviewer comments have been addressed in the revised draft. The five items below involve choices we have made about the scope and presentation of the paper; we have explained our reasoning in the detailed responses above and welcome any further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19"/>
                <w:szCs w:val="19"/>
              </w:rPr>
              <w:t xml:space="preserve">Reviewer</w:t>
            </w:r>
          </w:p>
        </w:tc>
        <w:tc>
          <w:tcPr>
            <w:tcW w:type="dxa" w:w="300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19"/>
                <w:szCs w:val="19"/>
              </w:rPr>
              <w:t xml:space="preserve">Category</w:t>
            </w:r>
          </w:p>
        </w:tc>
        <w:tc>
          <w:tcPr>
            <w:tcW w:type="dxa" w:w="4360"/>
            <w:tcBorders>
              <w:top w:val="single" w:color="1E3A5F" w:sz="1"/>
              <w:left w:val="single" w:color="1E3A5F" w:sz="1"/>
              <w:bottom w:val="single" w:color="1E3A5F" w:sz="1"/>
              <w:right w:val="single" w:color="1E3A5F" w:sz="1"/>
            </w:tcBorders>
            <w:shd w:fill="1E3A5F" w:val="clear"/>
            <w:tcMar>
              <w:top w:type="dxa" w:w="60"/>
              <w:left w:type="dxa" w:w="120"/>
              <w:bottom w:type="dxa" w:w="60"/>
              <w:right w:type="dxa" w:w="120"/>
            </w:tcMar>
          </w:tcPr>
          <w:p>
            <w:pPr>
              <w:spacing w:before="0" w:after="60"/>
              <w:jc w:val="left"/>
            </w:pPr>
            <w:r>
              <w:rPr>
                <w:rFonts w:ascii="Arial" w:cs="Arial" w:eastAsia="Arial" w:hAnsi="Arial"/>
                <w:b/>
                <w:bCs/>
                <w:i w:val="false"/>
                <w:iCs w:val="false"/>
                <w:color w:val="FFFFFF"/>
                <w:sz w:val="19"/>
                <w:szCs w:val="19"/>
              </w:rPr>
              <w:t xml:space="preserve">Status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R1 C6</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SHAP comparison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SHAP and λ-OR address different failure modes; the comparison is informative on those terms. We have not derived a formal equivalence, which would be a different kind of result. See Section 3.1.</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R2 M4</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Section 1.1 ordering</w:t>
            </w:r>
          </w:p>
        </w:tc>
        <w:tc>
          <w:tcPr>
            <w:tcW w:type="dxa" w:w="4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We have kept the numerical examples in Section 1.1 as motivation, with explicit Lemma/Corollary forward-references. We appreciate the suggestion and hope the restructured prose makes the forward-references feel natural.</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R2 M8</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Threshold selection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The bias–variance trade-off framing in Section 2.4 and the practical recipe in Table 5 provide the guidance we felt we could reliably offer. We have not added a formal closed-form rule.</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R2 M11</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CIs in real data</w:t>
            </w:r>
          </w:p>
        </w:tc>
        <w:tc>
          <w:tcPr>
            <w:tcW w:type="dxa" w:w="4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The volcano plots encode full uncertainty via Vartotal (Eqs. 25–27). We have not tabulated per-feature CIs across tens of thousands of codes; approximate CIs are recoverable from the plot.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R3 C4</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AUC sensitivity simulation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before="0" w:after="60"/>
              <w:jc w:val="left"/>
            </w:pPr>
            <w:r>
              <w:rPr>
                <w:rFonts w:ascii="Arial" w:cs="Arial" w:eastAsia="Arial" w:hAnsi="Arial"/>
                <w:b w:val="false"/>
                <w:bCs w:val="false"/>
                <w:i w:val="false"/>
                <w:iCs w:val="false"/>
                <w:color w:val="111827"/>
                <w:sz w:val="18"/>
                <w:szCs w:val="18"/>
              </w:rPr>
              <w:t xml:space="preserve">Corollary 5 and the J/det(K) sweeps in Figs. 1–2 characterise degradation. The method assumes a reasonably good upstream model; we have not added a simulation with a deliberately poor model.</w:t>
            </w:r>
          </w:p>
        </w:tc>
      </w:tr>
    </w:tbl>
    <w:p>
      <w:pPr>
        <w:spacing w:before="320" w:after="0"/>
      </w:pPr>
    </w:p>
    <w:p>
      <w:pPr>
        <w:spacing w:before="0" w:after="60"/>
        <w:jc w:val="center"/>
      </w:pPr>
      <w:r>
        <w:rPr>
          <w:rFonts w:ascii="Arial" w:cs="Arial" w:eastAsia="Arial" w:hAnsi="Arial"/>
          <w:b w:val="false"/>
          <w:bCs w:val="false"/>
          <w:i/>
          <w:iCs/>
          <w:color w:val="6B7280"/>
          <w:sz w:val="16"/>
          <w:szCs w:val="16"/>
        </w:rPr>
        <w:t xml:space="preserve">Assessment prepared by the authors | Based on comparison of mainBMC.pdf (original) and mainBMCrevised.pdf (revised) against reviewer comments in lambda_or_R1.docx, reviewer2_.docx, and reviewer3.docx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2026-03-12T21:56:19.801Z</dcterms:created>
  <dcterms:modified xsi:type="dcterms:W3CDTF">2026-03-12T21:56:19.802Z</dcterms:modified>
</cp:coreProperties>
</file>

<file path=docProps/custom.xml><?xml version="1.0" encoding="utf-8"?>
<Properties xmlns="http://schemas.openxmlformats.org/officeDocument/2006/custom-properties" xmlns:vt="http://schemas.openxmlformats.org/officeDocument/2006/docPropsVTypes"/>
</file>