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i w:val="false"/>
          <w:iCs w:val="false"/>
          <w:color w:val="1E3A5F"/>
          <w:sz w:val="32"/>
          <w:szCs w:val="32"/>
        </w:rPr>
        <w:t xml:space="preserve">Reviewer Response Assessment</w:t>
      </w:r>
    </w:p>
    <w:p>
      <w:pPr>
        <w:spacing w:before="0" w:after="40"/>
        <w:jc w:val="center"/>
      </w:pPr>
      <w:r>
        <w:rPr>
          <w:rFonts w:ascii="Arial" w:cs="Arial" w:eastAsia="Arial" w:hAnsi="Arial"/>
          <w:b w:val="false"/>
          <w:bCs w:val="false"/>
          <w:i/>
          <w:iCs/>
          <w:color w:val="6B7280"/>
          <w:sz w:val="22"/>
          <w:szCs w:val="22"/>
        </w:rPr>
        <w:t xml:space="preserve">Correcting Label-noise Corruption with lambda-Odds Ratio</w:t>
      </w:r>
    </w:p>
    <w:p>
      <w:pPr>
        <w:spacing w:before="0" w:after="320"/>
        <w:jc w:val="center"/>
      </w:pPr>
      <w:r>
        <w:rPr>
          <w:rFonts w:ascii="Arial" w:cs="Arial" w:eastAsia="Arial" w:hAnsi="Arial"/>
          <w:b w:val="false"/>
          <w:bCs w:val="false"/>
          <w:i w:val="false"/>
          <w:iCs w:val="false"/>
          <w:color w:val="6B7280"/>
          <w:sz w:val="18"/>
          <w:szCs w:val="18"/>
        </w:rPr>
        <w:t xml:space="preserve">Authors' point-by-point response to reviewer comments | Revised draft: mainBMCrevised.pdf</w:t>
      </w:r>
    </w:p>
    <w:p>
      <w:pPr>
        <w:spacing w:before="0" w:after="120"/>
        <w:jc w:val="left"/>
      </w:pPr>
      <w:r>
        <w:rPr>
          <w:rFonts w:ascii="Arial" w:cs="Arial" w:eastAsia="Arial" w:hAnsi="Arial"/>
          <w:b/>
          <w:bCs/>
          <w:i w:val="false"/>
          <w:iCs w:val="false"/>
          <w:color w:val="1E3A5F"/>
          <w:sz w:val="24"/>
          <w:szCs w:val="24"/>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Reviewer</w:t>
            </w:r>
          </w:p>
        </w:tc>
        <w:tc>
          <w:tcPr>
            <w:tcW w:type="dxa" w:w="234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 Comments</w:t>
            </w:r>
          </w:p>
        </w:tc>
        <w:tc>
          <w:tcPr>
            <w:tcW w:type="dxa" w:w="234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Addressed</w:t>
            </w:r>
          </w:p>
        </w:tc>
        <w:tc>
          <w:tcPr>
            <w:tcW w:type="dxa" w:w="234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Gaps Remaining</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1</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2 (Major)</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10</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10</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2 (Minor)</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3</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4</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4</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4 (Major)</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4 (Minor)</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6</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6</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0</w:t>
            </w:r>
          </w:p>
        </w:tc>
      </w:tr>
    </w:tbl>
    <w:p>
      <w:pPr>
        <w:spacing w:before="400" w:after="0"/>
      </w:pPr>
    </w:p>
    <w:p>
      <w:pPr>
        <w:shd w:fill="1E3A5F" w:val="clear"/>
        <w:spacing w:before="320" w:after="160"/>
        <w:ind w:left="160" w:right="160"/>
      </w:pPr>
      <w:r>
        <w:rPr>
          <w:rFonts w:ascii="Arial" w:cs="Arial" w:eastAsia="Arial" w:hAnsi="Arial"/>
          <w:b/>
          <w:bCs/>
          <w:color w:val="FFFFFF"/>
          <w:sz w:val="26"/>
          <w:szCs w:val="26"/>
        </w:rPr>
        <w:t xml:space="preserve">REVIEWER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motivation of the study is unclear because of the poor presentation. Description of the introduction is not adequate for readers to understand the problem setup. The brief summary in section 1.1 does not help understanding because of the lack of detailed explanations for readers without prior knowledge. (Page 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substantially rewritten the introduction (pp. 1–3). We now lay out the problem setup before Section 1.1: the variables X, Y, and Ỹ are defined formally in Eq. (1), and a dedicated paragraph explains the two-threshold ROC strategy. Section 1.1 opens with explicit intuitive prose ("Two phenomena motivate λ-OR…") and every numerical example is accompanied by the relevant formal reference (Lemma 7, Corollary 8, Corollary 9). The discussion of OR blow-up and SHAP mis-ranking now includes explicit variable definitions throughout.</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"Consider retrospective dataset with binary case/control labels…" — I cannot understand the setup. What do the binary case/control labels mean? According to the following description, Y seems to be not the binary case/control labels. (Page 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restructured Section 2.1 (p. 4) to make the setup unambiguous. We now state explicitly that the dataset contains a binary exposure of interest Xj ∈ {0,1} and an unobserved true binary outcome Y ∈ {0,1}, distinct from the proxy label Ỹ. The predictive model f(Z) is introduced in Eq. (3) with Z explicitly noted as "not limited to Xj." The roles of the high-score tail H, low-score tail L, and selection indicator I are defined in Eqs. (4)–(5) before the contingency table is presented.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Definition of eq. (2) is incomplete. Definitions of b̃, c̃, d̃ are omitted. What is the probability that T̃ is observed? Population versions of T and T̃ are needed. (Page 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explicit set-builder definitions of all four cells ã, b̃, c̃, and d̃ in Eqs. (7)–(8) (p. 5). The population-level relationship E[T̃ | I=1] = E[T | I=1]K⊤ is stated in Eq. (14) (p. 5), making clear that this is an expected-value identity rather than a sample-level identity. Row and column index conventions (rows index Xj, columns index Ỹ or Y) are stated explicitly with Eq. (6).</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 eq. (4), T is unclearly defined. The (1,1)-element T̃₁₁ derivation raises confusion about what T₁₁ and T₁₂ represent. (Page 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defined T clearly in Eqs. (11)–(13) (p. 5) as the unobserved true contingency table, with fully explicit cell definitions: a = #{Xj=1, Y=1, I=1}, b = #{Xj=1, Y=0, I=1}, and so on. The operator relationship E[T̃|I=1] = E[T|I=1]K⊤ is given in Eq. (14). The closed-form per-row inversion is provided in Eqs. (19)–(20) (p. 6–7), making the cell-level arithmetic explicit and traceable.</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5</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There is no justification of the ridge regularization in terms of statistical models or maximum likelihood. Why not consider Firth-penalized method (Firth 1993) for the current setup? (Page 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 dedicated "Role of ridge regularization" subsection within Section 2.2 (pp. 6–7). We show the connection to Tikhonov regularization [16], derive the closed-form corrected counts in Eqs. (19)–(20), and explain how ridge increases the denominator and attenuates the subtraction terms that drive negativity. We explicitly address Firth penalization [17]: it operates at the odds-ratio estimation step after table reconstruction, whereas ridge operates earlier at the table-reconstruction step via Eq. (16). We describe the two as "addressing distinct stages" of the estimation pipeline and "complementary rather than competing."</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6</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It is unclear why SHAP is considered. Connection between SHAP and odds ratio is unclear. (Page 8)</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substantially expanded Section 3.1 (pp. 13–14), now titled "Comparison against SHAP analysis." We explain that SHAP is widely used in EHR-scale predictive modeling (cited as [8]) and therefore provides a natural practical benchmark, and we make the comparison's basis explicit: SHAP decomposes model predictions; λ-OR corrects outcome misclassification. These address different failure modes, and we believe the comparison is informative precisely because the two methods are not doing the same thing. We have not attempted a formal equivalence theorem between SHAP values and odds ratios, as the two quantities are of different types, but we hope the expanded framing in Section 3.1 satisfactorily clarifies why SHAP is included.</w:t>
            </w:r>
          </w:p>
          <w:p>
            <w:pPr>
              <w:spacing w:before="80" w:after="0"/>
            </w:pPr>
          </w:p>
          <w:p>
            <w:pPr>
              <w:spacing w:before="0" w:after="60"/>
              <w:jc w:val="left"/>
            </w:pPr>
            <w:r>
              <w:rPr>
                <w:rFonts w:ascii="Arial" w:cs="Arial" w:eastAsia="Arial" w:hAnsi="Arial"/>
                <w:b/>
                <w:bCs/>
                <w:color w:val="166534"/>
                <w:sz w:val="18"/>
                <w:szCs w:val="18"/>
              </w:rPr>
              <w:t xml:space="preserve">✓ Addressed — see response for our reasoning</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7</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It is unclear how T and T̃ are defined in the simulation section. (Page 9)</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explicit DGP definitions at the start of Section 4 (p. 15–16). T and T̃ are defined with row/column conventions (rows index X ∈ {1,0}, columns index the outcome state Y or Ỹ ∈ {1,0}). We state that T̃ is generated from T via independent non-differential flips with operator K, consistent with Assumption A. All constants — R, n, π, φ, θ, ridge grid, RNG seed — are given in Tables 2 and 3 (pp. 35–36).</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8</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 the python script 'lambdaORsimulation.py', Y is generated given X through logistic regression, unlike the retrospective sampling mentioned in the paper to generate X given Y. (Page 9)</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corrected the DGP description in Section 4 (p. 15). The revised paper now generates Y|X ~ Bernoulli(logit⁻¹(α + θX)) — i.e., prospectively, Y given X, consistent with what the simulation script actually does. We no longer claim retrospective sampling in the simulation, resolving the inconsistency between the paper and the code. The constant α is chosen numerically so that Pr(Y=1) = π, as specified in Table 2 (p. 35).</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9</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Reference: Firth, D. (1993). Bias Reduction of Maximum Likelihood Estimates.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Firth (1993) as reference [17] and discuss it explicitly in Section 2.2 (p. 7) with a clear explanation of how ridge regularization and Firth penalization address distinct stages of the estimation pipeline. The citation now appears in the body of the revised text rather than only in passing.</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320" w:after="0"/>
      </w:pPr>
    </w:p>
    <w:p>
      <w:pPr>
        <w:shd w:fill="1E3A5F" w:val="clear"/>
        <w:spacing w:before="320" w:after="160"/>
        <w:ind w:left="160" w:right="160"/>
      </w:pPr>
      <w:r>
        <w:rPr>
          <w:rFonts w:ascii="Arial" w:cs="Arial" w:eastAsia="Arial" w:hAnsi="Arial"/>
          <w:b/>
          <w:bCs/>
          <w:color w:val="FFFFFF"/>
          <w:sz w:val="26"/>
          <w:szCs w:val="26"/>
        </w:rPr>
        <w:t xml:space="preserve">REVIEWER 2 — MAJOR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Introduction: Authors state 'Classical label-noise corrections to OR mainly target small-sample misclassification or require external gold-standard cohorts…' — needs a more thorough description of available methods and citations for those requiring gold-standard cohorts.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 full literature paragraph to the introduction (p. 2). We cite classical bias analyses [7, 11], matrix and inverse-matrix adjustment methods [12, 13], and likelihood-based approaches [14, 15], and note explicitly that each "typically requires external adjudication, chart review, or dedicated validation subsamples" — directly answering which methods require gold-standard data and where they are cited.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Introduction: The idea of choosing high-purity tails induced by t_hi and t_lo should be briefly mentioned in the introduction as a key motivation.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an explicit explanation of the two-threshold strategy in the final paragraph of the introduction before Section 1.1 (p. 3): "By selecting high and low score tails, we obtain proxy case and control groups whose expected purity is governed by the model's ROC operating characteristics." This motivates the core construction before the formal development in Section 2.1.</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Introduction: The final paragraph before section 1.1 reads too technical. Recommend providing intuitive explanations for the theoretical benefits.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rewritten this paragraph (p. 3) to lead with the key insight ("when a reliable predictive model is available, its sensitivity–specificity trade-off can be used to correct label noise") before summarising the formal guarantees (collapse property via Corollary 5, OR blow-up resistance via Lemma 7 and Corollary 8, SHAP mis-ranking via Corollary 9). The Lemma/Corollary references are retained but the intuitive framing now comes first.</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1.1: This motivation doesn't make sense until you've read sections 2 and 3. Focus on intuitive takeaways; move numerical examples to after theorems are introduced.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restructured Section 1.1 (pp. 3–4) to open with intuitive prose ("Two phenomena motivate λ-OR…") before the numerical illustrations. Each example now explicitly cites the Lemma or Corollary that formally justifies it — Lemma 7 and Corollary 8 for OR blow-up, Corollary 9 for SHAP mis-ranking — so the reader can see immediately where the formal backing appears. We understand the reviewer's preference for placing numerical examples after the theorems, and we appreciate the suggestion. We have nevertheless kept the examples in Section 1.1, as we feel the concrete parameter illustrations in Eq. (2) and the SHAP mis-ranking calculation are most useful as motivation before the formal development. We hope the added forward-references make the structure feel less circular.</w:t>
            </w:r>
          </w:p>
          <w:p>
            <w:pPr>
              <w:spacing w:before="80" w:after="0"/>
            </w:pPr>
          </w:p>
          <w:p>
            <w:pPr>
              <w:spacing w:before="0" w:after="60"/>
              <w:jc w:val="left"/>
            </w:pPr>
            <w:r>
              <w:rPr>
                <w:rFonts w:ascii="Arial" w:cs="Arial" w:eastAsia="Arial" w:hAnsi="Arial"/>
                <w:b/>
                <w:bCs/>
                <w:color w:val="166534"/>
                <w:sz w:val="18"/>
                <w:szCs w:val="18"/>
              </w:rPr>
              <w:t xml:space="preserve">✓ Addressed — see response for our reasoning</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5</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1.1: The final paragraph is a summary of results; focus on the takeaway rather than explaining the figure.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rewritten the closing paragraph of Section 1.1 (p. 4) to focus on the take-away: "both association screening via naive odds ratios and model-based attribution via SHAP can be unstable under common conditions in large observational EHR data. λ-OR is designed to mitigate these effects by explicitly correcting for outcome misclassification before computing odds ratios and by collapsing toward null attribution when the underlying score is non-informative." The paragraph no longer redundantly describes Figure 5.</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6</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2.1: Notation could be clearer. The predictive model/score depends on all X, not just the exposure of interest. Xj notation from Section 3.1 should be introduced in Section 2.1.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revised the opening of Section 2.1 (p. 4) to introduce the Xj notation explicitly from the outset: "We consider a retrospective dataset of subjects with a binary exposure of interest Xj ∈ {0,1}." The risk score is defined as S = f(Z) in Eq. (3), where "Z denotes the feature set used by the predictive model (not limited to Xj)," making the distinction between Xj and the full feature set clear before the contingency table construction.</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7</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2: A proof or more thorough walkthrough for the variance in Equation (9) would be needed for completeness.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 full Appendix 1 (pp. 30–33) titled "Delta-method variance propagation for log λ-OR(λ)." This derives the extra variance component step by step: we differentiate the correction map (psel, qsel) → K → T(λ) → log(ad/bc) using the matrix inverse identity ∂M⁻¹/∂θ = −M⁻¹(∂M/∂θ)M⁻¹, compute ∂T(λ)/∂p and ∂T(λ)/∂q explicitly, apply the chain rule to the log-odds functional g(a,b,c,d) = log(ad/bc), and state the diagonal working approximation for Cov(p̂sel, q̂sel). The total variance in Eq. (25) is Varnaive + Varextra, with both components fully derived.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8</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2 (2.4-2.6): Could use more direct guidance on choosing thresholds. Do the authors have intuition for a good preset floor or level of precision? How were specific values chosen for simulations and real data?</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expanded Section 2.4 (pp. 8–10) with explicit practical guidance: thi is set to achieve ≥97% specificity (false-positive rate ≤3%), and tlo targets sensitivity of ≈70–80%. Table 5 (p. 36) reports the exact thresholds used in all three real-data applications. We also provide a formal bias–variance trade-off framing, showing that MSE(log OR) ≈ C₁(1−J)² + C₂/neff, with an explicit "Practical recipe for threshold selection" paragraph that explains the interior-optimum logic. We hope this gives practitioners the guidance they need. We have not added a formal closed-form optimisation rule, as we felt the bias–variance trade-off framing captures the essential logic and the specific numerical targets in Table 5 ground it in practice.</w:t>
            </w:r>
          </w:p>
          <w:p>
            <w:pPr>
              <w:spacing w:before="80" w:after="0"/>
            </w:pPr>
          </w:p>
          <w:p>
            <w:pPr>
              <w:spacing w:before="0" w:after="60"/>
              <w:jc w:val="left"/>
            </w:pPr>
            <w:r>
              <w:rPr>
                <w:rFonts w:ascii="Arial" w:cs="Arial" w:eastAsia="Arial" w:hAnsi="Arial"/>
                <w:b/>
                <w:bCs/>
                <w:color w:val="166534"/>
                <w:sz w:val="18"/>
                <w:szCs w:val="18"/>
              </w:rPr>
              <w:t xml:space="preserve">✓ Addressed — see response for our reasoning</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9</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4: Missing details on simulation setting (sample size, replicates, target log OR). Additional simulations needed — authors only vary p_sel; how sensitive are results to varying q_sel, sample size, and target OR?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fully specified all simulation constants in Tables 2 and 3 (pp. 35–36): R=250 replicates, n=20,000, π=0.2, φ=0.5, θ=log 2, ridge grid λ ∈ {0, 10⁻⁶, 10⁻⁵, 10⁻⁴, 10⁻³}, and RNG seed 20251005. Figure 1 (p. 16) sweeps specificity degradation (fixed psel=0.95, varying 1−qsel) and symmetric degradation (psel=qsel). Figure 2 (p. 17) sweeps across false negative rate 1−psel (panels a,b), false positive rate 1−qsel (panels c,d,i), target effect θ (panels e,f,g), and sample size n (panel h), comprehensively addressing the request.</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10</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5: More details on the dataset would be helpful. What is the sample size? Is there missingness in exposures? The model could be briefly explained in the 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Table 5 (p. 36) reporting full cohort sizes for all three applications: out-of-sample totals of 594,442 (ASD), 616,722 (IPF), and 5,104,357 (ADRD), with training cohort sizes, feature counts, selected analysis sizes (35,704; 26,574; 415,186), and the two-gate parameters (thi, tlo, psel, qsel). The ZeBRA models are cited as [2, 3, 5]. On missingness, we clarify in Section 5 (p. 22): "A code either appears in a patient's record or it does not, so there is no concept of missingness in the conventional sense. Rather… the data are sparse and potentially noise-corrupted."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5: Confidence intervals explored in simulations but not applied in the real data analysis. How could CIs be insightful in practice?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appreciate this suggestion. The volcano plots in Figure 5 (p. 23) encode the full uncertainty picture via the vertical axis, which reports −log₁₀(p) derived from the Wald statistic Z = ℓ/√Vartotal (Eqs. 26–27, p. 7–8), where Vartotal = Varnaive + Varextra (Eq. 25) incorporates both sampling variance and the delta-method contribution from estimating (psel, qsel). Approximate 95% CIs can be recovered directly as ℓ ± 1.96 × SE. We have not added a tabulated CI column for individual ICD codes, as the feature spaces run to tens of thousands of codes and the volcano plots already convey the same information graphically. We hope the explicit connection between the vertical axis and Vartotal in Section 5 (p. 24) addresses the spirit of the comment.</w:t>
            </w:r>
          </w:p>
          <w:p>
            <w:pPr>
              <w:spacing w:before="80" w:after="0"/>
            </w:pPr>
          </w:p>
          <w:p>
            <w:pPr>
              <w:spacing w:before="0" w:after="60"/>
              <w:jc w:val="left"/>
            </w:pPr>
            <w:r>
              <w:rPr>
                <w:rFonts w:ascii="Arial" w:cs="Arial" w:eastAsia="Arial" w:hAnsi="Arial"/>
                <w:b/>
                <w:bCs/>
                <w:color w:val="166534"/>
                <w:sz w:val="18"/>
                <w:szCs w:val="18"/>
              </w:rPr>
              <w:t xml:space="preserve">✓ Addressed — see response for our reasoning</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5: Could the authors provide an example of a biologically implausible protective code under naive OR that is not significant with λ-OR?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Table 6 (p. 37) providing 12 concrete real-data examples of ICD codes that appear significantly protective under the naive odds ratio but lose significance after λ-OR correction, with their log OR, naive −log₁₀(p), log λ-OR, and corrected −log₁₀(p) values tabulated. Representative examples include acne vulgaris (L70.0), streptococcal pharyngitis (J02.0), abnormal weight gain (R63.5), ADHD (F90.0), and cervicobrachial syndrome (M53.1). These are precisely the attribution artefacts λ-OR is designed to suppress.</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Concluding remarks: Please expand on the impact of the method and practicality for researchers.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expanded the concluding remarks (p. 25–26) with a paragraph on practical implementation: "The procedure requires only a held-out labelled cohort to choose the low- and high-risk score thresholds and estimate (psel, qsel), followed by construction of the selected-set contingency tables for the exposures of interest." We also highlight suitability for large EHR settings, the role of the validation-induced variance floor in preventing uncontrolled significance inflation, and the availability of a reference implementation at the DOI and GitHub links provided.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320" w:after="0"/>
      </w:pPr>
    </w:p>
    <w:p>
      <w:pPr>
        <w:shd w:fill="1E3A5F" w:val="clear"/>
        <w:spacing w:before="320" w:after="160"/>
        <w:ind w:left="160" w:right="160"/>
      </w:pPr>
      <w:r>
        <w:rPr>
          <w:rFonts w:ascii="Arial" w:cs="Arial" w:eastAsia="Arial" w:hAnsi="Arial"/>
          <w:b/>
          <w:bCs/>
          <w:color w:val="FFFFFF"/>
          <w:sz w:val="26"/>
          <w:szCs w:val="26"/>
        </w:rPr>
        <w:t xml:space="preserve">REVIEWER 2 — MINOR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'Odds ratio' should be spelled out the first time it is mentioned in the introduction.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spelled out "Odds Ratio (OR)" on its first substantive use in the introduction body (p. 2). All other key abbreviations — ASD, IPF, ADRD, EHR, SHAP, LIME, ICD-10-CM — are also spelled out on first use in the introduction.</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'Specificity' on page 5 ('while tlo is chosen so that specificity is ≈70–80%') should be 'sensitivity.'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Corrected. Section 2.4 (p. 8) now reads: "tlo is chosen to achieve high sensitivity (equivalently, a low false-negative rate)… we target sensitivity in the range ≈70–80% at tlo."</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Inconsistent use of lower vs. uppercase lambda (λ vs. Λ) in referring to the method.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standardised to λ-OR throughout the revised manuscript — in the main text, all theorems, corollaries, figure captions, and Algorithm 1. The original Fig. 2 captions used "log Λ-OR"; these are corrected to "log λ-OR" in the revised version. No instances of the uppercase Λ form remain.</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What specific ICD vocabulary is being used? (e.g., ICD-9 or ICD-10)</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this in the introduction (p. 2): "International Classification of Diseases (ICD-10-CM) (ICD) code sets," making the vocabulary explicit. The same specification is repeated in Section 5 (p. 22) when the applications are described.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5</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Figure 2: The red line should be defined in the caption. Also, 'ROR' in the right column should be λ-OR.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"ROR" label in the original Fig. 2 right panels is corrected to "log λ-OR" in the revised version. The estimator labels are defined in the caption of the revised Figure 2 (p. 17): "the naive log-odds ratio computed from the misclassified outcome table (OR; gray) and the corrected estimator λ-OR (red)."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6</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Corollary 6 proof mentions 'Lemma 4(b)' which is not present in the paper.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dangling reference to "Lemma 4(b)" no longer appears in the revised paper. The result numbering has been restructured: the relevant collapse corollary is now Corollary 5, and the SHAP mis-ranking results are Lemma 6 and Corollary 9. All proofs cite correct internal references.</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7</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Algorithm 1 is not mentioned in the main 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an explicit reference to Algorithm 1 in Section 2.3 (p. 7): "The pseudocode for the λ-OR calculation is enumerated in Algorithm 1." The algorithm (p. 34) is also referenced directly in the simulation section (Section 4, p. 15–16) where we state that "the corrected estimator λ-OR is computed exactly as in Algorithm 1."</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320" w:after="0"/>
      </w:pPr>
    </w:p>
    <w:p>
      <w:pPr>
        <w:shd w:fill="1E3A5F" w:val="clear"/>
        <w:spacing w:before="320" w:after="160"/>
        <w:ind w:left="160" w:right="160"/>
      </w:pPr>
      <w:r>
        <w:rPr>
          <w:rFonts w:ascii="Arial" w:cs="Arial" w:eastAsia="Arial" w:hAnsi="Arial"/>
          <w:b/>
          <w:bCs/>
          <w:color w:val="FFFFFF"/>
          <w:sz w:val="26"/>
          <w:szCs w:val="26"/>
        </w:rPr>
        <w:t xml:space="preserve">REVIEWER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Please provide full names for abbreviations when first used in the paper (e.g., EHR).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spelled out all abbreviations on first use in the introduction: Electronic Healthcare Record (EHR) (p. 1), Autism Spectrum Disorder (ASD), Idiopathic Pulmonary Fibrosis (IPF), Alzheimer's Disease and Related Dementia (ADRD) (p. 2), SHapley Additive exPlanations (SHAP), Local Interpretable Model-agnostic Explanations (LIME) (p. 2), and International Classification of Diseases (ICD-10-CM) (p. 2).</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paper doesn't state the design constants (R, π, φ, n) in the simulation. Parameter settings for the case study are also unclear, making reproducibility difficult to assess.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Tables 2, 3, and 4 (pp. 35–36) fully specifying all simulation constants: R=250 replicates, n=20,000, π=0.2, φ=0.5, θ=log 2, misclassification grids, ridge grid λ ∈ {0, 10⁻⁶, 10⁻⁵, 10⁻⁴, 10⁻³}, continuity correction (0.5 added to each cell), feasibility floor ε=10⁻⁹, and RNG seed 20251005. Table 5 (p. 36) provides case-study parameters for all three applications: cohort sizes, feature counts, thi, tlo, quantiles, and the selection-conditional (psel, qsel) values.</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Could you include a simulation analogue of Figure 2 (effect size vs. −log10(p)) for OR and λ-OR, with points colored for true vs. false positives? Also report FDR.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Figures 3 and 4 (pp. 19–21). Figure 3 provides the volcano plot analogue for n = 50,000, 100,000, and 1,000,000, with non-null features shown in red and null features in black — comparing naive OR (panels a, c, e) to λ-OR inference (panels b, d, f). Figure 4 provides a cohort-size sweep (102 to 106 cases, 11 log-spaced points) explicitly reporting FDR = FP/(TP+FP), true positives, and false positives at both α=0.05 (panels a–c) and α=0.01 (panels d–f). Simulation parameters are listed in Table 4 (p. 36).</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approach hinges on availability of a strong, well-calibrated predictive model. How sensitive is performance to model quality (varying AUC/calibration, validation-set shift)? When does λ-OR degrade or become unstable?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appreciate the reviewer raising this important point. Corollary 5 (p. 13) provides the theoretical guarantee: as AUC → 0.5, J → 0, and log λ-OR → 0 in probability, with increasing variance and fewer signals crossing significance thresholds. We have added explicit prose in the Theory section (p. 13) noting that "poor predictive performance does not create spurious corrected associations, but instead manifests as increased uncertainty and eventual collapse toward the null." The J/det(K) sweeps in Figures 1–2 (pp. 16–17) illustrate this degradation across the full conditioning range. We have not added an empirical simulation with a deliberately degraded upstream model, as the method's intended setting is one where a reasonably good predictive model is already available — that is the premise from which the paper proceeds. We hope Corollary 5 together with the J-based sweeps provides sufficient characterisation of the degradation behaviour.</w:t>
            </w:r>
          </w:p>
          <w:p>
            <w:pPr>
              <w:spacing w:before="80" w:after="0"/>
            </w:pPr>
          </w:p>
          <w:p>
            <w:pPr>
              <w:spacing w:before="0" w:after="60"/>
              <w:jc w:val="left"/>
            </w:pPr>
            <w:r>
              <w:rPr>
                <w:rFonts w:ascii="Arial" w:cs="Arial" w:eastAsia="Arial" w:hAnsi="Arial"/>
                <w:b/>
                <w:bCs/>
                <w:color w:val="166534"/>
                <w:sz w:val="18"/>
                <w:szCs w:val="18"/>
              </w:rPr>
              <w:t xml:space="preserve">✓ Addressed — see response for our reasoning</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320" w:after="0"/>
      </w:pPr>
    </w:p>
    <w:p>
      <w:pPr>
        <w:shd w:fill="1E3A5F" w:val="clear"/>
        <w:spacing w:before="320" w:after="160"/>
        <w:ind w:left="160" w:right="160"/>
      </w:pPr>
      <w:r>
        <w:rPr>
          <w:rFonts w:ascii="Arial" w:cs="Arial" w:eastAsia="Arial" w:hAnsi="Arial"/>
          <w:b/>
          <w:bCs/>
          <w:color w:val="FFFFFF"/>
          <w:sz w:val="26"/>
          <w:szCs w:val="26"/>
        </w:rPr>
        <w:t xml:space="preserve">REVIEWER 4 — MAJOR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Paper was overall difficult to read. Derivations are given without explanation; notational clashing (S defined as Shapley and risk score, a and b get redefined in proofs, confusion matrices not labeled, notation used before defining). Encourage authors to keep consistent notation and explain things slowly.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made extensive notational revisions throughout. We now use Sj for mean-absolute SHAP values (Eq. 53, p. 14), reserving S = f(Z) (Eq. 3, p. 4) for the risk score. The contingency table T̃ in Eq. (6) (p. 5) is now explicitly labeled: rows index Xj ∈ {1,0} and columns index Ỹ ∈ {1,0}. All abbreviations are defined on first use. The proof of Theorem 3 (p. 11) adds explicit prose deriving a − b = (p₁−p₀)ΔY via the law of total probability. Appendix 1 (pp. 30–33) labels all matrix partial derivatives ∂K⊤/∂p and ∂K⊤/∂q explicitly.</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Theorem 2: Confused about the proof — seems to bound a risk ratio, not an odds ratio. Please explain. Also explain 'From the PPV/NPV mixture identities, a − b = (p1−p0)ΔY.' Don't you need to assume Xj ⊥ R | 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Assumption B (Xj ⊥ R | Y) explicitly before Theorem 3 (formerly Theorem 2) on p. 11, and used it in the proof. The identity a − b = (p₁−p₀)ΔY is now derived explicitly via the law of total probability (p. 11). The bound is correctly stated as |log ORj,R| ≤ |p₁−p₀|/ε(1−ε) · ΔY, derived using the mean value theorem for log(u/(1−u)) with derivative 1/(u(1−u)) ≤ 1/(ε(1−ε)) for u ∈ [ε, 1−ε] — making clear this is an odds-ratio bound, not a risk-ratio bound.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2: ASD, IPF and ADRD defined only in abstract. Define in the main text too.</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Fixed. The revised introduction (p. 2) defines all three on first use: "Autism Spectrum Disorder (ASD), Idiopathic Pulmonary Fibrosis (IPF)… and Alzheimer's Disease and Related Dementia (ADRD)." These definitions now appear in the main text body, independently of the abstract.</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320" w:after="0"/>
      </w:pPr>
    </w:p>
    <w:p>
      <w:pPr>
        <w:shd w:fill="1E3A5F" w:val="clear"/>
        <w:spacing w:before="320" w:after="160"/>
        <w:ind w:left="160" w:right="160"/>
      </w:pPr>
      <w:r>
        <w:rPr>
          <w:rFonts w:ascii="Arial" w:cs="Arial" w:eastAsia="Arial" w:hAnsi="Arial"/>
          <w:b/>
          <w:bCs/>
          <w:color w:val="FFFFFF"/>
          <w:sz w:val="26"/>
          <w:szCs w:val="26"/>
        </w:rPr>
        <w:t xml:space="preserve">REVIEWER 4 — MINOR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2: 'λ-OR's collapse property prevents such mis-ranking when the underlying score is uninformative (Lemma 3 and Corollaries 5,7).' — misnumbering of Lemmas and Corollaries.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renumbered all results in the revised paper. The collapse corollary is now Corollary 5 ("Lipschitz ROC implies collapse as AUC → 0.5"), the SHAP mis-ranking result is Corollary 9, and the mean-absolute SHAP lemma is Lemma 6. All references to these results in the introduction (p. 3) and throughout the paper are updated to match the revised numbering.</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3 SHAP example: Notation not defined yet. Also Corollaries 5,7 should be 6,7.</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definitions of βj (the regression coefficient for feature j) and σj = √Var(Xj) directly in the prose of Section 1.1 (p. 4) before the numerical SHAP mis-ranking example. Corollary numbering is corrected throughout; the relevant result in the revised paper is Corollary 9 (SHAP mis-ranking under heterogeneous feature variance, p. 15).</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4 Equation (2): Label the rows and columns of the table.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contingency table T̃ in Eq. (6) (p. 5) of the revised paper is now explicitly labeled: "where rows index Xj ∈ {1,0} and columns index Ỹ ∈ {1,0}." The full explicit cell definitions appear in Eqs. (7)–(8).</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4 Equation (3): State that you are assuming selection is independent of exposure.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Assumption A (Non-differential misclassification) formally before Eq. (14) on p. 5: "Ỹ ⊥ Xj | (Y, I=1), so that… the proxy-labeling mechanism depends only on the true outcome and not on the exposure." This ensures that the same operator K applies in both exposure strata and justifies the matrix relationship in Eq. (14).</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5</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4 Section 2.2: Show how ridge inversion ensures non-negativity by tilting the inverse away from subtraction dominance with the closed-form expression for T_{x,1}^λ.</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the full closed-form expressions for the corrected row elements t(λ)₁ and t(λ)₀ in Eqs. (19)–(20) (pp. 6–7), with explicit prose: "Equations (19)–(20) show that ridge increases the denominator and attenuates the subtraction terms that drive negativity under the unregularized inverse… This trades a small bias for substantial numerical stability and prevents spurious extreme odds ratios arising from near-zero or negative recovered counts."</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6</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Figure 2: log Λ-OR should be log λ-OR. Algorithm 1 line 27 is off — shouldn't it be +log10(sqrt(2π)|z|) (not minus)?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Both issues are corrected. The Λ vs. λ inconsistency is fixed throughout all figures. For Algorithm 1 line 27 (p. 34): the revised algorithm now shows "−log₁₀ p ← z²/(2 ln 10) + log₁₀(√(2π)|z|)" — i.e., the sign is corrected to '+' as the reviewer indicated. This is the correct large-|z| approximation for −log₁₀(2Φ(−|z|)).</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400" w:after="0"/>
      </w:pPr>
    </w:p>
    <w:p>
      <w:pPr>
        <w:spacing w:before="0" w:after="80"/>
        <w:jc w:val="left"/>
      </w:pPr>
      <w:r>
        <w:rPr>
          <w:rFonts w:ascii="Arial" w:cs="Arial" w:eastAsia="Arial" w:hAnsi="Arial"/>
          <w:b/>
          <w:bCs/>
          <w:i w:val="false"/>
          <w:iCs w:val="false"/>
          <w:color w:val="1E3A5F"/>
          <w:sz w:val="24"/>
          <w:szCs w:val="24"/>
        </w:rPr>
        <w:t xml:space="preserve">Summary</w:t>
      </w:r>
    </w:p>
    <w:p>
      <w:pPr>
        <w:spacing w:before="0" w:after="120"/>
        <w:jc w:val="left"/>
      </w:pPr>
      <w:r>
        <w:rPr>
          <w:rFonts w:ascii="Arial" w:cs="Arial" w:eastAsia="Arial" w:hAnsi="Arial"/>
          <w:b w:val="false"/>
          <w:bCs w:val="false"/>
          <w:i/>
          <w:iCs/>
          <w:color w:val="6B7280"/>
          <w:sz w:val="19"/>
          <w:szCs w:val="19"/>
        </w:rPr>
        <w:t xml:space="preserve">All reviewer comments have been addressed in the revised draft. The five items below involve choices we have made about the scope and presentation of the paper; we have explained our reasoning in the detailed responses above and welcome any further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Reviewer</w:t>
            </w:r>
          </w:p>
        </w:tc>
        <w:tc>
          <w:tcPr>
            <w:tcW w:type="dxa" w:w="3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Category</w:t>
            </w:r>
          </w:p>
        </w:tc>
        <w:tc>
          <w:tcPr>
            <w:tcW w:type="dxa" w:w="43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Status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R1 C6</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SHAP comparison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SHAP and λ-OR address different failure modes; the comparison is informative on those terms. We have not derived a formal equivalence, which would be a different kind of result. See Section 3.1.</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R2 M4</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Section 1.1 ordering</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We have kept the numerical examples in Section 1.1 as motivation, with explicit Lemma/Corollary forward-references. We appreciate the suggestion and hope the restructured prose makes the forward-references feel natural.</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R2 M8</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Threshold selection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The bias–variance trade-off framing in Section 2.4 and the practical recipe in Table 5 provide the guidance we felt we could reliably offer. We have not added a formal closed-form rule.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R2 M11</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CIs in real data</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The volcano plots encode full uncertainty via Vartotal (Eqs. 25–27). We have not tabulated per-feature CIs across tens of thousands of codes; approximate CIs are recoverable from the plot.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R3 C4</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AUC sensitivity simulation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Corollary 5 and the J/det(K) sweeps in Figs. 1–2 characterise degradation. The method assumes a reasonably good upstream model; we have not added a simulation with a deliberately poor model.</w:t>
            </w:r>
          </w:p>
        </w:tc>
      </w:tr>
    </w:tbl>
    <w:p>
      <w:pPr>
        <w:spacing w:before="320" w:after="0"/>
      </w:pPr>
    </w:p>
    <w:p>
      <w:pPr>
        <w:spacing w:before="480" w:after="120"/>
        <w:jc w:val="left"/>
      </w:pPr>
      <w:r>
        <w:rPr>
          <w:rFonts w:ascii="Arial" w:cs="Arial" w:eastAsia="Arial" w:hAnsi="Arial"/>
          <w:b/>
          <w:bCs/>
          <w:color w:val="1E3A5F"/>
          <w:sz w:val="26"/>
          <w:szCs w:val="26"/>
        </w:rPr>
        <w:t>Summary of Changes for the Editor</w:t>
      </w:r>
    </w:p>
    <w:p>
      <w:pPr>
        <w:spacing w:before="120" w:after="80"/>
      </w:pPr>
      <w:r>
        <w:rPr>
          <w:rFonts w:ascii="Arial" w:cs="Arial" w:eastAsia="Arial" w:hAnsi="Arial"/>
          <w:i/>
          <w:iCs/>
          <w:color w:val="374151"/>
          <w:sz w:val="18"/>
          <w:szCs w:val="18"/>
        </w:rPr>
        <w:t xml:space="preserve">The revised manuscript (mainBMCrevised.pdf) incorporates substantial changes across all sections in response to comments from Reviewers 1–4. The table below summarises the structural differences relative to the original submission (mainBMC.pdf).</w:t>
      </w:r>
    </w:p>
    <w:p>
      <w:pPr>
        <w:spacing w:before="200" w:after="80"/>
      </w:pPr>
      <w:r>
        <w:rPr>
          <w:rFonts w:ascii="Arial" w:cs="Arial" w:eastAsia="Arial" w:hAnsi="Arial"/>
          <w:b/>
          <w:bCs/>
          <w:color w:val="1E3A5F"/>
          <w:sz w:val="20"/>
          <w:szCs w:val="20"/>
        </w:rPr>
        <w:t>Figures and Tables: Original vs. Revised</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560"/>
        <w:gridCol w:w="3900"/>
        <w:gridCol w:w="3900"/>
      </w:tblGrid>
      <w:tr>
        <w:tc>
          <w:tcPr>
            <w:tcW w:type="dxa" w:w="1560"/>
            <w:shd w:fill="1E3A5F" w:val="clear"/>
            <w:tcMar>
              <w:top w:type="dxa" w:w="80"/>
              <w:left w:type="dxa" w:w="120"/>
              <w:bottom w:type="dxa" w:w="80"/>
              <w:right w:type="dxa" w:w="120"/>
            </w:tcMar>
          </w:tcPr>
          <w:p>
            <w:pPr>
              <w:spacing w:before="0" w:after="0"/>
            </w:pPr>
            <w:r>
              <w:rPr>
                <w:rFonts w:ascii="Arial" w:cs="Arial" w:hAnsi="Arial"/>
                <w:b/>
                <w:color w:val="FFFFFF"/>
                <w:sz w:val="18"/>
                <w:szCs w:val="18"/>
              </w:rPr>
              <w:t/>
            </w:r>
          </w:p>
        </w:tc>
        <w:tc>
          <w:tcPr>
            <w:tcW w:type="dxa" w:w="3900"/>
            <w:shd w:fill="1E3A5F" w:val="clear"/>
            <w:tcMar>
              <w:top w:type="dxa" w:w="80"/>
              <w:left w:type="dxa" w:w="120"/>
              <w:bottom w:type="dxa" w:w="80"/>
              <w:right w:type="dxa" w:w="120"/>
            </w:tcMar>
          </w:tcPr>
          <w:p>
            <w:pPr>
              <w:spacing w:before="0" w:after="0"/>
            </w:pPr>
            <w:r>
              <w:rPr>
                <w:rFonts w:ascii="Arial" w:cs="Arial" w:hAnsi="Arial"/>
                <w:b/>
                <w:color w:val="FFFFFF"/>
                <w:sz w:val="18"/>
                <w:szCs w:val="18"/>
              </w:rPr>
              <w:t>Original Submission (mainBMC.pdf)</w:t>
            </w:r>
          </w:p>
        </w:tc>
        <w:tc>
          <w:tcPr>
            <w:tcW w:type="dxa" w:w="3900"/>
            <w:shd w:fill="1E3A5F" w:val="clear"/>
            <w:tcMar>
              <w:top w:type="dxa" w:w="80"/>
              <w:left w:type="dxa" w:w="120"/>
              <w:bottom w:type="dxa" w:w="80"/>
              <w:right w:type="dxa" w:w="120"/>
            </w:tcMar>
          </w:tcPr>
          <w:p>
            <w:pPr>
              <w:spacing w:before="0" w:after="0"/>
            </w:pPr>
            <w:r>
              <w:rPr>
                <w:rFonts w:ascii="Arial" w:cs="Arial" w:hAnsi="Arial"/>
                <w:b/>
                <w:color w:val="FFFFFF"/>
                <w:sz w:val="18"/>
                <w:szCs w:val="18"/>
              </w:rPr>
              <w:t>Revised Manuscript (mainBMCrevised.pdf)</w:t>
            </w:r>
          </w:p>
        </w:tc>
      </w:tr>
      <w:tr>
        <w:tc>
          <w:tcPr>
            <w:tcW w:type="dxa" w:w="1560"/>
            <w:shd w:fill="EFF4FB" w:val="clear"/>
            <w:tcMar>
              <w:top w:type="dxa" w:w="80"/>
              <w:left w:type="dxa" w:w="120"/>
              <w:bottom w:type="dxa" w:w="80"/>
              <w:right w:type="dxa" w:w="120"/>
            </w:tcMar>
          </w:tcPr>
          <w:p>
            <w:pPr>
              <w:spacing w:before="0" w:after="0"/>
            </w:pPr>
            <w:r>
              <w:rPr>
                <w:rFonts w:ascii="Arial" w:cs="Arial" w:hAnsi="Arial"/>
                <w:b/>
                <w:color w:val="1E3A5F"/>
                <w:sz w:val="18"/>
                <w:szCs w:val="18"/>
              </w:rPr>
              <w:t>Figures</w:t>
            </w:r>
          </w:p>
        </w:tc>
        <w:tc>
          <w:tcPr>
            <w:tcW w:type="dxa" w:w="3900"/>
            <w:shd w:fill="EFF4FB" w:val="clear"/>
            <w:tcMar>
              <w:top w:type="dxa" w:w="80"/>
              <w:left w:type="dxa" w:w="120"/>
              <w:bottom w:type="dxa" w:w="80"/>
              <w:right w:type="dxa" w:w="120"/>
            </w:tcMar>
          </w:tcPr>
          <w:p>
            <w:pPr>
              <w:spacing w:before="0" w:after="40"/>
            </w:pPr>
            <w:r>
              <w:rPr>
                <w:rFonts w:ascii="Arial" w:cs="Arial" w:hAnsi="Arial"/>
                <w:b/>
                <w:color w:val="374151"/>
                <w:sz w:val="18"/>
                <w:szCs w:val="18"/>
              </w:rPr>
              <w:t>2 figures</w:t>
            </w:r>
          </w:p>
          <w:p>
            <w:pPr>
              <w:spacing w:before="0" w:after="0"/>
            </w:pPr>
            <w:r>
              <w:rPr>
                <w:rFonts w:ascii="Arial" w:cs="Arial" w:hAnsi="Arial"/>
                <w:color w:val="374151"/>
                <w:sz w:val="17"/>
                <w:szCs w:val="17"/>
              </w:rPr>
              <w:t xml:space="preserve">Fig. 1 – Simulation: bias, RMSE, coverage vs. misclassification rate (p. 11)</w:t>
            </w:r>
          </w:p>
          <w:p>
            <w:pPr>
              <w:spacing w:before="0" w:after="0"/>
            </w:pPr>
            <w:r>
              <w:rPr>
                <w:rFonts w:ascii="Arial" w:cs="Arial" w:hAnsi="Arial"/>
                <w:color w:val="374151"/>
                <w:sz w:val="17"/>
                <w:szCs w:val="17"/>
              </w:rPr>
              <w:t xml:space="preserve">Fig. 2 – Attribution volcano plots: OR, SHAP, λ-OR for IPF, ASD, ADRD (p. 12)</w:t>
            </w:r>
          </w:p>
        </w:tc>
        <w:tc>
          <w:tcPr>
            <w:tcW w:type="dxa" w:w="3900"/>
            <w:shd w:fill="EFF4FB" w:val="clear"/>
            <w:tcMar>
              <w:top w:type="dxa" w:w="80"/>
              <w:left w:type="dxa" w:w="120"/>
              <w:bottom w:type="dxa" w:w="80"/>
              <w:right w:type="dxa" w:w="120"/>
            </w:tcMar>
          </w:tcPr>
          <w:p>
            <w:pPr>
              <w:spacing w:before="0" w:after="40"/>
            </w:pPr>
            <w:r>
              <w:rPr>
                <w:rFonts w:ascii="Arial" w:cs="Arial" w:hAnsi="Arial"/>
                <w:b/>
                <w:color w:val="1E6E3A"/>
                <w:sz w:val="18"/>
                <w:szCs w:val="18"/>
              </w:rPr>
              <w:t>5 figures (3 new)</w:t>
            </w:r>
          </w:p>
          <w:p>
            <w:pPr>
              <w:spacing w:before="0" w:after="0"/>
            </w:pPr>
            <w:r>
              <w:rPr>
                <w:rFonts w:ascii="Arial" w:cs="Arial" w:hAnsi="Arial"/>
                <w:color w:val="374151"/>
                <w:sz w:val="17"/>
                <w:szCs w:val="17"/>
              </w:rPr>
              <w:t xml:space="preserve">Fig. 1 – Structured conditioning sweeps: 2 regimes, 8 panels (p. 16)</w:t>
            </w:r>
          </w:p>
          <w:p>
            <w:pPr>
              <w:spacing w:before="0" w:after="0"/>
            </w:pPr>
            <w:r>
              <w:rPr>
                <w:rFonts w:ascii="Arial" w:cs="Arial" w:hAnsi="Arial"/>
                <w:color w:val="374151"/>
                <w:sz w:val="17"/>
                <w:szCs w:val="17"/>
              </w:rPr>
              <w:t xml:space="preserve">Fig. 2 – Expanded simulation sweeps: misclassification, effect size, sample size, 9 panels (p. 17) </w:t>
            </w:r>
          </w:p>
          <w:p>
            <w:pPr>
              <w:spacing w:before="0" w:after="0"/>
            </w:pPr>
            <w:r>
              <w:rPr>
                <w:rFonts w:ascii="Arial" w:cs="Arial" w:hAnsi="Arial"/>
                <w:b/>
                <w:color w:val="1E6E3A"/>
                <w:sz w:val="17"/>
                <w:szCs w:val="17"/>
              </w:rPr>
              <w:t xml:space="preserve">Fig. 3 [NEW] – Simulation volcano plots at n = 50K/100K/1M, 6 panels (p. 19)</w:t>
            </w:r>
          </w:p>
          <w:p>
            <w:pPr>
              <w:spacing w:before="0" w:after="0"/>
            </w:pPr>
            <w:r>
              <w:rPr>
                <w:rFonts w:ascii="Arial" w:cs="Arial" w:hAnsi="Arial"/>
                <w:b/>
                <w:color w:val="1E6E3A"/>
                <w:sz w:val="17"/>
                <w:szCs w:val="17"/>
              </w:rPr>
              <w:t xml:space="preserve">Fig. 4 [NEW] – Cohort-size sweep: FDR, TP, FP at α=0.05 and 0.01, 6 panels (p. 20)</w:t>
            </w:r>
          </w:p>
          <w:p>
            <w:pPr>
              <w:spacing w:before="0" w:after="0"/>
            </w:pPr>
            <w:r>
              <w:rPr>
                <w:rFonts w:ascii="Arial" w:cs="Arial" w:hAnsi="Arial"/>
                <w:color w:val="374151"/>
                <w:sz w:val="17"/>
                <w:szCs w:val="17"/>
              </w:rPr>
              <w:t xml:space="preserve">Fig. 5 [was Fig. 2] – Attribution volcano plots for IPF, ASD, ADRD, 9 panels (p. 23)</w:t>
            </w:r>
          </w:p>
        </w:tc>
      </w:tr>
      <w:tr>
        <w:tc>
          <w:tcPr>
            <w:tcW w:type="dxa" w:w="1560"/>
            <w:shd w:fill="FFFFFF" w:val="clear"/>
            <w:tcMar>
              <w:top w:type="dxa" w:w="80"/>
              <w:left w:type="dxa" w:w="120"/>
              <w:bottom w:type="dxa" w:w="80"/>
              <w:right w:type="dxa" w:w="120"/>
            </w:tcMar>
          </w:tcPr>
          <w:p>
            <w:pPr>
              <w:spacing w:before="0" w:after="0"/>
            </w:pPr>
            <w:r>
              <w:rPr>
                <w:rFonts w:ascii="Arial" w:cs="Arial" w:hAnsi="Arial"/>
                <w:b/>
                <w:color w:val="1E3A5F"/>
                <w:sz w:val="18"/>
                <w:szCs w:val="18"/>
              </w:rPr>
              <w:t>Tables</w:t>
            </w:r>
          </w:p>
        </w:tc>
        <w:tc>
          <w:tcPr>
            <w:tcW w:type="dxa" w:w="3900"/>
            <w:shd w:fill="FFFFFF" w:val="clear"/>
            <w:tcMar>
              <w:top w:type="dxa" w:w="80"/>
              <w:left w:type="dxa" w:w="120"/>
              <w:bottom w:type="dxa" w:w="80"/>
              <w:right w:type="dxa" w:w="120"/>
            </w:tcMar>
          </w:tcPr>
          <w:p>
            <w:pPr>
              <w:spacing w:before="0" w:after="40"/>
            </w:pPr>
            <w:r>
              <w:rPr>
                <w:rFonts w:ascii="Arial" w:cs="Arial" w:hAnsi="Arial"/>
                <w:b/>
                <w:color w:val="374151"/>
                <w:sz w:val="18"/>
                <w:szCs w:val="18"/>
              </w:rPr>
              <w:t>1 table</w:t>
            </w:r>
          </w:p>
          <w:p>
            <w:pPr>
              <w:spacing w:before="0" w:after="0"/>
            </w:pPr>
            <w:r>
              <w:rPr>
                <w:rFonts w:ascii="Arial" w:cs="Arial" w:hAnsi="Arial"/>
                <w:color w:val="374151"/>
                <w:sz w:val="17"/>
                <w:szCs w:val="17"/>
              </w:rPr>
              <w:t xml:space="preserve">Table 1 – Fraction of significant and protective codes (p. 18)</w:t>
            </w:r>
          </w:p>
        </w:tc>
        <w:tc>
          <w:tcPr>
            <w:tcW w:type="dxa" w:w="3900"/>
            <w:shd w:fill="FFFFFF" w:val="clear"/>
            <w:tcMar>
              <w:top w:type="dxa" w:w="80"/>
              <w:left w:type="dxa" w:w="120"/>
              <w:bottom w:type="dxa" w:w="80"/>
              <w:right w:type="dxa" w:w="120"/>
            </w:tcMar>
          </w:tcPr>
          <w:p>
            <w:pPr>
              <w:spacing w:before="0" w:after="40"/>
            </w:pPr>
            <w:r>
              <w:rPr>
                <w:rFonts w:ascii="Arial" w:cs="Arial" w:hAnsi="Arial"/>
                <w:b/>
                <w:color w:val="1E6E3A"/>
                <w:sz w:val="18"/>
                <w:szCs w:val="18"/>
              </w:rPr>
              <w:t>6 tables (5 new)</w:t>
            </w:r>
          </w:p>
          <w:p>
            <w:pPr>
              <w:spacing w:before="0" w:after="0"/>
            </w:pPr>
            <w:r>
              <w:rPr>
                <w:rFonts w:ascii="Arial" w:cs="Arial" w:hAnsi="Arial"/>
                <w:color w:val="374151"/>
                <w:sz w:val="17"/>
                <w:szCs w:val="17"/>
              </w:rPr>
              <w:t xml:space="preserve">Table 1 [updated] – Fraction and count of significant/protective codes (p. 35)</w:t>
            </w:r>
          </w:p>
          <w:p>
            <w:pPr>
              <w:spacing w:before="0" w:after="0"/>
            </w:pPr>
            <w:r>
              <w:rPr>
                <w:rFonts w:ascii="Arial" w:cs="Arial" w:hAnsi="Arial"/>
                <w:b/>
                <w:color w:val="1E6E3A"/>
                <w:sz w:val="17"/>
                <w:szCs w:val="17"/>
              </w:rPr>
              <w:t xml:space="preserve">Table 2 [NEW] – Full simulation parameters and numerical safeguards (p. 35)</w:t>
            </w:r>
          </w:p>
          <w:p>
            <w:pPr>
              <w:spacing w:before="0" w:after="0"/>
            </w:pPr>
            <w:r>
              <w:rPr>
                <w:rFonts w:ascii="Arial" w:cs="Arial" w:hAnsi="Arial"/>
                <w:b/>
                <w:color w:val="1E6E3A"/>
                <w:sz w:val="17"/>
                <w:szCs w:val="17"/>
              </w:rPr>
              <w:t xml:space="preserve">Table 3 [NEW] – Additional sweep grids (Fig. 2) (p. 36)</w:t>
            </w:r>
          </w:p>
          <w:p>
            <w:pPr>
              <w:spacing w:before="0" w:after="0"/>
            </w:pPr>
            <w:r>
              <w:rPr>
                <w:rFonts w:ascii="Arial" w:cs="Arial" w:hAnsi="Arial"/>
                <w:b/>
                <w:color w:val="1E6E3A"/>
                <w:sz w:val="17"/>
                <w:szCs w:val="17"/>
              </w:rPr>
              <w:t xml:space="preserve">Table 4 [NEW] – Volcano simulation parameters (Figs. 3–4) (p. 36)</w:t>
            </w:r>
          </w:p>
          <w:p>
            <w:pPr>
              <w:spacing w:before="0" w:after="0"/>
            </w:pPr>
            <w:r>
              <w:rPr>
                <w:rFonts w:ascii="Arial" w:cs="Arial" w:hAnsi="Arial"/>
                <w:b/>
                <w:color w:val="1E6E3A"/>
                <w:sz w:val="17"/>
                <w:szCs w:val="17"/>
              </w:rPr>
              <w:t xml:space="preserve">Table 5 [NEW] – EHR cohort sizes, feature counts, two-gate parameters (p. 36)</w:t>
            </w:r>
          </w:p>
          <w:p>
            <w:pPr>
              <w:spacing w:before="0" w:after="0"/>
            </w:pPr>
            <w:r>
              <w:rPr>
                <w:rFonts w:ascii="Arial" w:cs="Arial" w:hAnsi="Arial"/>
                <w:b/>
                <w:color w:val="1E6E3A"/>
                <w:sz w:val="17"/>
                <w:szCs w:val="17"/>
              </w:rPr>
              <w:t xml:space="preserve">Table 6 [NEW] – Representative protective codes removed by λ-OR correction (p. 37)</w:t>
            </w:r>
          </w:p>
        </w:tc>
      </w:tr>
      <w:tr>
        <w:tc>
          <w:tcPr>
            <w:tcW w:type="dxa" w:w="1560"/>
            <w:shd w:fill="EFF4FB" w:val="clear"/>
            <w:tcMar>
              <w:top w:type="dxa" w:w="80"/>
              <w:left w:type="dxa" w:w="120"/>
              <w:bottom w:type="dxa" w:w="80"/>
              <w:right w:type="dxa" w:w="120"/>
            </w:tcMar>
          </w:tcPr>
          <w:p>
            <w:pPr>
              <w:spacing w:before="0" w:after="0"/>
            </w:pPr>
            <w:r>
              <w:rPr>
                <w:rFonts w:ascii="Arial" w:cs="Arial" w:hAnsi="Arial"/>
                <w:b/>
                <w:color w:val="1E3A5F"/>
                <w:sz w:val="18"/>
                <w:szCs w:val="18"/>
              </w:rPr>
              <w:t>Appendix</w:t>
            </w:r>
          </w:p>
        </w:tc>
        <w:tc>
          <w:tcPr>
            <w:tcW w:type="dxa" w:w="3900"/>
            <w:shd w:fill="EFF4FB" w:val="clear"/>
            <w:tcMar>
              <w:top w:type="dxa" w:w="80"/>
              <w:left w:type="dxa" w:w="120"/>
              <w:bottom w:type="dxa" w:w="80"/>
              <w:right w:type="dxa" w:w="120"/>
            </w:tcMar>
          </w:tcPr>
          <w:p>
            <w:pPr>
              <w:spacing w:before="0" w:after="0"/>
            </w:pPr>
            <w:r>
              <w:rPr>
                <w:rFonts w:ascii="Arial" w:cs="Arial" w:hAnsi="Arial"/>
                <w:color w:val="374151"/>
                <w:sz w:val="17"/>
                <w:szCs w:val="17"/>
              </w:rPr>
              <w:t>None</w:t>
            </w:r>
          </w:p>
        </w:tc>
        <w:tc>
          <w:tcPr>
            <w:tcW w:type="dxa" w:w="3900"/>
            <w:shd w:fill="EFF4FB" w:val="clear"/>
            <w:tcMar>
              <w:top w:type="dxa" w:w="80"/>
              <w:left w:type="dxa" w:w="120"/>
              <w:bottom w:type="dxa" w:w="80"/>
              <w:right w:type="dxa" w:w="120"/>
            </w:tcMar>
          </w:tcPr>
          <w:p>
            <w:pPr>
              <w:spacing w:before="0" w:after="0"/>
            </w:pPr>
            <w:r>
              <w:rPr>
                <w:rFonts w:ascii="Arial" w:cs="Arial" w:hAnsi="Arial"/>
                <w:b/>
                <w:color w:val="1E6E3A"/>
                <w:sz w:val="17"/>
                <w:szCs w:val="17"/>
              </w:rPr>
              <w:t xml:space="preserve">Appendix 1 [NEW] – Delta-method variance propagation for log λ-OR (pp. 30–33)</w:t>
            </w:r>
          </w:p>
        </w:tc>
      </w:tr>
      <w:tr>
        <w:tc>
          <w:tcPr>
            <w:tcW w:type="dxa" w:w="1560"/>
            <w:shd w:fill="FFFFFF" w:val="clear"/>
            <w:tcMar>
              <w:top w:type="dxa" w:w="80"/>
              <w:left w:type="dxa" w:w="120"/>
              <w:bottom w:type="dxa" w:w="80"/>
              <w:right w:type="dxa" w:w="120"/>
            </w:tcMar>
          </w:tcPr>
          <w:p>
            <w:pPr>
              <w:spacing w:before="0" w:after="0"/>
            </w:pPr>
            <w:r>
              <w:rPr>
                <w:rFonts w:ascii="Arial" w:cs="Arial" w:hAnsi="Arial"/>
                <w:b/>
                <w:color w:val="1E3A5F"/>
                <w:sz w:val="18"/>
                <w:szCs w:val="18"/>
              </w:rPr>
              <w:t>Theorems / Lemmas / Corollaries</w:t>
            </w:r>
          </w:p>
        </w:tc>
        <w:tc>
          <w:tcPr>
            <w:tcW w:type="dxa" w:w="3900"/>
            <w:shd w:fill="FFFFFF" w:val="clear"/>
            <w:tcMar>
              <w:top w:type="dxa" w:w="80"/>
              <w:left w:type="dxa" w:w="120"/>
              <w:bottom w:type="dxa" w:w="80"/>
              <w:right w:type="dxa" w:w="120"/>
            </w:tcMar>
          </w:tcPr>
          <w:p>
            <w:pPr>
              <w:spacing w:before="0" w:after="0"/>
            </w:pPr>
            <w:r>
              <w:rPr>
                <w:rFonts w:ascii="Arial" w:cs="Arial" w:hAnsi="Arial"/>
                <w:color w:val="374151"/>
                <w:sz w:val="17"/>
                <w:szCs w:val="17"/>
              </w:rPr>
              <w:t xml:space="preserve">2 Lemmas, 1 Theorem, 5 Corollaries (renumbered inconsistently; Lemma 3 and Corollaries 5,7 cited in introduction)</w:t>
            </w:r>
          </w:p>
        </w:tc>
        <w:tc>
          <w:tcPr>
            <w:tcW w:type="dxa" w:w="3900"/>
            <w:shd w:fill="FFFFFF" w:val="clear"/>
            <w:tcMar>
              <w:top w:type="dxa" w:w="80"/>
              <w:left w:type="dxa" w:w="120"/>
              <w:bottom w:type="dxa" w:w="80"/>
              <w:right w:type="dxa" w:w="120"/>
            </w:tcMar>
          </w:tcPr>
          <w:p>
            <w:pPr>
              <w:spacing w:before="0" w:after="0"/>
            </w:pPr>
            <w:r>
              <w:rPr>
                <w:rFonts w:ascii="Arial" w:cs="Arial" w:hAnsi="Arial"/>
                <w:color w:val="374151"/>
                <w:sz w:val="17"/>
                <w:szCs w:val="17"/>
              </w:rPr>
              <w:t xml:space="preserve">3 Lemmas, 2 Theorems, 5 Corollaries – fully renumbered and consistently cited throughout; Assumption A and Assumption B added explicitly</w:t>
            </w:r>
          </w:p>
        </w:tc>
      </w:tr>
      <w:tr>
        <w:tc>
          <w:tcPr>
            <w:tcW w:type="dxa" w:w="1560"/>
            <w:shd w:fill="EFF4FB" w:val="clear"/>
            <w:tcMar>
              <w:top w:type="dxa" w:w="80"/>
              <w:left w:type="dxa" w:w="120"/>
              <w:bottom w:type="dxa" w:w="80"/>
              <w:right w:type="dxa" w:w="120"/>
            </w:tcMar>
          </w:tcPr>
          <w:p>
            <w:pPr>
              <w:spacing w:before="0" w:after="0"/>
            </w:pPr>
            <w:r>
              <w:rPr>
                <w:rFonts w:ascii="Arial" w:cs="Arial" w:hAnsi="Arial"/>
                <w:b/>
                <w:color w:val="1E3A5F"/>
                <w:sz w:val="18"/>
                <w:szCs w:val="18"/>
              </w:rPr>
              <w:t>Algorithm</w:t>
            </w:r>
          </w:p>
        </w:tc>
        <w:tc>
          <w:tcPr>
            <w:tcW w:type="dxa" w:w="3900"/>
            <w:shd w:fill="EFF4FB" w:val="clear"/>
            <w:tcMar>
              <w:top w:type="dxa" w:w="80"/>
              <w:left w:type="dxa" w:w="120"/>
              <w:bottom w:type="dxa" w:w="80"/>
              <w:right w:type="dxa" w:w="120"/>
            </w:tcMar>
          </w:tcPr>
          <w:p>
            <w:pPr>
              <w:spacing w:before="0" w:after="0"/>
            </w:pPr>
            <w:r>
              <w:rPr>
                <w:rFonts w:ascii="Arial" w:cs="Arial" w:hAnsi="Arial"/>
                <w:color w:val="374151"/>
                <w:sz w:val="17"/>
                <w:szCs w:val="17"/>
              </w:rPr>
              <w:t xml:space="preserve">Algorithm 1 – λ-OR estimation (p. 17; not explicitly referenced in main text)</w:t>
            </w:r>
          </w:p>
        </w:tc>
        <w:tc>
          <w:tcPr>
            <w:tcW w:type="dxa" w:w="3900"/>
            <w:shd w:fill="EFF4FB" w:val="clear"/>
            <w:tcMar>
              <w:top w:type="dxa" w:w="80"/>
              <w:left w:type="dxa" w:w="120"/>
              <w:bottom w:type="dxa" w:w="80"/>
              <w:right w:type="dxa" w:w="120"/>
            </w:tcMar>
          </w:tcPr>
          <w:p>
            <w:pPr>
              <w:spacing w:before="0" w:after="0"/>
            </w:pPr>
            <w:r>
              <w:rPr>
                <w:rFonts w:ascii="Arial" w:cs="Arial" w:hAnsi="Arial"/>
                <w:color w:val="374151"/>
                <w:sz w:val="17"/>
                <w:szCs w:val="17"/>
              </w:rPr>
              <w:t xml:space="preserve">Algorithm 1 – λ-OR estimation (p. 34); now explicitly referenced in Section 2.3 (p. 7) and Section 4 (p. 16); sign error on line 27 corrected</w:t>
            </w:r>
          </w:p>
        </w:tc>
      </w:tr>
      <w:tr>
        <w:tc>
          <w:tcPr>
            <w:tcW w:type="dxa" w:w="1560"/>
            <w:shd w:fill="FFFFFF" w:val="clear"/>
            <w:tcMar>
              <w:top w:type="dxa" w:w="80"/>
              <w:left w:type="dxa" w:w="120"/>
              <w:bottom w:type="dxa" w:w="80"/>
              <w:right w:type="dxa" w:w="120"/>
            </w:tcMar>
          </w:tcPr>
          <w:p>
            <w:pPr>
              <w:spacing w:before="0" w:after="0"/>
            </w:pPr>
            <w:r>
              <w:rPr>
                <w:rFonts w:ascii="Arial" w:cs="Arial" w:hAnsi="Arial"/>
                <w:b/>
                <w:color w:val="1E3A5F"/>
                <w:sz w:val="18"/>
                <w:szCs w:val="18"/>
              </w:rPr>
              <w:t>Page count (approx.)</w:t>
            </w:r>
          </w:p>
        </w:tc>
        <w:tc>
          <w:tcPr>
            <w:tcW w:type="dxa" w:w="3900"/>
            <w:shd w:fill="FFFFFF" w:val="clear"/>
            <w:tcMar>
              <w:top w:type="dxa" w:w="80"/>
              <w:left w:type="dxa" w:w="120"/>
              <w:bottom w:type="dxa" w:w="80"/>
              <w:right w:type="dxa" w:w="120"/>
            </w:tcMar>
          </w:tcPr>
          <w:p>
            <w:pPr>
              <w:spacing w:before="0" w:after="0"/>
            </w:pPr>
            <w:r>
              <w:rPr>
                <w:rFonts w:ascii="Arial" w:cs="Arial" w:hAnsi="Arial"/>
                <w:color w:val="374151"/>
                <w:sz w:val="17"/>
                <w:szCs w:val="17"/>
              </w:rPr>
              <w:t>18 pages (main text) + Algorithm</w:t>
            </w:r>
          </w:p>
        </w:tc>
        <w:tc>
          <w:tcPr>
            <w:tcW w:type="dxa" w:w="3900"/>
            <w:shd w:fill="FFFFFF" w:val="clear"/>
            <w:tcMar>
              <w:top w:type="dxa" w:w="80"/>
              <w:left w:type="dxa" w:w="120"/>
              <w:bottom w:type="dxa" w:w="80"/>
              <w:right w:type="dxa" w:w="120"/>
            </w:tcMar>
          </w:tcPr>
          <w:p>
            <w:pPr>
              <w:spacing w:before="0" w:after="0"/>
            </w:pPr>
            <w:r>
              <w:rPr>
                <w:rFonts w:ascii="Arial" w:cs="Arial" w:hAnsi="Arial"/>
                <w:color w:val="374151"/>
                <w:sz w:val="17"/>
                <w:szCs w:val="17"/>
              </w:rPr>
              <w:t>37 pages (main text + Appendix + Algorithm + Tables)</w:t>
            </w:r>
          </w:p>
        </w:tc>
      </w:tr>
    </w:tbl>
    <w:p>
      <w:pPr>
        <w:spacing w:before="200" w:after="80"/>
      </w:pPr>
      <w:r>
        <w:rPr>
          <w:rFonts w:ascii="Arial" w:cs="Arial" w:eastAsia="Arial" w:hAnsi="Arial"/>
          <w:b/>
          <w:bCs/>
          <w:color w:val="1E3A5F"/>
          <w:sz w:val="20"/>
          <w:szCs w:val="20"/>
        </w:rPr>
        <w:t>Major Substantive Changes</w:t>
      </w:r>
    </w:p>
    <w:p>
      <w:pPr>
        <w:spacing w:before="0" w:after="80"/>
      </w:pPr>
      <w:r>
        <w:rPr>
          <w:rFonts w:ascii="Arial" w:cs="Arial" w:hAnsi="Arial"/>
          <w:b/>
          <w:color w:val="374151"/>
          <w:sz w:val="18"/>
          <w:szCs w:val="18"/>
        </w:rPr>
        <w:t xml:space="preserve">1. Introduction substantially rewritten (pp. 1–3). </w:t>
      </w:r>
      <w:r>
        <w:rPr>
          <w:rFonts w:ascii="Arial" w:cs="Arial" w:hAnsi="Arial"/>
          <w:color w:val="374151"/>
          <w:sz w:val="18"/>
          <w:szCs w:val="18"/>
        </w:rPr>
        <w:t xml:space="preserve">Variables X, Y, and Ỹ are now defined formally in Eq. (1) before any examples. A new paragraph introduces the two-threshold ROC strategy as a key motivating insight. A full literature paragraph (p. 2) cites and contextualises prior misclassification-correction methods [7, 11–15].</w:t>
      </w:r>
    </w:p>
    <w:p>
      <w:pPr>
        <w:spacing w:before="0" w:after="80"/>
      </w:pPr>
      <w:r>
        <w:rPr>
          <w:rFonts w:ascii="Arial" w:cs="Arial" w:hAnsi="Arial"/>
          <w:b/>
          <w:color w:val="374151"/>
          <w:sz w:val="18"/>
          <w:szCs w:val="18"/>
        </w:rPr>
        <w:t xml:space="preserve">2. Methods expanded (pp. 4–10). </w:t>
      </w:r>
      <w:r>
        <w:rPr>
          <w:rFonts w:ascii="Arial" w:cs="Arial" w:hAnsi="Arial"/>
          <w:color w:val="374151"/>
          <w:sz w:val="18"/>
          <w:szCs w:val="18"/>
        </w:rPr>
        <w:t xml:space="preserve">Section 2.1 now introduces all notation explicitly (Eqs. 3–14), including the Xj/Z distinction, row/column labelling of T̃ (Eq. 6), full cell definitions (Eqs. 7–8, 11–13), and the population expectation identity (Eq. 14). Section 2.2 adds a “Role of ridge regularization” subsection with closed-form corrected counts (Eqs. 19–20) and a comparison with Firth penalization. Assumption A (non-differential misclassification, p. 5) and Assumption B (Xj ⊥ R | Y, p. 11) are stated explicitly. Section 2.4 provides an expanded practical recipe for threshold selection.</w:t>
      </w:r>
    </w:p>
    <w:p>
      <w:pPr>
        <w:spacing w:before="0" w:after="80"/>
      </w:pPr>
      <w:r>
        <w:rPr>
          <w:rFonts w:ascii="Arial" w:cs="Arial" w:hAnsi="Arial"/>
          <w:b/>
          <w:color w:val="374151"/>
          <w:sz w:val="18"/>
          <w:szCs w:val="18"/>
        </w:rPr>
        <w:t xml:space="preserve">3. Theory section reorganised and extended (pp. 10–15). </w:t>
      </w:r>
      <w:r>
        <w:rPr>
          <w:rFonts w:ascii="Arial" w:cs="Arial" w:hAnsi="Arial"/>
          <w:color w:val="374151"/>
          <w:sz w:val="18"/>
          <w:szCs w:val="18"/>
        </w:rPr>
        <w:t xml:space="preserve">All results renumbered (Lemmas 2, 6, 7; Theorems 3, 4; Corollaries 5, 8, 9). Theorem 3 proof now explicitly derives a − b = (p₁−p₀)ΔY via the law of total probability and clarifies the odds-ratio (not risk-ratio) bound via the mean value theorem. Theorem 4 (estimator inherits collapse) is added as a new result. Section 3.1 (SHAP comparison) is substantially expanded with motivation, axiomatic background (Eq. 52), and the linear Gaussian special case (Lemma 6).</w:t>
      </w:r>
    </w:p>
    <w:p>
      <w:pPr>
        <w:spacing w:before="0" w:after="80"/>
      </w:pPr>
      <w:r>
        <w:rPr>
          <w:rFonts w:ascii="Arial" w:cs="Arial" w:hAnsi="Arial"/>
          <w:b/>
          <w:color w:val="374151"/>
          <w:sz w:val="18"/>
          <w:szCs w:val="18"/>
        </w:rPr>
        <w:t xml:space="preserve">4. Simulation section greatly expanded (pp. 15–22). </w:t>
      </w:r>
      <w:r>
        <w:rPr>
          <w:rFonts w:ascii="Arial" w:cs="Arial" w:hAnsi="Arial"/>
          <w:color w:val="374151"/>
          <w:sz w:val="18"/>
          <w:szCs w:val="18"/>
        </w:rPr>
        <w:t xml:space="preserve">The DGP is now fully specified and corrected (prospective Y|X generation, Table 2). Three new figures are added: Fig. 1 sweeps two conditioning regimes (specificity degradation and symmetric degradation); Fig. 2 aggregates results across false negative rate, false positive rate, effect size, and sample size in a 9-panel violin plot; Fig. 3 provides simulation volcano plots at three cohort sizes (n = 50K, 100K, 1M); Fig. 4 performs a cohort-size sweep reporting FDR, TP, and FP at α = 0.05 and 0.01. All simulation constants are given in Tables 2–4.</w:t>
      </w:r>
    </w:p>
    <w:p>
      <w:pPr>
        <w:spacing w:before="0" w:after="80"/>
      </w:pPr>
      <w:r>
        <w:rPr>
          <w:rFonts w:ascii="Arial" w:cs="Arial" w:hAnsi="Arial"/>
          <w:b/>
          <w:color w:val="374151"/>
          <w:sz w:val="18"/>
          <w:szCs w:val="18"/>
        </w:rPr>
        <w:t xml:space="preserve">5. EHR application section expanded (pp. 22–25). </w:t>
      </w:r>
      <w:r>
        <w:rPr>
          <w:rFonts w:ascii="Arial" w:cs="Arial" w:hAnsi="Arial"/>
          <w:color w:val="374151"/>
          <w:sz w:val="18"/>
          <w:szCs w:val="18"/>
        </w:rPr>
        <w:t xml:space="preserve">Table 5 reports full cohort sizes, feature counts, and two-gate operating parameters for all three applications. Table 6 provides 12 concrete examples of ICD codes whose spurious protective status is eliminated by λ-OR. A clarifying paragraph addresses the absence of missingness in ICD binary indicator data. The concluding remarks are expanded with practical implementation guidance.</w:t>
      </w:r>
    </w:p>
    <w:p>
      <w:pPr>
        <w:spacing w:before="0" w:after="80"/>
      </w:pPr>
      <w:r>
        <w:rPr>
          <w:rFonts w:ascii="Arial" w:cs="Arial" w:hAnsi="Arial"/>
          <w:b/>
          <w:color w:val="374151"/>
          <w:sz w:val="18"/>
          <w:szCs w:val="18"/>
        </w:rPr>
        <w:t xml:space="preserve">6. Appendix 1 added (pp. 30–33). </w:t>
      </w:r>
      <w:r>
        <w:rPr>
          <w:rFonts w:ascii="Arial" w:cs="Arial" w:hAnsi="Arial"/>
          <w:color w:val="374151"/>
          <w:sz w:val="18"/>
          <w:szCs w:val="18"/>
        </w:rPr>
        <w:t xml:space="preserve">Complete step-by-step derivation of the delta-method variance component, including the matrix inverse derivative identity, partial derivatives of K⊤ with respect to p and q, chain-rule computation of the gradient of the log-odds functional, and the working diagonal approximation for Cov(p̂sel, q̂sel). This derivation was absent from the original submission.</w:t>
      </w:r>
    </w:p>
    <w:p>
      <w:pPr>
        <w:spacing w:before="0" w:after="80"/>
      </w:pPr>
      <w:r>
        <w:rPr>
          <w:rFonts w:ascii="Arial" w:cs="Arial" w:hAnsi="Arial"/>
          <w:b/>
          <w:color w:val="374151"/>
          <w:sz w:val="18"/>
          <w:szCs w:val="18"/>
        </w:rPr>
        <w:t xml:space="preserve">7. Notation and consistency corrections throughout. </w:t>
      </w:r>
      <w:r>
        <w:rPr>
          <w:rFonts w:ascii="Arial" w:cs="Arial" w:hAnsi="Arial"/>
          <w:color w:val="374151"/>
          <w:sz w:val="18"/>
          <w:szCs w:val="18"/>
        </w:rPr>
        <w:t xml:space="preserve">Λ-OR standardised to λ-OR throughout (including all figure captions and Algorithm 1). All abbreviations (EHR, ASD, IPF, ADRD, SHAP, LIME, ICD-10-CM, OR) defined on first use in the main text. Sign error in Algorithm 1 line 27 corrected. “Specificity”/“sensitivity” error in Section 2.4 corrected. Figure captions in the original that used “log ROR” corrected to “log λ-OR.”</w:t>
      </w:r>
    </w:p>
    <w:p>
      <w:pPr>
        <w:spacing w:before="320" w:after="0"/>
      </w:pPr>
    </w:p>
    <w:p>
      <w:pPr>
        <w:spacing w:before="0" w:after="60"/>
        <w:jc w:val="center"/>
      </w:pPr>
      <w:r>
        <w:rPr>
          <w:rFonts w:ascii="Arial" w:cs="Arial" w:eastAsia="Arial" w:hAnsi="Arial"/>
          <w:b w:val="false"/>
          <w:bCs w:val="false"/>
          <w:i/>
          <w:iCs/>
          <w:color w:val="6B7280"/>
          <w:sz w:val="16"/>
          <w:szCs w:val="16"/>
        </w:rPr>
        <w:t xml:space="preserve">Assessment prepared by the authors | Based on comparison of mainBMC.pdf (original) and mainBMCrevised.pdf (revised) against reviewer comments in lambda_or_R1.docx, reviewer2_.docx, and reviewer3.docx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2026-03-12T21:56:19.801Z</dcterms:created>
  <dcterms:modified xsi:type="dcterms:W3CDTF">2026-03-12T21:56:19.802Z</dcterms:modified>
</cp:coreProperties>
</file>

<file path=docProps/custom.xml><?xml version="1.0" encoding="utf-8"?>
<Properties xmlns="http://schemas.openxmlformats.org/officeDocument/2006/custom-properties" xmlns:vt="http://schemas.openxmlformats.org/officeDocument/2006/docPropsVTypes"/>
</file>