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Critical Audit of Reviewer Response Memo</w:t>
        <w:br/>
      </w:r>
      <w:r>
        <w:rPr>
          <w:i/>
        </w:rPr>
        <w:t>Correcting Label-noise Corruption with lambda-Odds Ratio</w:t>
      </w:r>
    </w:p>
    <w:p>
      <w:pPr>
        <w:pStyle w:val="Subtitle"/>
        <w:jc w:val="center"/>
      </w:pPr>
      <w:r>
        <w:t>Prepared from the old draft (mainBMC), revised draft (mainBMCrevised), and the current reviewer-response memo.</w:t>
      </w:r>
    </w:p>
    <w:p/>
    <w:p>
      <w:pPr>
        <w:pStyle w:val="Heading1"/>
      </w:pPr>
      <w:r>
        <w:t>Front section</w:t>
      </w:r>
    </w:p>
    <w:p>
      <w:r>
        <w:t>This addendum records the manuscript inventory for the old and revised drafts, summarizes the substantive changes introduced in the revised manuscript, and audits whether the current reviewer-response memo is accurate, sufficiently detailed, and correctly tied to the revised manuscript numbering.</w:t>
      </w:r>
    </w:p>
    <w:p>
      <w:pPr>
        <w:pStyle w:val="Heading2"/>
      </w:pPr>
      <w:r>
        <w:t>1. Manuscript inventory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40"/>
            </w:pPr>
            <w:r/>
            <w:r>
              <w:rPr>
                <w:b/>
              </w:rPr>
              <w:t>Version</w:t>
            </w:r>
          </w:p>
        </w:tc>
        <w:tc>
          <w:tcPr>
            <w:tcW w:type="dxa" w:w="2484"/>
            <w:vAlign w:val="center"/>
            <w:shd w:fill="D9EAF7"/>
          </w:tcPr>
          <w:p>
            <w:pPr>
              <w:spacing w:after="40"/>
            </w:pPr>
            <w:r/>
            <w:r>
              <w:rPr>
                <w:b/>
              </w:rPr>
              <w:t>Figures in final manuscript</w:t>
            </w:r>
          </w:p>
        </w:tc>
        <w:tc>
          <w:tcPr>
            <w:tcW w:type="dxa" w:w="2484"/>
            <w:vAlign w:val="center"/>
            <w:shd w:fill="D9EAF7"/>
          </w:tcPr>
          <w:p>
            <w:pPr>
              <w:spacing w:after="40"/>
            </w:pPr>
            <w:r/>
            <w:r>
              <w:rPr>
                <w:b/>
              </w:rPr>
              <w:t>Tables in final manuscript</w:t>
            </w:r>
          </w:p>
        </w:tc>
        <w:tc>
          <w:tcPr>
            <w:tcW w:type="dxa" w:w="2484"/>
            <w:vAlign w:val="center"/>
            <w:shd w:fill="D9EAF7"/>
          </w:tcPr>
          <w:p>
            <w:pPr>
              <w:spacing w:after="40"/>
            </w:pPr>
            <w:r/>
            <w:r>
              <w:rPr>
                <w:b/>
              </w:rPr>
              <w:t>Notes</w:t>
            </w:r>
          </w:p>
        </w:tc>
      </w:tr>
      <w:tr>
        <w:tc>
          <w:tcPr>
            <w:tcW w:type="dxa" w:w="2484"/>
            <w:vAlign w:val="center"/>
          </w:tcPr>
          <w:p>
            <w:pPr>
              <w:spacing w:after="40"/>
            </w:pPr>
            <w:r/>
            <w:r>
              <w:rPr>
                <w:b w:val="0"/>
              </w:rPr>
              <w:t>Old draft (mainBMC)</w:t>
            </w:r>
          </w:p>
        </w:tc>
        <w:tc>
          <w:tcPr>
            <w:tcW w:type="dxa" w:w="2484"/>
            <w:vAlign w:val="center"/>
          </w:tcPr>
          <w:p>
            <w:pPr>
              <w:spacing w:after="40"/>
            </w:pPr>
            <w:r/>
            <w:r>
              <w:rPr>
                <w:b w:val="0"/>
              </w:rPr>
              <w:t>2</w:t>
            </w:r>
          </w:p>
        </w:tc>
        <w:tc>
          <w:tcPr>
            <w:tcW w:type="dxa" w:w="2484"/>
            <w:vAlign w:val="center"/>
          </w:tcPr>
          <w:p>
            <w:pPr>
              <w:spacing w:after="40"/>
            </w:pPr>
            <w:r/>
            <w:r>
              <w:rPr>
                <w:b w:val="0"/>
              </w:rPr>
              <w:t>1</w:t>
            </w:r>
          </w:p>
        </w:tc>
        <w:tc>
          <w:tcPr>
            <w:tcW w:type="dxa" w:w="2484"/>
            <w:vAlign w:val="center"/>
          </w:tcPr>
          <w:p>
            <w:pPr>
              <w:spacing w:after="40"/>
            </w:pPr>
            <w:r/>
            <w:r>
              <w:rPr>
                <w:b w:val="0"/>
              </w:rPr>
              <w:t>Figure labels: fig:spor_three_panel and figvolcano. Table label: tabfrac.</w:t>
            </w:r>
          </w:p>
        </w:tc>
      </w:tr>
      <w:tr>
        <w:tc>
          <w:tcPr>
            <w:tcW w:type="dxa" w:w="2484"/>
            <w:vAlign w:val="center"/>
          </w:tcPr>
          <w:p>
            <w:pPr>
              <w:spacing w:after="40"/>
            </w:pPr>
            <w:r/>
            <w:r>
              <w:rPr>
                <w:b w:val="0"/>
              </w:rPr>
              <w:t>Revised draft (mainBMCrevised)</w:t>
            </w:r>
          </w:p>
        </w:tc>
        <w:tc>
          <w:tcPr>
            <w:tcW w:type="dxa" w:w="2484"/>
            <w:vAlign w:val="center"/>
          </w:tcPr>
          <w:p>
            <w:pPr>
              <w:spacing w:after="40"/>
            </w:pPr>
            <w:r/>
            <w:r>
              <w:rPr>
                <w:b w:val="0"/>
              </w:rPr>
              <w:t>5</w:t>
            </w:r>
          </w:p>
        </w:tc>
        <w:tc>
          <w:tcPr>
            <w:tcW w:type="dxa" w:w="2484"/>
            <w:vAlign w:val="center"/>
          </w:tcPr>
          <w:p>
            <w:pPr>
              <w:spacing w:after="40"/>
            </w:pPr>
            <w:r/>
            <w:r>
              <w:rPr>
                <w:b w:val="0"/>
              </w:rPr>
              <w:t>6</w:t>
            </w:r>
          </w:p>
        </w:tc>
        <w:tc>
          <w:tcPr>
            <w:tcW w:type="dxa" w:w="2484"/>
            <w:vAlign w:val="center"/>
          </w:tcPr>
          <w:p>
            <w:pPr>
              <w:spacing w:after="40"/>
            </w:pPr>
            <w:r/>
            <w:r>
              <w:rPr>
                <w:b w:val="0"/>
              </w:rPr>
              <w:t>Figures 1–5 and Tables 1–6 are present in the compiled revised manuscript.</w:t>
            </w:r>
          </w:p>
        </w:tc>
      </w:tr>
    </w:tbl>
    <w:p>
      <w:pPr>
        <w:pStyle w:val="Heading2"/>
      </w:pPr>
      <w:r>
        <w:t>2. Brief itemized summary of changes in the revised draft</w:t>
      </w:r>
    </w:p>
    <w:p>
      <w:pPr>
        <w:ind w:left="288" w:hanging="259"/>
      </w:pPr>
      <w:r>
        <w:rPr>
          <w:b/>
        </w:rPr>
        <w:t xml:space="preserve">• </w:t>
      </w:r>
      <w:r>
        <w:t>The introduction was substantially rewritten. It now includes a literature paragraph on classical misclassification correction methods, a direct explanation of the two-threshold tail-selection idea, and clearer first-use expansion of abbreviations.</w:t>
      </w:r>
    </w:p>
    <w:p>
      <w:pPr>
        <w:ind w:left="288" w:hanging="259"/>
      </w:pPr>
      <w:r>
        <w:rPr>
          <w:b/>
        </w:rPr>
        <w:t xml:space="preserve">• </w:t>
      </w:r>
      <w:r>
        <w:t>Section 2 was expanded and clarified. The revised manuscript now defines the selected proxy table and latent true table explicitly, states Assumption A for non-differential misclassification, adds closed-form ridge-corrected row formulas, and explains why ridge regularization is used at the table-reconstruction stage rather than as a substitute for Firth correction.</w:t>
      </w:r>
    </w:p>
    <w:p>
      <w:pPr>
        <w:ind w:left="288" w:hanging="259"/>
      </w:pPr>
      <w:r>
        <w:rPr>
          <w:b/>
        </w:rPr>
        <w:t xml:space="preserve">• </w:t>
      </w:r>
      <w:r>
        <w:t>Threshold-selection guidance was strengthened in Section 2.4 with an explicit operational recipe, asymptotic discussion, and a practical bias-variance trade-off argument.</w:t>
      </w:r>
    </w:p>
    <w:p>
      <w:pPr>
        <w:ind w:left="288" w:hanging="259"/>
      </w:pPr>
      <w:r>
        <w:rPr>
          <w:b/>
        </w:rPr>
        <w:t xml:space="preserve">• </w:t>
      </w:r>
      <w:r>
        <w:t>Theory was reorganized and made more readable. Assumption B is stated before Theorem 3, the collapse result is split across Theorem 3, Theorem 4, and Corollary 5, and the SHAP comparison is placed in a dedicated subsection with explicit notation.</w:t>
      </w:r>
    </w:p>
    <w:p>
      <w:pPr>
        <w:ind w:left="288" w:hanging="259"/>
      </w:pPr>
      <w:r>
        <w:rPr>
          <w:b/>
        </w:rPr>
        <w:t xml:space="preserve">• </w:t>
      </w:r>
      <w:r>
        <w:t>The simulation study was greatly expanded: the old draft had one simulation figure and minimal parameter disclosure, whereas the revised draft has Figures 1–4 plus Tables 2–4 covering structured sweeps, a broader grid sweep, a volcano analogue, and an FDR/cohort-size analysis.</w:t>
      </w:r>
    </w:p>
    <w:p>
      <w:pPr>
        <w:ind w:left="288" w:hanging="259"/>
      </w:pPr>
      <w:r>
        <w:rPr>
          <w:b/>
        </w:rPr>
        <w:t xml:space="preserve">• </w:t>
      </w:r>
      <w:r>
        <w:t>The real-data section now reports cohort sizes, feature counts, threshold values, selected-set sizes, and selection-conditional error rates in Table 5, and adds concrete examples of implausible protective associations removed by λ-OR in Table 6.</w:t>
      </w:r>
    </w:p>
    <w:p>
      <w:pPr>
        <w:ind w:left="288" w:hanging="259"/>
      </w:pPr>
      <w:r>
        <w:rPr>
          <w:b/>
        </w:rPr>
        <w:t xml:space="preserve">• </w:t>
      </w:r>
      <w:r>
        <w:t>The concluding remarks were expanded to include a practical implementation paragraph that describes the held-out validation cohort, threshold choice, estimation of (p_sel, q_sel), and the intended use case in large EHR studies.</w:t>
      </w:r>
    </w:p>
    <w:p>
      <w:pPr>
        <w:pStyle w:val="Heading2"/>
      </w:pPr>
      <w:r>
        <w:t>3. Corrected figure/table reference map for the revised manuscript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b/>
              </w:rPr>
              <w:t>Item number in revised PDF</w:t>
            </w:r>
          </w:p>
        </w:tc>
        <w:tc>
          <w:tcPr>
            <w:tcW w:type="dxa" w:w="3312"/>
            <w:vAlign w:val="center"/>
            <w:shd w:fill="D9EAF7"/>
          </w:tcPr>
          <w:p>
            <w:pPr>
              <w:spacing w:after="40"/>
            </w:pPr>
            <w:r/>
            <w:r>
              <w:rPr>
                <w:b/>
              </w:rPr>
              <w:t>Internal LaTeX label</w:t>
            </w:r>
          </w:p>
        </w:tc>
        <w:tc>
          <w:tcPr>
            <w:tcW w:type="dxa" w:w="3312"/>
            <w:vAlign w:val="center"/>
            <w:shd w:fill="D9EAF7"/>
          </w:tcPr>
          <w:p>
            <w:pPr>
              <w:spacing w:after="40"/>
            </w:pPr>
            <w:r/>
            <w:r>
              <w:rPr>
                <w:b/>
              </w:rPr>
              <w:t>Description</w:t>
            </w:r>
          </w:p>
        </w:tc>
      </w:tr>
      <w:tr>
        <w:tc>
          <w:tcPr>
            <w:tcW w:type="dxa" w:w="3312"/>
            <w:vAlign w:val="center"/>
          </w:tcPr>
          <w:p>
            <w:pPr>
              <w:spacing w:after="40"/>
            </w:pPr>
            <w:r/>
            <w:r>
              <w:rPr>
                <w:b w:val="0"/>
              </w:rPr>
              <w:t>Figure 1</w:t>
            </w:r>
          </w:p>
        </w:tc>
        <w:tc>
          <w:tcPr>
            <w:tcW w:type="dxa" w:w="3312"/>
            <w:vAlign w:val="center"/>
          </w:tcPr>
          <w:p>
            <w:pPr>
              <w:spacing w:after="40"/>
            </w:pPr>
            <w:r/>
            <w:r>
              <w:rPr>
                <w:b w:val="0"/>
              </w:rPr>
              <w:t>fig:spor_eight_panel</w:t>
            </w:r>
          </w:p>
        </w:tc>
        <w:tc>
          <w:tcPr>
            <w:tcW w:type="dxa" w:w="3312"/>
            <w:vAlign w:val="center"/>
          </w:tcPr>
          <w:p>
            <w:pPr>
              <w:spacing w:after="40"/>
            </w:pPr>
            <w:r/>
            <w:r>
              <w:rPr>
                <w:b w:val="0"/>
              </w:rPr>
              <w:t>Eight-panel simulation figure: structured specificity-degradation and symmetric-degradation sweeps.</w:t>
            </w:r>
          </w:p>
        </w:tc>
      </w:tr>
      <w:tr>
        <w:tc>
          <w:tcPr>
            <w:tcW w:type="dxa" w:w="3312"/>
            <w:vAlign w:val="center"/>
          </w:tcPr>
          <w:p>
            <w:pPr>
              <w:spacing w:after="40"/>
            </w:pPr>
            <w:r/>
            <w:r>
              <w:rPr>
                <w:b w:val="0"/>
              </w:rPr>
              <w:t>Figure 2</w:t>
            </w:r>
          </w:p>
        </w:tc>
        <w:tc>
          <w:tcPr>
            <w:tcW w:type="dxa" w:w="3312"/>
            <w:vAlign w:val="center"/>
          </w:tcPr>
          <w:p>
            <w:pPr>
              <w:spacing w:after="40"/>
            </w:pPr>
            <w:r/>
            <w:r>
              <w:rPr>
                <w:b w:val="0"/>
              </w:rPr>
              <w:t>fig:sim_sweep_grid</w:t>
            </w:r>
          </w:p>
        </w:tc>
        <w:tc>
          <w:tcPr>
            <w:tcW w:type="dxa" w:w="3312"/>
            <w:vAlign w:val="center"/>
          </w:tcPr>
          <w:p>
            <w:pPr>
              <w:spacing w:after="40"/>
            </w:pPr>
            <w:r/>
            <w:r>
              <w:rPr>
                <w:b w:val="0"/>
              </w:rPr>
              <w:t>Expanded simulation sweep grid across false negative rate, false positive rate, effect size, and sample size.</w:t>
            </w:r>
          </w:p>
        </w:tc>
      </w:tr>
      <w:tr>
        <w:tc>
          <w:tcPr>
            <w:tcW w:type="dxa" w:w="3312"/>
            <w:vAlign w:val="center"/>
          </w:tcPr>
          <w:p>
            <w:pPr>
              <w:spacing w:after="40"/>
            </w:pPr>
            <w:r/>
            <w:r>
              <w:rPr>
                <w:b w:val="0"/>
              </w:rPr>
              <w:t>Figure 3</w:t>
            </w:r>
          </w:p>
        </w:tc>
        <w:tc>
          <w:tcPr>
            <w:tcW w:type="dxa" w:w="3312"/>
            <w:vAlign w:val="center"/>
          </w:tcPr>
          <w:p>
            <w:pPr>
              <w:spacing w:after="40"/>
            </w:pPr>
            <w:r/>
            <w:r>
              <w:rPr>
                <w:b w:val="0"/>
              </w:rPr>
              <w:t>figsim2</w:t>
            </w:r>
          </w:p>
        </w:tc>
        <w:tc>
          <w:tcPr>
            <w:tcW w:type="dxa" w:w="3312"/>
            <w:vAlign w:val="center"/>
          </w:tcPr>
          <w:p>
            <w:pPr>
              <w:spacing w:after="40"/>
            </w:pPr>
            <w:r/>
            <w:r>
              <w:rPr>
                <w:b w:val="0"/>
              </w:rPr>
              <w:t>Simulation analogue of the attribution volcano plots.</w:t>
            </w:r>
          </w:p>
        </w:tc>
      </w:tr>
      <w:tr>
        <w:tc>
          <w:tcPr>
            <w:tcW w:type="dxa" w:w="3312"/>
            <w:vAlign w:val="center"/>
          </w:tcPr>
          <w:p>
            <w:pPr>
              <w:spacing w:after="40"/>
            </w:pPr>
            <w:r/>
            <w:r>
              <w:rPr>
                <w:b w:val="0"/>
              </w:rPr>
              <w:t>Figure 4</w:t>
            </w:r>
          </w:p>
        </w:tc>
        <w:tc>
          <w:tcPr>
            <w:tcW w:type="dxa" w:w="3312"/>
            <w:vAlign w:val="center"/>
          </w:tcPr>
          <w:p>
            <w:pPr>
              <w:spacing w:after="40"/>
            </w:pPr>
            <w:r/>
            <w:r>
              <w:rPr>
                <w:b w:val="0"/>
              </w:rPr>
              <w:t>figsim3</w:t>
            </w:r>
          </w:p>
        </w:tc>
        <w:tc>
          <w:tcPr>
            <w:tcW w:type="dxa" w:w="3312"/>
            <w:vAlign w:val="center"/>
          </w:tcPr>
          <w:p>
            <w:pPr>
              <w:spacing w:after="40"/>
            </w:pPr>
            <w:r/>
            <w:r>
              <w:rPr>
                <w:b w:val="0"/>
              </w:rPr>
              <w:t>Cohort-size sweep for FDR, true positives, and false positives.</w:t>
            </w:r>
          </w:p>
        </w:tc>
      </w:tr>
      <w:tr>
        <w:tc>
          <w:tcPr>
            <w:tcW w:type="dxa" w:w="3312"/>
            <w:vAlign w:val="center"/>
          </w:tcPr>
          <w:p>
            <w:pPr>
              <w:spacing w:after="40"/>
            </w:pPr>
            <w:r/>
            <w:r>
              <w:rPr>
                <w:b w:val="0"/>
              </w:rPr>
              <w:t>Figure 5</w:t>
            </w:r>
          </w:p>
        </w:tc>
        <w:tc>
          <w:tcPr>
            <w:tcW w:type="dxa" w:w="3312"/>
            <w:vAlign w:val="center"/>
          </w:tcPr>
          <w:p>
            <w:pPr>
              <w:spacing w:after="40"/>
            </w:pPr>
            <w:r/>
            <w:r>
              <w:rPr>
                <w:b w:val="0"/>
              </w:rPr>
              <w:t>figvolcano</w:t>
            </w:r>
          </w:p>
        </w:tc>
        <w:tc>
          <w:tcPr>
            <w:tcW w:type="dxa" w:w="3312"/>
            <w:vAlign w:val="center"/>
          </w:tcPr>
          <w:p>
            <w:pPr>
              <w:spacing w:after="40"/>
            </w:pPr>
            <w:r/>
            <w:r>
              <w:rPr>
                <w:b w:val="0"/>
              </w:rPr>
              <w:t>Real-data comparison of classical OR, SHAP, and λ-OR across IPF, ASD, and ADRD.</w:t>
            </w:r>
          </w:p>
        </w:tc>
      </w:tr>
      <w:tr>
        <w:tc>
          <w:tcPr>
            <w:tcW w:type="dxa" w:w="3312"/>
            <w:vAlign w:val="center"/>
          </w:tcPr>
          <w:p>
            <w:pPr>
              <w:spacing w:after="40"/>
            </w:pPr>
            <w:r/>
            <w:r>
              <w:rPr>
                <w:b w:val="0"/>
              </w:rPr>
              <w:t>Table 1</w:t>
            </w:r>
          </w:p>
        </w:tc>
        <w:tc>
          <w:tcPr>
            <w:tcW w:type="dxa" w:w="3312"/>
            <w:vAlign w:val="center"/>
          </w:tcPr>
          <w:p>
            <w:pPr>
              <w:spacing w:after="40"/>
            </w:pPr>
            <w:r/>
            <w:r>
              <w:rPr>
                <w:b w:val="0"/>
              </w:rPr>
              <w:t>tabfrac</w:t>
            </w:r>
          </w:p>
        </w:tc>
        <w:tc>
          <w:tcPr>
            <w:tcW w:type="dxa" w:w="3312"/>
            <w:vAlign w:val="center"/>
          </w:tcPr>
          <w:p>
            <w:pPr>
              <w:spacing w:after="40"/>
            </w:pPr>
            <w:r/>
            <w:r>
              <w:rPr>
                <w:b w:val="0"/>
              </w:rPr>
              <w:t>Fractions and counts of significant and protective codes.</w:t>
            </w:r>
          </w:p>
        </w:tc>
      </w:tr>
      <w:tr>
        <w:tc>
          <w:tcPr>
            <w:tcW w:type="dxa" w:w="3312"/>
            <w:vAlign w:val="center"/>
          </w:tcPr>
          <w:p>
            <w:pPr>
              <w:spacing w:after="40"/>
            </w:pPr>
            <w:r/>
            <w:r>
              <w:rPr>
                <w:b w:val="0"/>
              </w:rPr>
              <w:t>Table 2</w:t>
            </w:r>
          </w:p>
        </w:tc>
        <w:tc>
          <w:tcPr>
            <w:tcW w:type="dxa" w:w="3312"/>
            <w:vAlign w:val="center"/>
          </w:tcPr>
          <w:p>
            <w:pPr>
              <w:spacing w:after="40"/>
            </w:pPr>
            <w:r/>
            <w:r>
              <w:rPr>
                <w:b w:val="0"/>
              </w:rPr>
              <w:t>tab:sim_params</w:t>
            </w:r>
          </w:p>
        </w:tc>
        <w:tc>
          <w:tcPr>
            <w:tcW w:type="dxa" w:w="3312"/>
            <w:vAlign w:val="center"/>
          </w:tcPr>
          <w:p>
            <w:pPr>
              <w:spacing w:after="40"/>
            </w:pPr>
            <w:r/>
            <w:r>
              <w:rPr>
                <w:b w:val="0"/>
              </w:rPr>
              <w:t>Core simulation constants and numerical safeguards.</w:t>
            </w:r>
          </w:p>
        </w:tc>
      </w:tr>
      <w:tr>
        <w:tc>
          <w:tcPr>
            <w:tcW w:type="dxa" w:w="3312"/>
            <w:vAlign w:val="center"/>
          </w:tcPr>
          <w:p>
            <w:pPr>
              <w:spacing w:after="40"/>
            </w:pPr>
            <w:r/>
            <w:r>
              <w:rPr>
                <w:b w:val="0"/>
              </w:rPr>
              <w:t>Table 3</w:t>
            </w:r>
          </w:p>
        </w:tc>
        <w:tc>
          <w:tcPr>
            <w:tcW w:type="dxa" w:w="3312"/>
            <w:vAlign w:val="center"/>
          </w:tcPr>
          <w:p>
            <w:pPr>
              <w:spacing w:after="40"/>
            </w:pPr>
            <w:r/>
            <w:r>
              <w:rPr>
                <w:b w:val="0"/>
              </w:rPr>
              <w:t>tab:sim_sweep_grids</w:t>
            </w:r>
          </w:p>
        </w:tc>
        <w:tc>
          <w:tcPr>
            <w:tcW w:type="dxa" w:w="3312"/>
            <w:vAlign w:val="center"/>
          </w:tcPr>
          <w:p>
            <w:pPr>
              <w:spacing w:after="40"/>
            </w:pPr>
            <w:r/>
            <w:r>
              <w:rPr>
                <w:b w:val="0"/>
              </w:rPr>
              <w:t>Additional sweep grids used in Figure 2.</w:t>
            </w:r>
          </w:p>
        </w:tc>
      </w:tr>
      <w:tr>
        <w:tc>
          <w:tcPr>
            <w:tcW w:type="dxa" w:w="3312"/>
            <w:vAlign w:val="center"/>
          </w:tcPr>
          <w:p>
            <w:pPr>
              <w:spacing w:after="40"/>
            </w:pPr>
            <w:r/>
            <w:r>
              <w:rPr>
                <w:b w:val="0"/>
              </w:rPr>
              <w:t>Table 4</w:t>
            </w:r>
          </w:p>
        </w:tc>
        <w:tc>
          <w:tcPr>
            <w:tcW w:type="dxa" w:w="3312"/>
            <w:vAlign w:val="center"/>
          </w:tcPr>
          <w:p>
            <w:pPr>
              <w:spacing w:after="40"/>
            </w:pPr>
            <w:r/>
            <w:r>
              <w:rPr>
                <w:b w:val="0"/>
              </w:rPr>
              <w:t>tab:sim-volcano-params</w:t>
            </w:r>
          </w:p>
        </w:tc>
        <w:tc>
          <w:tcPr>
            <w:tcW w:type="dxa" w:w="3312"/>
            <w:vAlign w:val="center"/>
          </w:tcPr>
          <w:p>
            <w:pPr>
              <w:spacing w:after="40"/>
            </w:pPr>
            <w:r/>
            <w:r>
              <w:rPr>
                <w:b w:val="0"/>
              </w:rPr>
              <w:t>Parameters used in the volcano simulation in Figure 3.</w:t>
            </w:r>
          </w:p>
        </w:tc>
      </w:tr>
      <w:tr>
        <w:tc>
          <w:tcPr>
            <w:tcW w:type="dxa" w:w="3312"/>
            <w:vAlign w:val="center"/>
          </w:tcPr>
          <w:p>
            <w:pPr>
              <w:spacing w:after="40"/>
            </w:pPr>
            <w:r/>
            <w:r>
              <w:rPr>
                <w:b w:val="0"/>
              </w:rPr>
              <w:t>Table 5</w:t>
            </w:r>
          </w:p>
        </w:tc>
        <w:tc>
          <w:tcPr>
            <w:tcW w:type="dxa" w:w="3312"/>
            <w:vAlign w:val="center"/>
          </w:tcPr>
          <w:p>
            <w:pPr>
              <w:spacing w:after="40"/>
            </w:pPr>
            <w:r/>
            <w:r>
              <w:rPr>
                <w:b w:val="0"/>
              </w:rPr>
              <w:t>tab:realdata_summary</w:t>
            </w:r>
          </w:p>
        </w:tc>
        <w:tc>
          <w:tcPr>
            <w:tcW w:type="dxa" w:w="3312"/>
            <w:vAlign w:val="center"/>
          </w:tcPr>
          <w:p>
            <w:pPr>
              <w:spacing w:after="40"/>
            </w:pPr>
            <w:r/>
            <w:r>
              <w:rPr>
                <w:b w:val="0"/>
              </w:rPr>
              <w:t>Real-data cohort sizes, feature counts, thresholds, selected sizes, and (p_sel, q_sel).</w:t>
            </w:r>
          </w:p>
        </w:tc>
      </w:tr>
      <w:tr>
        <w:tc>
          <w:tcPr>
            <w:tcW w:type="dxa" w:w="3312"/>
            <w:vAlign w:val="center"/>
          </w:tcPr>
          <w:p>
            <w:pPr>
              <w:spacing w:after="40"/>
            </w:pPr>
            <w:r/>
            <w:r>
              <w:rPr>
                <w:b w:val="0"/>
              </w:rPr>
              <w:t>Table 6</w:t>
            </w:r>
          </w:p>
        </w:tc>
        <w:tc>
          <w:tcPr>
            <w:tcW w:type="dxa" w:w="3312"/>
            <w:vAlign w:val="center"/>
          </w:tcPr>
          <w:p>
            <w:pPr>
              <w:spacing w:after="40"/>
            </w:pPr>
            <w:r/>
            <w:r>
              <w:rPr>
                <w:b w:val="0"/>
              </w:rPr>
              <w:t>tab:protective_examples</w:t>
            </w:r>
          </w:p>
        </w:tc>
        <w:tc>
          <w:tcPr>
            <w:tcW w:type="dxa" w:w="3312"/>
            <w:vAlign w:val="center"/>
          </w:tcPr>
          <w:p>
            <w:pPr>
              <w:spacing w:after="40"/>
            </w:pPr>
            <w:r/>
            <w:r>
              <w:rPr>
                <w:b w:val="0"/>
              </w:rPr>
              <w:t>Examples of codes that lose protective significance after λ-OR correction.</w:t>
            </w:r>
          </w:p>
        </w:tc>
      </w:tr>
    </w:tbl>
    <w:p>
      <w:pPr>
        <w:pStyle w:val="Heading1"/>
      </w:pPr>
      <w:r>
        <w:t>Critical audit of the current reviewer-response memo</w:t>
      </w:r>
    </w:p>
    <w:p>
      <w:r>
        <w:t>The current memo is directionally useful, but it is not yet reliable as a final response document. It overstates completeness, contains several unsupported or inaccurate manuscript cross-references, and leaves multiple reviewer items effectively unanswered in the body of the memo.</w:t>
      </w:r>
    </w:p>
    <w:p>
      <w:pPr>
        <w:pStyle w:val="Heading2"/>
      </w:pPr>
      <w:r>
        <w:t>4. High-level findings</w:t>
      </w:r>
    </w:p>
    <w:p>
      <w:pPr>
        <w:ind w:left="288" w:hanging="259"/>
      </w:pPr>
      <w:r>
        <w:rPr>
          <w:b/>
        </w:rPr>
        <w:t xml:space="preserve">• </w:t>
      </w:r>
      <w:r>
        <w:t>The executive summary in the current memo reports every reviewer comment as addressed with zero gaps remaining. That claim is not supported by the memo itself, because multiple response cells are blank or materially incomplete.</w:t>
      </w:r>
    </w:p>
    <w:p>
      <w:pPr>
        <w:ind w:left="288" w:hanging="259"/>
      </w:pPr>
      <w:r>
        <w:rPr>
          <w:b/>
        </w:rPr>
        <w:t xml:space="preserve">• </w:t>
      </w:r>
      <w:r>
        <w:t>The revised manuscript does implement many of the requested changes, especially in the introduction, methods clarification, simulation expansion, and real-data detail. However, the memo sometimes cites the wrong equation or overstates the precision of where a change appears.</w:t>
      </w:r>
    </w:p>
    <w:p>
      <w:pPr>
        <w:ind w:left="288" w:hanging="259"/>
      </w:pPr>
      <w:r>
        <w:rPr>
          <w:b/>
        </w:rPr>
        <w:t xml:space="preserve">• </w:t>
      </w:r>
      <w:r>
        <w:t>Several responses would be safer if they referred to sections or theorem numbers only when those references are exact. In its current form, some entries are correct in substance but imprecise in citation.</w:t>
      </w:r>
    </w:p>
    <w:p>
      <w:pPr>
        <w:pStyle w:val="Heading2"/>
      </w:pPr>
      <w:r>
        <w:t>5. Specific issues that should be corrected before sending the reviewer response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b/>
              </w:rPr>
              <w:t>Item</w:t>
            </w:r>
          </w:p>
        </w:tc>
        <w:tc>
          <w:tcPr>
            <w:tcW w:type="dxa" w:w="3312"/>
            <w:vAlign w:val="center"/>
            <w:shd w:fill="D9EAF7"/>
          </w:tcPr>
          <w:p>
            <w:pPr>
              <w:spacing w:after="40"/>
            </w:pPr>
            <w:r/>
            <w:r>
              <w:rPr>
                <w:b/>
              </w:rPr>
              <w:t>Audit result</w:t>
            </w:r>
          </w:p>
        </w:tc>
        <w:tc>
          <w:tcPr>
            <w:tcW w:type="dxa" w:w="3312"/>
            <w:vAlign w:val="center"/>
            <w:shd w:fill="D9EAF7"/>
          </w:tcPr>
          <w:p>
            <w:pPr>
              <w:spacing w:after="40"/>
            </w:pPr>
            <w:r/>
            <w:r>
              <w:rPr>
                <w:b/>
              </w:rPr>
              <w:t>Required correction</w:t>
            </w:r>
          </w:p>
        </w:tc>
      </w:tr>
      <w:tr>
        <w:tc>
          <w:tcPr>
            <w:tcW w:type="dxa" w:w="3312"/>
            <w:vAlign w:val="center"/>
          </w:tcPr>
          <w:p>
            <w:pPr>
              <w:spacing w:after="40"/>
            </w:pPr>
            <w:r/>
            <w:r>
              <w:rPr>
                <w:b w:val="0"/>
              </w:rPr>
              <w:t>Executive summary counts</w:t>
            </w:r>
          </w:p>
        </w:tc>
        <w:tc>
          <w:tcPr>
            <w:tcW w:type="dxa" w:w="3312"/>
            <w:vAlign w:val="center"/>
          </w:tcPr>
          <w:p>
            <w:pPr>
              <w:spacing w:after="40"/>
            </w:pPr>
            <w:r/>
            <w:r>
              <w:rPr>
                <w:b w:val="0"/>
              </w:rPr>
              <w:t>Not reliable</w:t>
            </w:r>
          </w:p>
        </w:tc>
        <w:tc>
          <w:tcPr>
            <w:tcW w:type="dxa" w:w="3312"/>
            <w:vAlign w:val="center"/>
          </w:tcPr>
          <w:p>
            <w:pPr>
              <w:spacing w:after="40"/>
            </w:pPr>
            <w:r/>
            <w:r>
              <w:rPr>
                <w:b w:val="0"/>
              </w:rPr>
              <w:t>The memo says all comments are fully addressed with zero gaps remaining, but at least twelve response entries in the body are blank or effectively blank.</w:t>
            </w:r>
          </w:p>
        </w:tc>
      </w:tr>
      <w:tr>
        <w:tc>
          <w:tcPr>
            <w:tcW w:type="dxa" w:w="3312"/>
            <w:vAlign w:val="center"/>
          </w:tcPr>
          <w:p>
            <w:pPr>
              <w:spacing w:after="40"/>
            </w:pPr>
            <w:r/>
            <w:r>
              <w:rPr>
                <w:b w:val="0"/>
              </w:rPr>
              <w:t>Reviewer 1, Comment 1</w:t>
            </w:r>
          </w:p>
        </w:tc>
        <w:tc>
          <w:tcPr>
            <w:tcW w:type="dxa" w:w="3312"/>
            <w:vAlign w:val="center"/>
          </w:tcPr>
          <w:p>
            <w:pPr>
              <w:spacing w:after="40"/>
            </w:pPr>
            <w:r/>
            <w:r>
              <w:rPr>
                <w:b w:val="0"/>
              </w:rPr>
              <w:t>Reference inaccurate</w:t>
            </w:r>
          </w:p>
        </w:tc>
        <w:tc>
          <w:tcPr>
            <w:tcW w:type="dxa" w:w="3312"/>
            <w:vAlign w:val="center"/>
          </w:tcPr>
          <w:p>
            <w:pPr>
              <w:spacing w:after="40"/>
            </w:pPr>
            <w:r/>
            <w:r>
              <w:rPr>
                <w:b w:val="0"/>
              </w:rPr>
              <w:t>The memo says X, Y, and Ŷ are formally defined in Eq. (1). In the revised manuscript, Eq. (1) defines sensitivity and specificity; X, Y, and the observed label are introduced in prose, not by Eq. (1).</w:t>
            </w:r>
          </w:p>
        </w:tc>
      </w:tr>
      <w:tr>
        <w:tc>
          <w:tcPr>
            <w:tcW w:type="dxa" w:w="3312"/>
            <w:vAlign w:val="center"/>
          </w:tcPr>
          <w:p>
            <w:pPr>
              <w:spacing w:after="40"/>
            </w:pPr>
            <w:r/>
            <w:r>
              <w:rPr>
                <w:b w:val="0"/>
              </w:rPr>
              <w:t>Reviewer 1, Comments 2–4</w:t>
            </w:r>
          </w:p>
        </w:tc>
        <w:tc>
          <w:tcPr>
            <w:tcW w:type="dxa" w:w="3312"/>
            <w:vAlign w:val="center"/>
          </w:tcPr>
          <w:p>
            <w:pPr>
              <w:spacing w:after="40"/>
            </w:pPr>
            <w:r/>
            <w:r>
              <w:rPr>
                <w:b w:val="0"/>
              </w:rPr>
              <w:t>Missing from memo body</w:t>
            </w:r>
          </w:p>
        </w:tc>
        <w:tc>
          <w:tcPr>
            <w:tcW w:type="dxa" w:w="3312"/>
            <w:vAlign w:val="center"/>
          </w:tcPr>
          <w:p>
            <w:pPr>
              <w:spacing w:after="40"/>
            </w:pPr>
            <w:r/>
            <w:r>
              <w:rPr>
                <w:b w:val="0"/>
              </w:rPr>
              <w:t>The revised manuscript largely addresses these points, but the corresponding response cells in the memo are blank and need actual prose.</w:t>
            </w:r>
          </w:p>
        </w:tc>
      </w:tr>
      <w:tr>
        <w:tc>
          <w:tcPr>
            <w:tcW w:type="dxa" w:w="3312"/>
            <w:vAlign w:val="center"/>
          </w:tcPr>
          <w:p>
            <w:pPr>
              <w:spacing w:after="40"/>
            </w:pPr>
            <w:r/>
            <w:r>
              <w:rPr>
                <w:b w:val="0"/>
              </w:rPr>
              <w:t>Reviewer 1, Comment 7</w:t>
            </w:r>
          </w:p>
        </w:tc>
        <w:tc>
          <w:tcPr>
            <w:tcW w:type="dxa" w:w="3312"/>
            <w:vAlign w:val="center"/>
          </w:tcPr>
          <w:p>
            <w:pPr>
              <w:spacing w:after="40"/>
            </w:pPr>
            <w:r/>
            <w:r>
              <w:rPr>
                <w:b w:val="0"/>
              </w:rPr>
              <w:t>Missing from memo body</w:t>
            </w:r>
          </w:p>
        </w:tc>
        <w:tc>
          <w:tcPr>
            <w:tcW w:type="dxa" w:w="3312"/>
            <w:vAlign w:val="center"/>
          </w:tcPr>
          <w:p>
            <w:pPr>
              <w:spacing w:after="40"/>
            </w:pPr>
            <w:r/>
            <w:r>
              <w:rPr>
                <w:b w:val="0"/>
              </w:rPr>
              <w:t>The simulation section does define T and T̃ clearly, but the memo entry is blank and should explicitly cite Section 4 and the displayed table definitions.</w:t>
            </w:r>
          </w:p>
        </w:tc>
      </w:tr>
      <w:tr>
        <w:tc>
          <w:tcPr>
            <w:tcW w:type="dxa" w:w="3312"/>
            <w:vAlign w:val="center"/>
          </w:tcPr>
          <w:p>
            <w:pPr>
              <w:spacing w:after="40"/>
            </w:pPr>
            <w:r/>
            <w:r>
              <w:rPr>
                <w:b w:val="0"/>
              </w:rPr>
              <w:t>Reviewer 2 major, Comment 6</w:t>
            </w:r>
          </w:p>
        </w:tc>
        <w:tc>
          <w:tcPr>
            <w:tcW w:type="dxa" w:w="3312"/>
            <w:vAlign w:val="center"/>
          </w:tcPr>
          <w:p>
            <w:pPr>
              <w:spacing w:after="40"/>
            </w:pPr>
            <w:r/>
            <w:r>
              <w:rPr>
                <w:b w:val="0"/>
              </w:rPr>
              <w:t>Missing from memo body</w:t>
            </w:r>
          </w:p>
        </w:tc>
        <w:tc>
          <w:tcPr>
            <w:tcW w:type="dxa" w:w="3312"/>
            <w:vAlign w:val="center"/>
          </w:tcPr>
          <w:p>
            <w:pPr>
              <w:spacing w:after="40"/>
            </w:pPr>
            <w:r/>
            <w:r>
              <w:rPr>
                <w:b w:val="0"/>
              </w:rPr>
              <w:t>The revised manuscript does clarify that the score depends on Z rather than only X_j, but the memo entry is blank and should say so directly.</w:t>
            </w:r>
          </w:p>
        </w:tc>
      </w:tr>
      <w:tr>
        <w:tc>
          <w:tcPr>
            <w:tcW w:type="dxa" w:w="3312"/>
            <w:vAlign w:val="center"/>
          </w:tcPr>
          <w:p>
            <w:pPr>
              <w:spacing w:after="40"/>
            </w:pPr>
            <w:r/>
            <w:r>
              <w:rPr>
                <w:b w:val="0"/>
              </w:rPr>
              <w:t>Reviewer 2 major, Comment 7</w:t>
            </w:r>
          </w:p>
        </w:tc>
        <w:tc>
          <w:tcPr>
            <w:tcW w:type="dxa" w:w="3312"/>
            <w:vAlign w:val="center"/>
          </w:tcPr>
          <w:p>
            <w:pPr>
              <w:spacing w:after="40"/>
            </w:pPr>
            <w:r/>
            <w:r>
              <w:rPr>
                <w:b w:val="0"/>
              </w:rPr>
              <w:t>Missing from memo body</w:t>
            </w:r>
          </w:p>
        </w:tc>
        <w:tc>
          <w:tcPr>
            <w:tcW w:type="dxa" w:w="3312"/>
            <w:vAlign w:val="center"/>
          </w:tcPr>
          <w:p>
            <w:pPr>
              <w:spacing w:after="40"/>
            </w:pPr>
            <w:r/>
            <w:r>
              <w:rPr>
                <w:b w:val="0"/>
              </w:rPr>
              <w:t>Appendix 1 does provide the requested delta-method derivation, but the memo entry is blank and needs to cite Appendix 1 and Eqs. (21)–(25).</w:t>
            </w:r>
          </w:p>
        </w:tc>
      </w:tr>
      <w:tr>
        <w:tc>
          <w:tcPr>
            <w:tcW w:type="dxa" w:w="3312"/>
            <w:vAlign w:val="center"/>
          </w:tcPr>
          <w:p>
            <w:pPr>
              <w:spacing w:after="40"/>
            </w:pPr>
            <w:r/>
            <w:r>
              <w:rPr>
                <w:b w:val="0"/>
              </w:rPr>
              <w:t>Reviewer 2 minor, Comment 2</w:t>
            </w:r>
          </w:p>
        </w:tc>
        <w:tc>
          <w:tcPr>
            <w:tcW w:type="dxa" w:w="3312"/>
            <w:vAlign w:val="center"/>
          </w:tcPr>
          <w:p>
            <w:pPr>
              <w:spacing w:after="40"/>
            </w:pPr>
            <w:r/>
            <w:r>
              <w:rPr>
                <w:b w:val="0"/>
              </w:rPr>
              <w:t>Not documented in memo body</w:t>
            </w:r>
          </w:p>
        </w:tc>
        <w:tc>
          <w:tcPr>
            <w:tcW w:type="dxa" w:w="3312"/>
            <w:vAlign w:val="center"/>
          </w:tcPr>
          <w:p>
            <w:pPr>
              <w:spacing w:after="40"/>
            </w:pPr>
            <w:r/>
            <w:r>
              <w:rPr>
                <w:b w:val="0"/>
              </w:rPr>
              <w:t>The manuscript appears to fix specificity to sensitivity in Section 2.4, but the memo row is blank and should explicitly state that correction.</w:t>
            </w:r>
          </w:p>
        </w:tc>
      </w:tr>
      <w:tr>
        <w:tc>
          <w:tcPr>
            <w:tcW w:type="dxa" w:w="3312"/>
            <w:vAlign w:val="center"/>
          </w:tcPr>
          <w:p>
            <w:pPr>
              <w:spacing w:after="40"/>
            </w:pPr>
            <w:r/>
            <w:r>
              <w:rPr>
                <w:b w:val="0"/>
              </w:rPr>
              <w:t>Reviewer 3, Comment 4</w:t>
            </w:r>
          </w:p>
        </w:tc>
        <w:tc>
          <w:tcPr>
            <w:tcW w:type="dxa" w:w="3312"/>
            <w:vAlign w:val="center"/>
          </w:tcPr>
          <w:p>
            <w:pPr>
              <w:spacing w:after="40"/>
            </w:pPr>
            <w:r/>
            <w:r>
              <w:rPr>
                <w:b w:val="0"/>
              </w:rPr>
              <w:t>Missing from memo body</w:t>
            </w:r>
          </w:p>
        </w:tc>
        <w:tc>
          <w:tcPr>
            <w:tcW w:type="dxa" w:w="3312"/>
            <w:vAlign w:val="center"/>
          </w:tcPr>
          <w:p>
            <w:pPr>
              <w:spacing w:after="40"/>
            </w:pPr>
            <w:r/>
            <w:r>
              <w:rPr>
                <w:b w:val="0"/>
              </w:rPr>
              <w:t>The revised manuscript discusses collapse as AUC approaches 0.5, but the memo does not actually provide the response text in the relevant row.</w:t>
            </w:r>
          </w:p>
        </w:tc>
      </w:tr>
      <w:tr>
        <w:tc>
          <w:tcPr>
            <w:tcW w:type="dxa" w:w="3312"/>
            <w:vAlign w:val="center"/>
          </w:tcPr>
          <w:p>
            <w:pPr>
              <w:spacing w:after="40"/>
            </w:pPr>
            <w:r/>
            <w:r>
              <w:rPr>
                <w:b w:val="0"/>
              </w:rPr>
              <w:t>Reviewer 4 major, Comments 1–2</w:t>
            </w:r>
          </w:p>
        </w:tc>
        <w:tc>
          <w:tcPr>
            <w:tcW w:type="dxa" w:w="3312"/>
            <w:vAlign w:val="center"/>
          </w:tcPr>
          <w:p>
            <w:pPr>
              <w:spacing w:after="40"/>
            </w:pPr>
            <w:r/>
            <w:r>
              <w:rPr>
                <w:b w:val="0"/>
              </w:rPr>
              <w:t>Missing from memo body</w:t>
            </w:r>
          </w:p>
        </w:tc>
        <w:tc>
          <w:tcPr>
            <w:tcW w:type="dxa" w:w="3312"/>
            <w:vAlign w:val="center"/>
          </w:tcPr>
          <w:p>
            <w:pPr>
              <w:spacing w:after="40"/>
            </w:pPr>
            <w:r/>
            <w:r>
              <w:rPr>
                <w:b w:val="0"/>
              </w:rPr>
              <w:t>The revised manuscript does address notation clashes and states Assumption B, but both corresponding memo rows are blank and need concrete language.</w:t>
            </w:r>
          </w:p>
        </w:tc>
      </w:tr>
      <w:tr>
        <w:tc>
          <w:tcPr>
            <w:tcW w:type="dxa" w:w="3312"/>
            <w:vAlign w:val="center"/>
          </w:tcPr>
          <w:p>
            <w:pPr>
              <w:spacing w:after="40"/>
            </w:pPr>
            <w:r/>
            <w:r>
              <w:rPr>
                <w:b w:val="0"/>
              </w:rPr>
              <w:t>Reviewer 4 minor, Comments 3–4</w:t>
            </w:r>
          </w:p>
        </w:tc>
        <w:tc>
          <w:tcPr>
            <w:tcW w:type="dxa" w:w="3312"/>
            <w:vAlign w:val="center"/>
          </w:tcPr>
          <w:p>
            <w:pPr>
              <w:spacing w:after="40"/>
            </w:pPr>
            <w:r/>
            <w:r>
              <w:rPr>
                <w:b w:val="0"/>
              </w:rPr>
              <w:t>Missing from memo body</w:t>
            </w:r>
          </w:p>
        </w:tc>
        <w:tc>
          <w:tcPr>
            <w:tcW w:type="dxa" w:w="3312"/>
            <w:vAlign w:val="center"/>
          </w:tcPr>
          <w:p>
            <w:pPr>
              <w:spacing w:after="40"/>
            </w:pPr>
            <w:r/>
            <w:r>
              <w:rPr>
                <w:b w:val="0"/>
              </w:rPr>
              <w:t>The revised manuscript now labels table rows/columns and states Assumption A, but both memo rows are blank.</w:t>
            </w:r>
          </w:p>
        </w:tc>
      </w:tr>
      <w:tr>
        <w:tc>
          <w:tcPr>
            <w:tcW w:type="dxa" w:w="3312"/>
            <w:vAlign w:val="center"/>
          </w:tcPr>
          <w:p>
            <w:pPr>
              <w:spacing w:after="40"/>
            </w:pPr>
            <w:r/>
            <w:r>
              <w:rPr>
                <w:b w:val="0"/>
              </w:rPr>
              <w:t>Reviewer 4 minor, Comment 6</w:t>
            </w:r>
          </w:p>
        </w:tc>
        <w:tc>
          <w:tcPr>
            <w:tcW w:type="dxa" w:w="3312"/>
            <w:vAlign w:val="center"/>
          </w:tcPr>
          <w:p>
            <w:pPr>
              <w:spacing w:after="40"/>
            </w:pPr>
            <w:r/>
            <w:r>
              <w:rPr>
                <w:b w:val="0"/>
              </w:rPr>
              <w:t>Partly correct but incomplete</w:t>
            </w:r>
          </w:p>
        </w:tc>
        <w:tc>
          <w:tcPr>
            <w:tcW w:type="dxa" w:w="3312"/>
            <w:vAlign w:val="center"/>
          </w:tcPr>
          <w:p>
            <w:pPr>
              <w:spacing w:after="40"/>
            </w:pPr>
            <w:r/>
            <w:r>
              <w:rPr>
                <w:b w:val="0"/>
              </w:rPr>
              <w:t>The algorithm sign issue is fixed in the revised manuscript, but the memo row is blank. Also, Figure nomenclature should be checked carefully because the real-data caption still contains an inconsistent theorem reference.</w:t>
            </w:r>
          </w:p>
        </w:tc>
      </w:tr>
      <w:tr>
        <w:tc>
          <w:tcPr>
            <w:tcW w:type="dxa" w:w="3312"/>
            <w:vAlign w:val="center"/>
          </w:tcPr>
          <w:p>
            <w:pPr>
              <w:spacing w:after="40"/>
            </w:pPr>
            <w:r/>
            <w:r>
              <w:rPr>
                <w:b w:val="0"/>
              </w:rPr>
              <w:t>Figure 5 caption in revised manuscript</w:t>
            </w:r>
          </w:p>
        </w:tc>
        <w:tc>
          <w:tcPr>
            <w:tcW w:type="dxa" w:w="3312"/>
            <w:vAlign w:val="center"/>
          </w:tcPr>
          <w:p>
            <w:pPr>
              <w:spacing w:after="40"/>
            </w:pPr>
            <w:r/>
            <w:r>
              <w:rPr>
                <w:b w:val="0"/>
              </w:rPr>
              <w:t>Still needs correction</w:t>
            </w:r>
          </w:p>
        </w:tc>
        <w:tc>
          <w:tcPr>
            <w:tcW w:type="dxa" w:w="3312"/>
            <w:vAlign w:val="center"/>
          </w:tcPr>
          <w:p>
            <w:pPr>
              <w:spacing w:after="40"/>
            </w:pPr>
            <w:r/>
            <w:r>
              <w:rPr>
                <w:b w:val="0"/>
              </w:rPr>
              <w:t>The revised caption says λ-OR collapses the inflated cloud and cites “Theorem S1.” That citation does not match the main-text numbering and should be replaced by the correct theorem/corollary reference or removed.</w:t>
            </w:r>
          </w:p>
        </w:tc>
      </w:tr>
      <w:tr>
        <w:tc>
          <w:tcPr>
            <w:tcW w:type="dxa" w:w="3312"/>
            <w:vAlign w:val="center"/>
          </w:tcPr>
          <w:p>
            <w:pPr>
              <w:spacing w:after="40"/>
            </w:pPr>
            <w:r/>
            <w:r>
              <w:rPr>
                <w:b w:val="0"/>
              </w:rPr>
              <w:t>Reference implementation link comment</w:t>
            </w:r>
          </w:p>
        </w:tc>
        <w:tc>
          <w:tcPr>
            <w:tcW w:type="dxa" w:w="3312"/>
            <w:vAlign w:val="center"/>
          </w:tcPr>
          <w:p>
            <w:pPr>
              <w:spacing w:after="40"/>
            </w:pPr>
            <w:r/>
            <w:r>
              <w:rPr>
                <w:b w:val="0"/>
              </w:rPr>
              <w:t>Needs cautious wording</w:t>
            </w:r>
          </w:p>
        </w:tc>
        <w:tc>
          <w:tcPr>
            <w:tcW w:type="dxa" w:w="3312"/>
            <w:vAlign w:val="center"/>
          </w:tcPr>
          <w:p>
            <w:pPr>
              <w:spacing w:after="40"/>
            </w:pPr>
            <w:r/>
            <w:r>
              <w:rPr>
                <w:b w:val="0"/>
              </w:rPr>
              <w:t>The memo states that the link issue was temporary and is now accessible, but this is not established within the memo. Unless independently rechecked immediately before submission, that claim should be softened.</w:t>
            </w:r>
          </w:p>
        </w:tc>
      </w:tr>
    </w:tbl>
    <w:p>
      <w:pPr>
        <w:pStyle w:val="Heading2"/>
      </w:pPr>
      <w:r>
        <w:t>6. Overall judgment by reviewer block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40"/>
            </w:pPr>
            <w:r/>
            <w:r>
              <w:rPr>
                <w:b/>
              </w:rPr>
              <w:t>Reviewer block</w:t>
            </w:r>
          </w:p>
        </w:tc>
        <w:tc>
          <w:tcPr>
            <w:tcW w:type="dxa" w:w="4968"/>
            <w:vAlign w:val="center"/>
            <w:shd w:fill="D9EAF7"/>
          </w:tcPr>
          <w:p>
            <w:pPr>
              <w:spacing w:after="40"/>
            </w:pPr>
            <w:r/>
            <w:r>
              <w:rPr>
                <w:b/>
              </w:rPr>
              <w:t>Assessment</w:t>
            </w:r>
          </w:p>
        </w:tc>
      </w:tr>
      <w:tr>
        <w:tc>
          <w:tcPr>
            <w:tcW w:type="dxa" w:w="4968"/>
            <w:vAlign w:val="center"/>
          </w:tcPr>
          <w:p>
            <w:pPr>
              <w:spacing w:after="40"/>
            </w:pPr>
            <w:r/>
            <w:r>
              <w:rPr>
                <w:b w:val="0"/>
              </w:rPr>
              <w:t>Reviewer 1</w:t>
            </w:r>
          </w:p>
        </w:tc>
        <w:tc>
          <w:tcPr>
            <w:tcW w:type="dxa" w:w="4968"/>
            <w:vAlign w:val="center"/>
          </w:tcPr>
          <w:p>
            <w:pPr>
              <w:spacing w:after="40"/>
            </w:pPr>
            <w:r/>
            <w:r>
              <w:rPr>
                <w:b w:val="0"/>
              </w:rPr>
              <w:t>Substantively mostly addressed in manuscript, but the memo is incomplete because several responses are blank and one cross-reference to Eq. (1) is wrong.</w:t>
            </w:r>
          </w:p>
        </w:tc>
      </w:tr>
      <w:tr>
        <w:tc>
          <w:tcPr>
            <w:tcW w:type="dxa" w:w="4968"/>
            <w:vAlign w:val="center"/>
          </w:tcPr>
          <w:p>
            <w:pPr>
              <w:spacing w:after="40"/>
            </w:pPr>
            <w:r/>
            <w:r>
              <w:rPr>
                <w:b w:val="0"/>
              </w:rPr>
              <w:t>Reviewer 2 major</w:t>
            </w:r>
          </w:p>
        </w:tc>
        <w:tc>
          <w:tcPr>
            <w:tcW w:type="dxa" w:w="4968"/>
            <w:vAlign w:val="center"/>
          </w:tcPr>
          <w:p>
            <w:pPr>
              <w:spacing w:after="40"/>
            </w:pPr>
            <w:r/>
            <w:r>
              <w:rPr>
                <w:b w:val="0"/>
              </w:rPr>
              <w:t>Largely addressed in manuscript. The simulation, literature review, threshold guidance, and dataset detail are much stronger. The memo still needs completion for a few rows and should be more exact about where changes appear.</w:t>
            </w:r>
          </w:p>
        </w:tc>
      </w:tr>
      <w:tr>
        <w:tc>
          <w:tcPr>
            <w:tcW w:type="dxa" w:w="4968"/>
            <w:vAlign w:val="center"/>
          </w:tcPr>
          <w:p>
            <w:pPr>
              <w:spacing w:after="40"/>
            </w:pPr>
            <w:r/>
            <w:r>
              <w:rPr>
                <w:b w:val="0"/>
              </w:rPr>
              <w:t>Reviewer 2 minor</w:t>
            </w:r>
          </w:p>
        </w:tc>
        <w:tc>
          <w:tcPr>
            <w:tcW w:type="dxa" w:w="4968"/>
            <w:vAlign w:val="center"/>
          </w:tcPr>
          <w:p>
            <w:pPr>
              <w:spacing w:after="40"/>
            </w:pPr>
            <w:r/>
            <w:r>
              <w:rPr>
                <w:b w:val="0"/>
              </w:rPr>
              <w:t>Mostly addressed in manuscript. The memo should explicitly document the specificity→sensitivity correction and should avoid saying every issue is fully closed without showing it.</w:t>
            </w:r>
          </w:p>
        </w:tc>
      </w:tr>
      <w:tr>
        <w:tc>
          <w:tcPr>
            <w:tcW w:type="dxa" w:w="4968"/>
            <w:vAlign w:val="center"/>
          </w:tcPr>
          <w:p>
            <w:pPr>
              <w:spacing w:after="40"/>
            </w:pPr>
            <w:r/>
            <w:r>
              <w:rPr>
                <w:b w:val="0"/>
              </w:rPr>
              <w:t>Reviewer 3</w:t>
            </w:r>
          </w:p>
        </w:tc>
        <w:tc>
          <w:tcPr>
            <w:tcW w:type="dxa" w:w="4968"/>
            <w:vAlign w:val="center"/>
          </w:tcPr>
          <w:p>
            <w:pPr>
              <w:spacing w:after="40"/>
            </w:pPr>
            <w:r/>
            <w:r>
              <w:rPr>
                <w:b w:val="0"/>
              </w:rPr>
              <w:t>Mostly addressed in manuscript, especially through Tables 2–5 and new Figures 3–4. The memo remains incomplete for the model-quality sensitivity point.</w:t>
            </w:r>
          </w:p>
        </w:tc>
      </w:tr>
      <w:tr>
        <w:tc>
          <w:tcPr>
            <w:tcW w:type="dxa" w:w="4968"/>
            <w:vAlign w:val="center"/>
          </w:tcPr>
          <w:p>
            <w:pPr>
              <w:spacing w:after="40"/>
            </w:pPr>
            <w:r/>
            <w:r>
              <w:rPr>
                <w:b w:val="0"/>
              </w:rPr>
              <w:t>Reviewer 4 major</w:t>
            </w:r>
          </w:p>
        </w:tc>
        <w:tc>
          <w:tcPr>
            <w:tcW w:type="dxa" w:w="4968"/>
            <w:vAlign w:val="center"/>
          </w:tcPr>
          <w:p>
            <w:pPr>
              <w:spacing w:after="40"/>
            </w:pPr>
            <w:r/>
            <w:r>
              <w:rPr>
                <w:b w:val="0"/>
              </w:rPr>
              <w:t>Substantively improved in manuscript, especially notation and theorem assumptions, but the memo leaves the major-comment responses blank and therefore cannot be considered final.</w:t>
            </w:r>
          </w:p>
        </w:tc>
      </w:tr>
      <w:tr>
        <w:tc>
          <w:tcPr>
            <w:tcW w:type="dxa" w:w="4968"/>
            <w:vAlign w:val="center"/>
          </w:tcPr>
          <w:p>
            <w:pPr>
              <w:spacing w:after="40"/>
            </w:pPr>
            <w:r/>
            <w:r>
              <w:rPr>
                <w:b w:val="0"/>
              </w:rPr>
              <w:t>Reviewer 4 minor</w:t>
            </w:r>
          </w:p>
        </w:tc>
        <w:tc>
          <w:tcPr>
            <w:tcW w:type="dxa" w:w="4968"/>
            <w:vAlign w:val="center"/>
          </w:tcPr>
          <w:p>
            <w:pPr>
              <w:spacing w:after="40"/>
            </w:pPr>
            <w:r/>
            <w:r>
              <w:rPr>
                <w:b w:val="0"/>
              </w:rPr>
              <w:t>Mostly addressed in manuscript, but some responses are absent from the memo and one remaining manuscript-caption reference should still be fixed.</w:t>
            </w:r>
          </w:p>
        </w:tc>
      </w:tr>
    </w:tbl>
    <w:p>
      <w:pPr>
        <w:pStyle w:val="Heading2"/>
      </w:pPr>
      <w:r>
        <w:t>7. Recommended revision of the memo summary line</w:t>
      </w:r>
    </w:p>
    <w:p>
      <w:r>
        <w:t>A more defensible summary would be: “Most reviewer requests are now implemented in the revised manuscript, especially those concerning introduction clarity, notation, variance derivation, simulation detail, real-data reporting, and practical guidance. However, the reviewer-response memo still requires completion and correction in several places before submission, because some response entries are blank and a few manuscript citations are imprecise or still inconsistent.”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487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74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6323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