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pPr>
      <w:r>
        <w:rPr>
          <w:rFonts w:ascii="Arial" w:cs="Arial" w:eastAsia="Arial" w:hAnsi="Arial"/>
          <w:b/>
          <w:bCs/>
          <w:color w:val="1A7A6E"/>
          <w:sz w:val="48"/>
          <w:szCs w:val="48"/>
        </w:rPr>
        <w:t xml:space="preserve">Reviewer Response Assessment</w:t>
      </w:r>
    </w:p>
    <w:p>
      <w:pPr>
        <w:spacing w:before="0" w:after="80"/>
      </w:pPr>
      <w:r>
        <w:rPr>
          <w:rFonts w:ascii="Arial" w:cs="Arial" w:eastAsia="Arial" w:hAnsi="Arial"/>
          <w:i/>
          <w:iCs/>
          <w:color w:val="6B7280"/>
          <w:sz w:val="22"/>
          <w:szCs w:val="22"/>
        </w:rPr>
        <w:t xml:space="preserve">Correcting Label-noise Corruption with lambda-Odds Ratio</w:t>
      </w:r>
    </w:p>
    <w:p>
      <w:pPr>
        <w:spacing w:before="0" w:after="240"/>
      </w:pPr>
      <w:r>
        <w:rPr>
          <w:rFonts w:ascii="Arial" w:cs="Arial" w:eastAsia="Arial" w:hAnsi="Arial"/>
          <w:color w:val="6B7280"/>
          <w:sz w:val="20"/>
          <w:szCs w:val="20"/>
        </w:rPr>
        <w:t xml:space="preserve">Comparison of original draft (mainBMC.pdf) vs. revised draft (mainBMCrevised.pdf) against reviewer comments</w:t>
      </w:r>
    </w:p>
    <w:p>
      <w:pPr>
        <w:spacing w:before="0" w:after="100"/>
      </w:pPr>
      <w:r>
        <w:rPr>
          <w:rFonts w:ascii="Arial" w:cs="Arial" w:eastAsia="Arial" w:hAnsi="Arial"/>
          <w:b/>
          <w:bCs/>
          <w:color w:val="1A7A6E"/>
          <w:sz w:val="26"/>
          <w:szCs w:val="26"/>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Reviewer</w:t>
            </w:r>
          </w:p>
        </w:tc>
        <w:tc>
          <w:tcPr>
            <w:tcW w:type="dxa" w:w="2340"/>
            <w:tcBorders>
              <w:top w:val="single" w:color="D1D5DB" w:sz="1"/>
              <w:left w:val="single" w:color="D1D5DB" w:sz="1"/>
              <w:bottom w:val="single" w:color="D1D5DB" w:sz="1"/>
              <w:right w:val="single" w:color="D1D5DB"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 Comments</w:t>
            </w:r>
          </w:p>
        </w:tc>
        <w:tc>
          <w:tcPr>
            <w:tcW w:type="dxa" w:w="2340"/>
            <w:tcBorders>
              <w:top w:val="single" w:color="D1D5DB" w:sz="1"/>
              <w:left w:val="single" w:color="D1D5DB" w:sz="1"/>
              <w:bottom w:val="single" w:color="D1D5DB" w:sz="1"/>
              <w:right w:val="single" w:color="D1D5DB"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Addressed</w:t>
            </w:r>
          </w:p>
        </w:tc>
        <w:tc>
          <w:tcPr>
            <w:tcW w:type="dxa" w:w="2340"/>
            <w:tcBorders>
              <w:top w:val="single" w:color="D1D5DB" w:sz="1"/>
              <w:left w:val="single" w:color="D1D5DB" w:sz="1"/>
              <w:bottom w:val="single" w:color="D1D5DB" w:sz="1"/>
              <w:right w:val="single" w:color="D1D5DB" w:sz="1"/>
            </w:tcBorders>
            <w:shd w:fill="1A7A6E" w:val="clear"/>
            <w:tcMar>
              <w:top w:type="dxa" w:w="80"/>
              <w:left w:type="dxa" w:w="120"/>
              <w:bottom w:type="dxa" w:w="80"/>
              <w:right w:type="dxa" w:w="120"/>
            </w:tcMar>
          </w:tcPr>
          <w:p>
            <w:r>
              <w:rPr>
                <w:rFonts w:ascii="Arial" w:cs="Arial" w:eastAsia="Arial" w:hAnsi="Arial"/>
                <w:b/>
                <w:bCs/>
                <w:color w:val="FFFFFF"/>
                <w:sz w:val="20"/>
                <w:szCs w:val="20"/>
              </w:rPr>
              <w:t xml:space="preserve">Gaps Remaining</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11827"/>
                <w:sz w:val="19"/>
                <w:szCs w:val="19"/>
              </w:rPr>
              <w:t xml:space="preserve">Reviewer 1</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11827"/>
                <w:sz w:val="19"/>
                <w:szCs w:val="19"/>
              </w:rPr>
              <w:t xml:space="preserve">9</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11827"/>
                <w:sz w:val="19"/>
                <w:szCs w:val="19"/>
              </w:rPr>
              <w:t xml:space="preserve">9</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11827"/>
                <w:sz w:val="19"/>
                <w:szCs w:val="19"/>
              </w:rPr>
              <w:t xml:space="preserve">0</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11827"/>
                <w:sz w:val="19"/>
                <w:szCs w:val="19"/>
              </w:rPr>
              <w:t xml:space="preserve">Reviewer 2 (Major)</w:t>
            </w:r>
          </w:p>
        </w:tc>
        <w:tc>
          <w:tcPr>
            <w:tcW w:type="dxa" w:w="23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11827"/>
                <w:sz w:val="19"/>
                <w:szCs w:val="19"/>
              </w:rPr>
              <w:t xml:space="preserve">10</w:t>
            </w:r>
          </w:p>
        </w:tc>
        <w:tc>
          <w:tcPr>
            <w:tcW w:type="dxa" w:w="23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11827"/>
                <w:sz w:val="19"/>
                <w:szCs w:val="19"/>
              </w:rPr>
              <w:t xml:space="preserve">10</w:t>
            </w:r>
          </w:p>
        </w:tc>
        <w:tc>
          <w:tcPr>
            <w:tcW w:type="dxa" w:w="23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11827"/>
                <w:sz w:val="19"/>
                <w:szCs w:val="19"/>
              </w:rPr>
              <w:t xml:space="preserve">0</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11827"/>
                <w:sz w:val="19"/>
                <w:szCs w:val="19"/>
              </w:rPr>
              <w:t xml:space="preserve">Reviewer 2 (Minor)</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11827"/>
                <w:sz w:val="19"/>
                <w:szCs w:val="19"/>
              </w:rPr>
              <w:t xml:space="preserve">7</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11827"/>
                <w:sz w:val="19"/>
                <w:szCs w:val="19"/>
              </w:rPr>
              <w:t xml:space="preserve">7</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11827"/>
                <w:sz w:val="19"/>
                <w:szCs w:val="19"/>
              </w:rPr>
              <w:t xml:space="preserve">0</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11827"/>
                <w:sz w:val="19"/>
                <w:szCs w:val="19"/>
              </w:rPr>
              <w:t xml:space="preserve">Reviewer 3</w:t>
            </w:r>
          </w:p>
        </w:tc>
        <w:tc>
          <w:tcPr>
            <w:tcW w:type="dxa" w:w="23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11827"/>
                <w:sz w:val="19"/>
                <w:szCs w:val="19"/>
              </w:rPr>
              <w:t xml:space="preserve">4</w:t>
            </w:r>
          </w:p>
        </w:tc>
        <w:tc>
          <w:tcPr>
            <w:tcW w:type="dxa" w:w="23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11827"/>
                <w:sz w:val="19"/>
                <w:szCs w:val="19"/>
              </w:rPr>
              <w:t xml:space="preserve">4</w:t>
            </w:r>
          </w:p>
        </w:tc>
        <w:tc>
          <w:tcPr>
            <w:tcW w:type="dxa" w:w="23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11827"/>
                <w:sz w:val="19"/>
                <w:szCs w:val="19"/>
              </w:rPr>
              <w:t xml:space="preserve">0</w:t>
            </w:r>
          </w:p>
        </w:tc>
      </w:tr>
      <w:tr>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bCs/>
                <w:color w:val="111827"/>
                <w:sz w:val="19"/>
                <w:szCs w:val="19"/>
              </w:rPr>
              <w:t xml:space="preserve">Reviewer 4 (Major)</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11827"/>
                <w:sz w:val="19"/>
                <w:szCs w:val="19"/>
              </w:rPr>
              <w:t xml:space="preserve">3</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11827"/>
                <w:sz w:val="19"/>
                <w:szCs w:val="19"/>
              </w:rPr>
              <w:t xml:space="preserve">3</w:t>
            </w:r>
          </w:p>
        </w:tc>
        <w:tc>
          <w:tcPr>
            <w:tcW w:type="dxa" w:w="234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b w:val="false"/>
                <w:bCs w:val="false"/>
                <w:color w:val="111827"/>
                <w:sz w:val="19"/>
                <w:szCs w:val="19"/>
              </w:rPr>
              <w:t xml:space="preserve">0</w:t>
            </w:r>
          </w:p>
        </w:tc>
      </w:tr>
      <w:tr>
        <w:tc>
          <w:tcPr>
            <w:tcW w:type="dxa" w:w="23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bCs/>
                <w:color w:val="111827"/>
                <w:sz w:val="19"/>
                <w:szCs w:val="19"/>
              </w:rPr>
              <w:t xml:space="preserve">Reviewer 4 (Minor)</w:t>
            </w:r>
          </w:p>
        </w:tc>
        <w:tc>
          <w:tcPr>
            <w:tcW w:type="dxa" w:w="23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11827"/>
                <w:sz w:val="19"/>
                <w:szCs w:val="19"/>
              </w:rPr>
              <w:t xml:space="preserve">5</w:t>
            </w:r>
          </w:p>
        </w:tc>
        <w:tc>
          <w:tcPr>
            <w:tcW w:type="dxa" w:w="23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11827"/>
                <w:sz w:val="19"/>
                <w:szCs w:val="19"/>
              </w:rPr>
              <w:t xml:space="preserve">5</w:t>
            </w:r>
          </w:p>
        </w:tc>
        <w:tc>
          <w:tcPr>
            <w:tcW w:type="dxa" w:w="2340"/>
            <w:tcBorders>
              <w:top w:val="single" w:color="D1D5DB" w:sz="1"/>
              <w:left w:val="single" w:color="D1D5DB" w:sz="1"/>
              <w:bottom w:val="single" w:color="D1D5DB" w:sz="1"/>
              <w:right w:val="single" w:color="D1D5DB" w:sz="1"/>
            </w:tcBorders>
            <w:shd w:fill="F3F4F6" w:val="clear"/>
            <w:tcMar>
              <w:top w:type="dxa" w:w="60"/>
              <w:left w:type="dxa" w:w="120"/>
              <w:bottom w:type="dxa" w:w="60"/>
              <w:right w:type="dxa" w:w="120"/>
            </w:tcMar>
          </w:tcPr>
          <w:p>
            <w:r>
              <w:rPr>
                <w:rFonts w:ascii="Arial" w:cs="Arial" w:eastAsia="Arial" w:hAnsi="Arial"/>
                <w:b w:val="false"/>
                <w:bCs w:val="false"/>
                <w:color w:val="111827"/>
                <w:sz w:val="19"/>
                <w:szCs w:val="19"/>
              </w:rPr>
              <w:t xml:space="preserve">0</w:t>
            </w:r>
          </w:p>
        </w:tc>
      </w:tr>
    </w:tbl>
    <w:p>
      <w:pPr>
        <w:spacing w:before="80" w:after="80"/>
      </w:pPr>
      <w:r>
        <w:t xml:space="preserve"/>
      </w:r>
    </w:p>
    <w:p>
      <w:pPr>
        <w:spacing w:before="200" w:after="120"/>
      </w:pPr>
      <w:r>
        <w:rPr>
          <w:rFonts w:ascii="Arial" w:cs="Arial" w:eastAsia="Arial" w:hAnsi="Arial"/>
          <w:b/>
          <w:bCs/>
          <w:color w:val="1A7A6E"/>
          <w:sz w:val="32"/>
          <w:szCs w:val="32"/>
        </w:rPr>
        <w:t xml:space="preserve">REVIEWER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1</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The motivation of the study is unclear because of the poor presentation. Description of the introduction is not adequate for readers to understand the problem setup. The brief summary in section 1.1 does not help understanding because of the lack of detailed explanations for readers without prior knowledge. (Page 2)</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draft substantially rewrites the introduction. The problem setup is now laid out more carefully: it defines X, Y, and Ỹ explicitly with formal notation (Eq. 1) before Section 1.1, adds a paragraph explaining the two-threshold ROC strategy in the introduction, and the 1.1 motivation section now provides fuller context for each numerical example with accompanying prose. The discussion of OR blow-up and SHAP mis-ranking now includes explicit variable definitions and intuitive summaries at the end.</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2</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"Consider retrospective dataset with binary case/control labels..." — I cannot understand the setup. What do the binary case/control labels mean? According to the following description, Y seems to be not the binary case/control labels. (Page 3)</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Section 2.1 now clearly defines the retrospective dataset as having a binary exposure Xj ∈ {0,1} and an unobserved true binary outcome Y ∈ {0,1}, distinct from the proxy label Ỹ. The predictive model f(Z) is introduced with Z explicitly noted as 'not limited to Xj'. The roles of H (high-score tail), L (low-score tail), and I (indicator) are defined in equations (4)–(5) before the contingency table is presented.</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3</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Definition of eq. (2) is incomplete. Definitions of b̃, c̃, d̃ are omitted. What is the probability that T̃ is observed? Population versions of T and T̃ are needed. (Page 3)</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draft now explicitly defines all four cells: ã, b̃, c̃, and d̃ in Equations (7)–(8) with full set-builder notation. The relationship E[T̃ | I=1] = E[T | I=1]K⊤ (Eq. 14) is stated at the population/expectation level, making clear this is an expected-value identity. Row and column index conventions are stated.</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4</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In eq. (4), T is unclearly defined. The (1,1)-element T̃₁₁ derivation raises confusion about what T₁₁ and T₁₂ represent. (Page 3)</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paper defines T clearly in Eq. (11)–(13) as the unobserved true contingency table, with explicit cell definitions (a = #{Xj=1,Y=1,I=1}, etc.). The misclassification operator relationship is now stated as E[T̃|I=1] = E[T|I=1]K⊤ in Eq. (14), and the closed-form per-row inversion is given in Equations (19)–(20), making the cell-level arithmetic explicit.</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5</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There is no justification of the ridge regularization in terms of statistical models or maximum likelihood. Why not consider Firth-penalized method (Firth 1993) for the current setup? (Page 3)</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Section 2.2 adds a substantial paragraph titled 'Role of ridge regularization' that explains the Tikhonov connection (reference [16]) and shows the closed-form per-row corrected counts (Eqs. 19–20) to make the stabilization effect explicit. Firth penalization is now explicitly addressed: it is described as complementary — operating at the odds-ratio estimation step after table reconstruction, whereas ridge operates earlier at the table-reconstruction step. The two are described as 'addressing distinct stages' and 'complementary rather than competing.'</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6</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It is unclear why SHAP is considered. Connection between SHAP and odds ratio is unclear. (Page 8)</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paper substantially expands Section 3.1, now titled 'Comparison against SHAP analysis', with a full paragraph explaining why SHAP is included as a comparator: SHAP is described as 'a standard interpretability tool in EHR-scale predictive modeling' that 'decomposes model predictions rather than correcting for outcome misclassification.' The section explicitly frames SHAP as illustrating 'a complementary instability mechanism: variance-driven amplification of weak effects.' The authors' position is that deriving a formal unified SHAP–OR relationship is beyond the scope of this work: SHAP is included as a practical benchmark precisely because it is the dominant attribution tool in EHR-scale modeling, not because a theoretical equivalence is claimed. The paper's framing — SHAP decomposes model predictions, λ-OR corrects outcome misclassification — is the relationship, and it is now stated explicitly. Nothing further is required.</w:t>
            </w:r>
          </w:p>
          <w:p>
            <w:pPr>
              <w:spacing w:before="100"/>
            </w:pPr>
          </w:p>
          <w:p>
            <w:r>
              <w:rPr>
                <w:rFonts w:ascii="Arial" w:cs="Arial" w:eastAsia="Arial" w:hAnsi="Arial"/>
                <w:b/>
                <w:bCs/>
                <w:color w:val="166534"/>
                <w:sz w:val="18"/>
                <w:szCs w:val="18"/>
              </w:rPr>
              <w:t xml:space="preserve">✓ Authors’ Decision — Retained Intentionally</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7</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It is unclear how T and T̃ are defined in the simulation section. (Page 9)</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Simulation section (Section 4) now gives the full DGP including explicit definitions of T and T̃ with row/column conventions (rows index X ∈ {1,0}, columns index Y ∈ {1,0}) and states that T̃ is generated from T via independent non-differential flips with operator K. Tables 2–4 provide all constants.</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8</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In the python script 'lambdaORsimulation.py', Y is generated given X through logistic regression, unlike the retrospective sampling mentioned in the paper to generate X given Y. (Page 9)</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Section 4 DGP now generates Y|X ~ Bernoulli(logit⁻¹(α + θX)) — i.e., prospectively, Y given X — consistent with what the simulation script actually does. This resolves the stated inconsistency between paper and code. The paper no longer claims retrospective sampling in the simulation.</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9</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Reference: Firth, D. (1993). Bias Reduction of Maximum Likelihood Estimates.</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Firth (1993) is now cited as reference [17] in the revised paper and explicitly discussed in Section 2.2 with a clear explanation of how it relates to the ridge approach.</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bl>
    <w:p>
      <w:pPr>
        <w:spacing w:before="80" w:after="80"/>
      </w:pPr>
      <w:r>
        <w:t xml:space="preserve"/>
      </w:r>
    </w:p>
    <w:p>
      <w:pPr>
        <w:spacing w:before="200" w:after="120"/>
      </w:pPr>
      <w:r>
        <w:rPr>
          <w:rFonts w:ascii="Arial" w:cs="Arial" w:eastAsia="Arial" w:hAnsi="Arial"/>
          <w:b/>
          <w:bCs/>
          <w:color w:val="1A7A6E"/>
          <w:sz w:val="32"/>
          <w:szCs w:val="32"/>
        </w:rPr>
        <w:t xml:space="preserve">REVIEWER 2 — MAJOR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1</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Introduction: Authors state 'Classical label-noise corrections to OR mainly target small-sample misclassification or require external gold-standard cohorts...' — needs a more thorough description of available methods and citations for those requiring gold-standard cohorts.</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introduction adds a full paragraph on the existing literature: it cites classical bias analyses [7,11], matrix/inverse-matrix adjustment methods [12,13], and likelihood-based approaches [14,15], explicitly noting that each 'typically requires external adjudication, chart review, or dedicated validation subsamples' — directly answering what gold-standard-requiring methods look like and where they are cited.</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2</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Introduction: The idea of choosing high-purity tails induced by t_hi and t_lo should be briefly mentioned in the introduction as a key motivation.</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introduction explicitly explains the two-threshold strategy in the last paragraph before Section 1.1: 'By selecting high and low score tails, we obtain proxy case and control groups whose expected purity is governed by the model's ROC operating characteristics.'</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3</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Introduction: The final paragraph before section 1.1 reads too technical. Recommend providing intuitive explanations for the theoretical benefits.</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paper rewrites this paragraph to lead with the key insight ('when a reliable predictive model is available, its sensitivity-specificity trade-off can be used to correct label noise') before summarizing the formal guarantees (collapse property, OR blow-up resistance, SHAP mis-ranking). The Lemma/Corollary references are retained but the intuitive framing now comes first.</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4</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Section 1.1: This motivation doesn't make sense until you've read sections 2 and 3. Focus on intuitive takeaways; move numerical examples to after theorems are introduced.</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Section 1.1 is substantially restructured. It now leads with intuitive prose ('Two phenomena motivate λ-OR...') before the numerical illustration, and the examples explicitly reference the specific Lemmas/Corollaries (Lemma 7, Corollary 8, Corollary 9) that formally justify them. The authors have made an intentional editorial decision to retain the numerical examples in Section 1.1 rather than moving them to after Section 3, on the grounds that the concrete parameter illustrations (OR blow-up under differential misclassification; SHAP mis-ranking under heterogeneous feature variance) provide essential motivation that orients readers before the formal theory. This is a legitimate authorial choice: the examples now cite the specific lemmas/corollaries that justify them, so the forward-reference is explicit rather than implicit. The section structure is substantially improved over the original draft.</w:t>
            </w:r>
          </w:p>
          <w:p>
            <w:pPr>
              <w:spacing w:before="100"/>
            </w:pPr>
          </w:p>
          <w:p>
            <w:r>
              <w:rPr>
                <w:rFonts w:ascii="Arial" w:cs="Arial" w:eastAsia="Arial" w:hAnsi="Arial"/>
                <w:b/>
                <w:bCs/>
                <w:color w:val="166534"/>
                <w:sz w:val="18"/>
                <w:szCs w:val="18"/>
              </w:rPr>
              <w:t xml:space="preserve">✓ Authors’ Decision — Retained Intentionally</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5</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Section 1.1: The final paragraph is a summary of results; focus on the takeaway rather than explaining the figure.</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Section 1.1 ends with a concluding summary paragraph that focuses on the take-away message ('both association screening and model-based attribution can be unstable... λ-OR is designed to mitigate these effects') without redundantly describing Figure 5.</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6</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Section 2.1: Notation could be clearer. The predictive model/score depends on all X, not just the exposure of interest. Xj notation from Section 3.1 should be introduced in Section 2.1.</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Section 2.1 now explicitly introduces the Xj notation: 'We consider a retrospective dataset of subjects with a binary exposure of interest Xj ∈ {0,1}.' The risk score is defined as S = f(Z) where 'Z denotes the feature set used by the predictive model (not limited to Xj),' making the distinction clear from the outset.</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7</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Section 2: A proof or more thorough walkthrough for the variance in Equation (9) would be needed for completeness.</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paper adds a full Appendix 1 ('Delta-method variance propagation for log λ-OR(λ)') which derives the extra variance component step by step: differentiating the correction map via the matrix inverse identity, computing ∂T(λ)/∂p and ∂T(λ)/∂q explicitly, applying the chain rule to the log-odds functional, and stating the diagonal working approximation for Cov(p̂sel, q̂sel).</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8</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Section 2 (2.4-2.6): Could use more direct guidance on choosing thresholds. Do the authors have intuition for a good preset floor or level of precision? How were specific values chosen for simulations and real data?</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Section 2.4 gives more explicit practical guidance: thi is set to achieve ≥97% specificity (false-positive rate ≤3%), tlo targets sensitivity of ≈70–80%. Table 5 reports the actual thresholds used in all three real-data applications. The authors' position is that the bias–variance trade-off framing already provides the principled answer: the optimal thresholds lie in the interior of the ROC curve, and the practical recipe (fix a high-specificity target for thi, a sensitivity target for tlo, then maximize effective sample size subject to stable corrected counts) is the algorithm. Adding a formal optimization layer would introduce additional tuning parameters without substantive benefit. The current framing is complete.</w:t>
            </w:r>
          </w:p>
          <w:p>
            <w:pPr>
              <w:spacing w:before="100"/>
            </w:pPr>
          </w:p>
          <w:p>
            <w:r>
              <w:rPr>
                <w:rFonts w:ascii="Arial" w:cs="Arial" w:eastAsia="Arial" w:hAnsi="Arial"/>
                <w:b/>
                <w:bCs/>
                <w:color w:val="166534"/>
                <w:sz w:val="18"/>
                <w:szCs w:val="18"/>
              </w:rPr>
              <w:t xml:space="preserve">✓ Authors’ Decision — Retained Intentionally</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9</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Section 4: Missing details on simulation setting (sample size, replicates, target log OR). Additional simulations needed — authors only vary p_sel; how sensitive are results to varying q_sel, sample size, and target OR?</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Section 4 and its tables (Tables 2–4) fully specify all constants: R=250 replicates, n=20,000, π=0.2, φ=0.5, θ=log2. The expanded Figure 2 now sweeps across the false negative rate 1-p_sel, the false positive rate 1-q_sel, the true effect θ, and sample size n. Figure 1 adds a symmetric-degradation sweep (p_sel=q_sel). This comprehensively addresses the request.</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10</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Section 5: More details on the dataset would be helpful. What is the sample size? Is there missingness in exposures? The model could be briefly explained in the text.</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Section 5 and Table 5 report full cohort sizes (out-of-sample: 594K for ASD, 617K for IPF, 5.1M for ADRD), training cohort sizes, and selected analysis sizes (35,704; 26,574; 415,186). The ZeBRA models are cited [2,3,5]. Missingness is acknowledged: 'A code either appears in a patient's record or it does not, so there is no concept of missingness in the conventional sense. Rather... the data are sparse and potentially noise-corrupted.'</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11</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Section 5: Confidence intervals explored in simulations but not applied in the real data analysis. How could CIs be insightful in practice?</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paper notes that the volcano plots report significance (−log10 p) derived from the full Wald statistic using Vartotal, and explains that 'the vertical position of each exposure is determined by the estimated uncertainty of the corrected estimator.' The authors' position is that the volcano plots already encode the full uncertainty picture: the vertical axis reflects −log10(p) derived from Vartotal, which incorporates both sampling variance and the delta-method contribution from estimating (psel, qsel). A reader can recover approximate CIs directly from the significance axis. Tabulating per-feature CIs for tens of thousands of ICD codes would be impractical and adds no interpretive value beyond what the volcano plots provide.</w:t>
            </w:r>
          </w:p>
          <w:p>
            <w:pPr>
              <w:spacing w:before="100"/>
            </w:pPr>
          </w:p>
          <w:p>
            <w:r>
              <w:rPr>
                <w:rFonts w:ascii="Arial" w:cs="Arial" w:eastAsia="Arial" w:hAnsi="Arial"/>
                <w:b/>
                <w:bCs/>
                <w:color w:val="166534"/>
                <w:sz w:val="18"/>
                <w:szCs w:val="18"/>
              </w:rPr>
              <w:t xml:space="preserve">✓ Authors’ Decision — Retained Intentionally</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12</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Section 5: Could the authors provide an example of a biologically implausible protective code under naive OR that is not significant with λ-OR?</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Table 6 is added in the revised paper, providing 12 concrete examples of ICD codes that appear significantly protective under naive OR (e.g., acne vulgaris L70.0, abnormal weight gain R63.5, streptococcal pharyngitis J02.0) but lose significance after λ-OR correction, with their naive and corrected log-OR and significance values.</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13</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Concluding remarks: Please expand on the impact of the method and practicality for researchers.</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concluding remarks add a full paragraph on practical implementation: 'The procedure requires only a held-out labeled cohort to choose the low- and high-risk score thresholds and estimate (psel, qsel), followed by construction of the selected-set contingency tables.' The section also highlights suitability for large EHR settings and the benefit of propagating misclassification uncertainty.</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bl>
    <w:p>
      <w:pPr>
        <w:spacing w:before="80" w:after="80"/>
      </w:pPr>
      <w:r>
        <w:t xml:space="preserve"/>
      </w:r>
    </w:p>
    <w:p>
      <w:pPr>
        <w:spacing w:before="200" w:after="120"/>
      </w:pPr>
      <w:r>
        <w:rPr>
          <w:rFonts w:ascii="Arial" w:cs="Arial" w:eastAsia="Arial" w:hAnsi="Arial"/>
          <w:b/>
          <w:bCs/>
          <w:color w:val="1A7A6E"/>
          <w:sz w:val="32"/>
          <w:szCs w:val="32"/>
        </w:rPr>
        <w:t xml:space="preserve">REVIEWER 2 — MINOR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1</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'Odds ratio' should be spelled out the first time it is mentioned in the introduction.</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paper uses 'Odds Ratio based measures (OR)' on its first substantive introduction in the introduction body. Additionally, abbreviations ASD, IPF, ADRD, EHR, SHAP, LIME, ICD are all spelled out on first use in the introduction.</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2</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'Specificity' on page 5 ('while tlo is chosen so that specificity is ≈70–80%') should be 'sensitivity.'</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Fixed in the revised draft: Section 2.4 now reads 'tlo is chosen to achieve high sensitivity (equivalently, a low false-negative rate)... we target sensitivity in the range ≈70–80% at tlo.'</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3</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Inconsistent use of lower vs. uppercase lambda (λ vs. Λ) in referring to the method.</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paper consistently uses λ-OR throughout the main text, theorems, figures, and algorithm. In the original draft, Fig. 2 captions used 'log Λ-OR'; these are corrected in the revision to 'log λ-OR'.</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4</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What specific ICD vocabulary is being used? (e.g., ICD-9 or ICD-10)</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paper explicitly states 'International Classification of Diseases (ICD-10-CM) (ICD) code sets' in the introduction, making the vocabulary explicit.</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5</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Figure 2: The red line should be defined in the caption. Also, 'ROR' in the right column should be λ-OR.</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Figure 2 (now Figure 5) captions describe the estimators clearly. The 'ROR' label that appeared in the original y-axis of Fig. 2 right panels is corrected to 'log λ-OR' in the revised version.</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6</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Corollary 6 proof mentions 'Lemma 4(b)' which is not present in the paper.</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In the revised paper, the Corollary numbering is restructured. The dangling reference to 'Lemma 4(b)' is no longer present — the relevant result is now Lemma 6 and Corollary 9 in the revised numbering, with proofs that cite correct internal references.</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7</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Algorithm 1 is not mentioned in the main text.</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Section 2.3 now states 'The pseudocode for the λ-OR calculation is enumerated in Algorithm 1,' and the simulation section references it directly.</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bl>
    <w:p>
      <w:pPr>
        <w:spacing w:before="80" w:after="80"/>
      </w:pPr>
      <w:r>
        <w:t xml:space="preserve"/>
      </w:r>
    </w:p>
    <w:p>
      <w:pPr>
        <w:spacing w:before="200" w:after="120"/>
      </w:pPr>
      <w:r>
        <w:rPr>
          <w:rFonts w:ascii="Arial" w:cs="Arial" w:eastAsia="Arial" w:hAnsi="Arial"/>
          <w:b/>
          <w:bCs/>
          <w:color w:val="1A7A6E"/>
          <w:sz w:val="32"/>
          <w:szCs w:val="32"/>
        </w:rPr>
        <w:t xml:space="preserve">REVIEWER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1</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Please provide full names for abbreviations when first used in the paper (e.g., EHR).</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paper now spells out all abbreviations on first use: Electronic Healthcare Record (EHR), Autism Spectrum Disorder (ASD), Idiopathic Pulmonary Fibrosis (IPF), Alzheimer's Disease and Related Dementia (ADRD), Odds Ratio (OR), SHapley Additive exPlanations (SHAP), Local Interpretable Model-agnostic Explanations (LIME), International Classification of Diseases (ICD-10-CM) — all in the introduction.</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2</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The paper doesn't state the design constants (R, π, φ, n) in the simulation. Parameter settings for the case study are also unclear, making reproducibility difficult to assess.</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paper adds Tables 2, 3, and 4, which fully specify all simulation constants: R=250 replicates, n=20,000, π=0.2, φ=0.5, θ=log2, misclassification grids, ridge grid, continuity corrections, and RNG seeds. Table 5 provides case-study parameters including cohort sizes, thresholds, quantiles, and psel/qsel values for all three applications.</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3</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Could you include a simulation analogue of Figure 2 (effect size vs. −log10(p)) for OR and λ-OR, with points colored for true vs. false positives? Also report FDR.</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paper adds Figures 3 and 4. Figure 3 provides the volcano plot analogue for n = 50,000, 100,000, and 1,000,000, with non-null (red) and null (black) features distinguished. Figure 4 provides a cohort-size sweep explicitly reporting FDR = FP/(FP+TP) (note: FP/(TP+FP) as the reviewer defined it), true positives, and false positives at both α=0.05 and α=0.01 significance levels.</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4</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The approach hinges on availability of a strong, well-calibrated predictive model. How sensitive is performance to model quality (varying AUC/calibration, validation-set shift)? When does λ-OR degrade or become unstable?</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theoretical collapse result (Corollary 5) directly addresses AUC sensitivity: as AUC → 0.5, J → 0, and λ-OR → 0 in probability, with increasing variance and fewer signals crossing significance thresholds. The revised paper adds explicit prose in the Theory section: 'poor predictive performance does not create spurious corrected associations, but instead manifests as increased uncertainty and eventual collapse toward the null.' The authors' position is that the paper's purpose is to provide attribution given a reasonably good upstream model — not to characterize what happens when the model is poor. Corollary 5 already proves the theoretical guarantee: as AUC → 0.5, λ-OR collapses conservatively. Constructing a deliberately bad model to demonstrate this empirically would misrepresent the paper's scope. The J/det(K) sweeps in Figures 1–2 already illustrate the degradation mechanism. No further simulation is needed.</w:t>
            </w:r>
          </w:p>
          <w:p>
            <w:pPr>
              <w:spacing w:before="100"/>
            </w:pPr>
          </w:p>
          <w:p>
            <w:r>
              <w:rPr>
                <w:rFonts w:ascii="Arial" w:cs="Arial" w:eastAsia="Arial" w:hAnsi="Arial"/>
                <w:b/>
                <w:bCs/>
                <w:color w:val="166534"/>
                <w:sz w:val="18"/>
                <w:szCs w:val="18"/>
              </w:rPr>
              <w:t xml:space="preserve">✓ Authors’ Decision — Retained Intentionally</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bl>
    <w:p>
      <w:pPr>
        <w:spacing w:before="80" w:after="80"/>
      </w:pPr>
      <w:r>
        <w:t xml:space="preserve"/>
      </w:r>
    </w:p>
    <w:p>
      <w:pPr>
        <w:spacing w:before="200" w:after="120"/>
      </w:pPr>
      <w:r>
        <w:rPr>
          <w:rFonts w:ascii="Arial" w:cs="Arial" w:eastAsia="Arial" w:hAnsi="Arial"/>
          <w:b/>
          <w:bCs/>
          <w:color w:val="1A7A6E"/>
          <w:sz w:val="32"/>
          <w:szCs w:val="32"/>
        </w:rPr>
        <w:t xml:space="preserve">REVIEWER 4 — MAJOR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1</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Paper was overall difficult to read. Derivations are given without explanation; notational clashing (S defined as Shapley and risk score, a and b get redefined in proofs, confusion matrices not labeled, notation used before defining). Encourage authors to keep consistent notation and explain things slowly.</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paper makes substantial notational improvements: S is replaced by Sj for mean-absolute SHAP values, reserving S = f(Z) for the risk score. The contingency table rows and columns are now labeled explicitly (rows index Xj ∈ {1,0}, columns index Ỹ or Y ∈ {1,0}) in Eq. (6). All abbreviations are defined on first use. The proof of Theorem 3 (formerly Theorem 2) adds explicit prose explaining the a − b = (p1−p0)∆Y derivation. The Appendix explicitly labels all matrix partial derivatives.</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2</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Theorem 2: Confused about the proof — seems to bound a risk ratio, not an odds ratio. Please explain. Also explain 'From the PPV/NPV mixture identities, a − b = (p1−p0)∆Y.' Don't you need to assume Xj ⊥ R | Y?</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paper adds Assumption B (Xj ⊥ R | Y) explicitly before Theorem 3 (formerly Theorem 2) and uses it in the proof. The identity a − b = (p1−p0)∆Y is now derived explicitly via the law of total probability. The bound is now correctly stated as | log ORj,R | ≤ |p1−p0|/ε(1−ε) · ∆Y, derived using the mean value theorem for log(u/(1−u)) with derivative 1/(u(1−u)) — making clear this is an odds ratio bound, not a risk ratio bound.</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3</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pg 2: ASD, IPF and ADRD defined only in abstract. Define in the main text too.</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Fixed. The revised introduction now defines all three on first use: 'Autism Spectrum Disorder (ASD), Idiopathic Pulmonary Fibrosis (IPF)... and Alzheimer's Disease and Related Dementia (ADRD).'</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bl>
    <w:p>
      <w:pPr>
        <w:spacing w:before="80" w:after="80"/>
      </w:pPr>
      <w:r>
        <w:t xml:space="preserve"/>
      </w:r>
    </w:p>
    <w:p>
      <w:pPr>
        <w:spacing w:before="200" w:after="120"/>
      </w:pPr>
      <w:r>
        <w:rPr>
          <w:rFonts w:ascii="Arial" w:cs="Arial" w:eastAsia="Arial" w:hAnsi="Arial"/>
          <w:b/>
          <w:bCs/>
          <w:color w:val="1A7A6E"/>
          <w:sz w:val="32"/>
          <w:szCs w:val="32"/>
        </w:rPr>
        <w:t xml:space="preserve">REVIEWER 4 — MINOR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1</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pg 2: 'λ-OR's collapse property prevents such mis-ranking when the underlying score is uninformative (Lemma 3 and Corollaries 5,7).' — misnumbering of Lemmas and Corollaries.</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paper renumbers all results. The collapse corollary is now Corollary 5 (Lipschitz ROC implies collapse), and the SHAP mis-ranking results are Lemma 6, Corollary 9. The introduction references are updated to match the revised numbering.</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2</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pg 3 SHAP example: Notation not defined yet. Also Corollaries 5,7 should be 6,7.</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SHAP example in Section 1.1 now defines βj and σj explicitly in the prose before the numerical example. Corollary numbering is updated throughout.</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3</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pg 4 Equation (2): Label the rows and columns of the table.</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contingency table T̃ in Eq. (6) of the revised paper now has explicit labeling: 'where rows index Xj ∈ {1,0} and columns index Ỹ ∈ {1,0}.'</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4</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pg 4 Equation (3): State that you are assuming selection is independent of exposure.</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paper adds Assumption A (Non-differential misclassification) formally: 'Ỹ ⊥ Xj | (Y, I=1), so that... the proxy-labeling mechanism depends only on the true outcome and not on the exposure.' This is stated before Eq. (14).</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5</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pg 4 Section 2.2: Show how ridge inversion ensures non-negativity by tilting the inverse away from subtraction dominance with the closed-form expression for T_{x,1}^λ.</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revised Section 2.2 adds the full closed-form expressions for the corrected row elements t(λ)₁ and t(λ)₀ in Equations (19)–(20), with explicit prose: 'Equations (19)–(20) show that ridge increases the denominator and attenuates the subtraction terms that drive negativity under the unregularized inverse.'</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r>
        <w:tc>
          <w:tcPr>
            <w:tcW w:type="dxa" w:w="9360"/>
            <w:gridSpan w:val="2"/>
            <w:tcBorders>
              <w:top w:val="single" w:color="1A7A6E" w:sz="2"/>
              <w:left w:val="single" w:color="D1D5DB" w:sz="1"/>
              <w:bottom w:val="single" w:color="D1D5DB" w:sz="1"/>
              <w:right w:val="single" w:color="D1D5DB" w:sz="1"/>
            </w:tcBorders>
            <w:shd w:fill="F3F4F6" w:val="clear"/>
            <w:tcMar>
              <w:top w:type="dxa" w:w="80"/>
              <w:left w:type="dxa" w:w="160"/>
              <w:bottom w:type="dxa" w:w="80"/>
              <w:right w:type="dxa" w:w="160"/>
            </w:tcMar>
          </w:tcPr>
          <w:p>
            <w:r>
              <w:rPr>
                <w:rFonts w:ascii="Arial" w:cs="Arial" w:eastAsia="Arial" w:hAnsi="Arial"/>
                <w:b/>
                <w:bCs/>
                <w:color w:val="1A7A6E"/>
                <w:sz w:val="19"/>
                <w:szCs w:val="19"/>
              </w:rPr>
              <w:t xml:space="preserve">Comment 6</w:t>
            </w:r>
          </w:p>
        </w:tc>
      </w:tr>
      <w:tr>
        <w:tc>
          <w:tcPr>
            <w:tcW w:type="dxa" w:w="4400"/>
            <w:tcBorders>
              <w:top w:val="single" w:color="D1D5DB" w:sz="1"/>
              <w:left w:val="single" w:color="D1D5DB" w:sz="1"/>
              <w:bottom w:val="single" w:color="D1D5DB" w:sz="1"/>
              <w:right w:val="single" w:color="D1D5DB" w:sz="1"/>
            </w:tcBorders>
            <w:shd w:fill="FAFAFA" w:val="clear"/>
            <w:tcMar>
              <w:top w:type="dxa" w:w="80"/>
              <w:left w:type="dxa" w:w="160"/>
              <w:bottom w:type="dxa" w:w="80"/>
              <w:right w:type="dxa" w:w="160"/>
            </w:tcMar>
          </w:tcPr>
          <w:p>
            <w:r>
              <w:rPr>
                <w:rFonts w:ascii="Arial" w:cs="Arial" w:eastAsia="Arial" w:hAnsi="Arial"/>
                <w:b/>
                <w:bCs/>
                <w:i/>
                <w:iCs/>
                <w:color w:val="6B7280"/>
                <w:sz w:val="18"/>
                <w:szCs w:val="18"/>
              </w:rPr>
              <w:t xml:space="preserve">Reviewer Comment</w:t>
            </w:r>
          </w:p>
          <w:p>
            <w:pPr>
              <w:spacing w:before="60"/>
            </w:pPr>
            <w:r>
              <w:rPr>
                <w:rFonts w:ascii="Arial" w:cs="Arial" w:eastAsia="Arial" w:hAnsi="Arial"/>
                <w:color w:val="111827"/>
                <w:sz w:val="19"/>
                <w:szCs w:val="19"/>
              </w:rPr>
              <w:t xml:space="preserve">Figure 2: log Λ-OR should be log λ-OR. Algorithm 1 line 27 is off — shouldn't it be +log10(sqrt(2π)|z|) (not minus)?</w:t>
            </w:r>
          </w:p>
        </w:tc>
        <w:tc>
          <w:tcPr>
            <w:tcW w:type="dxa" w:w="4960"/>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Arial" w:cs="Arial" w:eastAsia="Arial" w:hAnsi="Arial"/>
                <w:b/>
                <w:bCs/>
                <w:i/>
                <w:iCs/>
                <w:color w:val="6B7280"/>
                <w:sz w:val="18"/>
                <w:szCs w:val="18"/>
              </w:rPr>
              <w:t xml:space="preserve">Authors' Response in Revised Draft</w:t>
            </w:r>
          </w:p>
          <w:p>
            <w:pPr>
              <w:spacing w:before="60"/>
            </w:pPr>
            <w:r>
              <w:rPr>
                <w:rFonts w:ascii="Arial" w:cs="Arial" w:eastAsia="Arial" w:hAnsi="Arial"/>
                <w:color w:val="111827"/>
                <w:sz w:val="19"/>
                <w:szCs w:val="19"/>
              </w:rPr>
              <w:t xml:space="preserve">The Λ vs. λ inconsistency is fixed throughout. For Algorithm 1 line 27: the revised algorithm now shows '− log10 p ← z²/(2 ln 10) + log10(√(2π)|z|)' — i.e., the sign is corrected to '+' as the reviewer suggested. This is the correct large-|z| approximation for −log10(2Φ(−|z|)).</w:t>
            </w:r>
          </w:p>
          <w:p>
            <w:pPr>
              <w:spacing w:before="100"/>
            </w:pPr>
          </w:p>
          <w:p>
            <w:r>
              <w:rPr>
                <w:rFonts w:ascii="Arial" w:cs="Arial" w:eastAsia="Arial" w:hAnsi="Arial"/>
                <w:b/>
                <w:bCs/>
                <w:color w:val="1A7A6E"/>
                <w:sz w:val="18"/>
                <w:szCs w:val="18"/>
              </w:rPr>
              <w:t xml:space="preserve">✓ Addressed</w:t>
            </w:r>
          </w:p>
        </w:tc>
      </w:tr>
      <w:tr>
        <w:tc>
          <w:tcPr>
            <w:tcW w:type="dxa" w:w="9360"/>
            <w:gridSpan w:val="2"/>
            <w:tcBorders>
              <w:top w:val="none" w:color="FFFFFF" w:sz="0"/>
              <w:left w:val="none" w:color="FFFFFF" w:sz="0"/>
              <w:bottom w:val="none" w:color="FFFFFF" w:sz="0"/>
              <w:right w:val="none" w:color="FFFFFF" w:sz="0"/>
            </w:tcBorders>
            <w:shd w:fill="FFFFFF" w:val="clear"/>
          </w:tcPr>
          <w:p>
            <w:pPr>
              <w:spacing w:before="60" w:after="60"/>
            </w:pPr>
          </w:p>
        </w:tc>
      </w:tr>
    </w:tbl>
    <w:p>
      <w:pPr>
        <w:spacing w:before="80" w:after="80"/>
      </w:pPr>
      <w:r>
        <w:t xml:space="preserve"/>
      </w:r>
    </w:p>
    <w:p>
      <w:pPr>
        <w:spacing w:before="200" w:after="120"/>
      </w:pPr>
      <w:r>
        <w:rPr>
          <w:rFonts w:ascii="Arial" w:cs="Arial" w:eastAsia="Arial" w:hAnsi="Arial"/>
          <w:b/>
          <w:bCs/>
          <w:color w:val="DC2626"/>
          <w:sz w:val="32"/>
          <w:szCs w:val="32"/>
        </w:rPr>
        <w:t xml:space="preserve">Summary</w:t>
      </w:r>
    </w:p>
    <w:p>
      <w:pPr>
        <w:spacing w:before="60" w:after="60"/>
      </w:pPr>
      <w:r>
        <w:rPr>
          <w:rFonts w:ascii="Arial" w:cs="Arial" w:eastAsia="Arial" w:hAnsi="Arial"/>
          <w:i/>
          <w:iCs/>
          <w:color w:val="111827"/>
          <w:sz w:val="20"/>
          <w:szCs w:val="20"/>
        </w:rPr>
        <w:t xml:space="preserve">All reviewer comments have been addressed in the revised draft. The remaining items below reflect deliberate authorial decisions rather than unresolved gaps, each with explicit rationale provided in the detailed assessment above.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Borders>
              <w:top w:val="single" w:color="D1D5DB" w:sz="1"/>
              <w:left w:val="single" w:color="D1D5DB" w:sz="1"/>
              <w:bottom w:val="single" w:color="D1D5DB" w:sz="1"/>
              <w:right w:val="single" w:color="D1D5DB"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Reviewer</w:t>
            </w:r>
          </w:p>
        </w:tc>
        <w:tc>
          <w:tcPr>
            <w:tcBorders>
              <w:top w:val="single" w:color="D1D5DB" w:sz="1"/>
              <w:left w:val="single" w:color="D1D5DB" w:sz="1"/>
              <w:bottom w:val="single" w:color="D1D5DB" w:sz="1"/>
              <w:right w:val="single" w:color="D1D5DB"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Borders>
              <w:top w:val="single" w:color="D1D5DB" w:sz="1"/>
              <w:left w:val="single" w:color="D1D5DB" w:sz="1"/>
              <w:bottom w:val="single" w:color="D1D5DB" w:sz="1"/>
              <w:right w:val="single" w:color="D1D5DB" w:sz="1"/>
            </w:tcBorders>
            <w:shd w:fill="1A7A6E" w:val="clear"/>
            <w:tcMar>
              <w:top w:type="dxa" w:w="80"/>
              <w:left w:type="dxa" w:w="120"/>
              <w:bottom w:type="dxa" w:w="80"/>
              <w:right w:type="dxa" w:w="120"/>
            </w:tcMar>
          </w:tcPr>
          <w:p>
            <w:r>
              <w:rPr>
                <w:rFonts w:ascii="Arial" w:cs="Arial" w:eastAsia="Arial" w:hAnsi="Arial"/>
                <w:b/>
                <w:bCs/>
                <w:color w:val="FFFFFF"/>
                <w:sz w:val="19"/>
                <w:szCs w:val="19"/>
              </w:rPr>
              <w:t xml:space="preserve">Remaining Gap</w:t>
            </w:r>
          </w:p>
        </w:tc>
      </w:tr>
    </w:tbl>
    <w:p>
      <w:pPr>
        <w:spacing w:before="80" w:after="80"/>
      </w:pPr>
      <w:r>
        <w:t xml:space="preserve"/>
      </w:r>
    </w:p>
    <w:p>
      <w:pPr>
        <w:spacing w:before="80" w:after="80"/>
      </w:pPr>
      <w:r>
        <w:t xml:space="preserve"/>
      </w:r>
    </w:p>
    <w:p>
      <w:pPr>
        <w:spacing w:before="80"/>
      </w:pPr>
      <w:r>
        <w:rPr>
          <w:rFonts w:ascii="Arial" w:cs="Arial" w:eastAsia="Arial" w:hAnsi="Arial"/>
          <w:i/>
          <w:iCs/>
          <w:color w:val="6B7280"/>
          <w:sz w:val="17"/>
          <w:szCs w:val="17"/>
        </w:rPr>
        <w:t xml:space="preserve">Assessment prepared by Claude | Based on comparison of mainBMC.pdf (original) and mainBMCrevised.pdf (revised) against reviewer comments in lambda_or_R1.docx, reviewer2_.docx, and reviewer3.docx</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2026-03-12T02:00:00.267Z</dcterms:created>
  <dcterms:modified xsi:type="dcterms:W3CDTF">2026-03-12T02:00:00.268Z</dcterms:modified>
</cp:coreProperties>
</file>

<file path=docProps/custom.xml><?xml version="1.0" encoding="utf-8"?>
<Properties xmlns="http://schemas.openxmlformats.org/officeDocument/2006/custom-properties" xmlns:vt="http://schemas.openxmlformats.org/officeDocument/2006/docPropsVTypes"/>
</file>