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Rule="auto"/>
        <w:rPr>
          <w:b w:val="1"/>
          <w:bCs w:val="1"/>
          <w:color w:val="222222"/>
        </w:rPr>
      </w:pPr>
      <w:r w:rsidDel="00000000" w:rsidR="00000000" w:rsidRPr="00000000">
        <w:rPr>
          <w:b w:val="1"/>
          <w:bCs w:val="1"/>
          <w:color w:val="222222"/>
          <w:rtl w:val="0"/>
        </w:rPr>
        <w:t xml:space="preserve">Reviewer 1</w:t>
      </w:r>
    </w:p>
    <w:p w:rsidR="00000000" w:rsidDel="00000000" w:rsidP="00000000" w:rsidRDefault="00000000" w:rsidRPr="00000000" w14:paraId="00000002">
      <w:pPr>
        <w:spacing w:after="360" w:before="220" w:lineRule="auto"/>
        <w:rPr>
          <w:color w:val="222222"/>
        </w:rPr>
      </w:pPr>
      <w:r w:rsidDel="00000000" w:rsidR="00000000" w:rsidRPr="00000000">
        <w:rPr>
          <w:b w:val="1"/>
          <w:bCs w:val="1"/>
          <w:color w:val="222222"/>
          <w:rtl w:val="0"/>
        </w:rPr>
        <w:br w:type="textWrapping"/>
      </w:r>
      <w:r w:rsidDel="00000000" w:rsidR="00000000" w:rsidRPr="00000000">
        <w:rPr>
          <w:color w:val="222222"/>
          <w:rtl w:val="0"/>
        </w:rPr>
        <w:t xml:space="preserve">This paper studies estimation of the 2 x 2 contingency table between binary expose X and label Y where label is observed with noise.</w:t>
        <w:br w:type="textWrapping"/>
        <w:t xml:space="preserve">In section 2, noisy label \tilde{Y} is considered, which is produced by a predictive score f(X) thresholded at two values, high-specificity cut and lower cut.</w:t>
        <w:br w:type="textWrapping"/>
        <w:t xml:space="preserve">The latent 2 x 2 contingency table between X and Y is estimated by using the matrix corresponding to sensitivity and specificity and multiplying the inverse matrix to the observed noisy contingency table.</w:t>
        <w:br w:type="textWrapping"/>
        <w:t xml:space="preserve">The reconstructed latent 2 x 2 contingency table can be negative or inflated in some case.</w:t>
        <w:br w:type="textWrapping"/>
        <w:t xml:space="preserve">To correct for such a unrealistic or unstable estimate of the contingency table, the authors propose to apply the inverse of a ridge-regularized matrix to reconstruct the latent 2 x 2 contingency table.</w:t>
        <w:br w:type="textWrapping"/>
        <w:br w:type="textWrapping"/>
        <w:br w:type="textWrapping"/>
        <w:t xml:space="preserve">My comments are as follows.</w:t>
        <w:br w:type="textWrapping"/>
        <w:br w:type="textWrapping"/>
        <w:br w:type="textWrapping"/>
        <w:t xml:space="preserve">Page 2</w:t>
        <w:br w:type="textWrapping"/>
        <w:br w:type="textWrapping"/>
        <w:t xml:space="preserve">The motivation of the study is unclear because of the poor presentation. Description of the introduction is not adequate for readers to understand the problem setup and what situation the authors consider. The brief summary in section 1.1 does not help understanding because of the lack of detailed explanations for readers without prior knowledge.</w:t>
        <w:br w:type="textWrapping"/>
        <w:br w:type="textWrapping"/>
        <w:br w:type="textWrapping"/>
        <w:t xml:space="preserve">Page 3</w:t>
        <w:br w:type="textWrapping"/>
        <w:br w:type="textWrapping"/>
        <w:t xml:space="preserve">"Consider retrospective dataset with binary case/control labels where we have on hand a predictive model f, and a corresponding ROC curve." I cannot understand what the setup is. What do the binary case/control labels mean? According to the following description, Y seems to be not the binary case/control labels. Then, it is unclear how the binary case/control labels is used.</w:t>
        <w:br w:type="textWrapping"/>
        <w:br w:type="textWrapping"/>
        <w:t xml:space="preserve">Definition of eq. (2) is imcomplete. In particular, in the sentence after equation (2), "where \tilde{a} is the count with X = 1 and labeled positive, and so on", the important definitions of \tilde{b}, \tilde{c} and \tilde{d} are omitted, which makes understanding of the statistical model impossible. Moreover, what is the probability that the \tilde{T} is observed? Is this from the retrospective sampling? The population versions of T and \tilde{T} are needed.</w:t>
        <w:br w:type="textWrapping"/>
        <w:br w:type="textWrapping"/>
        <w:t xml:space="preserve">In eq. (4), T is unclearly defined. What does "the unknow true count matrix" mean?</w:t>
        <w:br w:type="textWrapping"/>
        <w:t xml:space="preserve">From eq. (4), for example, the (1,1)-element of \tilde{T}, \tilde{T}_{11}, can be written as:</w:t>
        <w:br w:type="textWrapping"/>
        <w:br w:type="textWrapping"/>
        <w:t xml:space="preserve">\tilde{T}_{11} = {T K^T}_{11} = T_{11} p_{sel} + T_{12} (1-p_{sel}) = T_{11} P(\tilde{Y}=1 | Y=1,I=1) + T_{12} P(\tilde{Y}=0 | Y=1,I=1)</w:t>
        <w:br w:type="textWrapping"/>
        <w:br w:type="textWrapping"/>
        <w:t xml:space="preserve">Given the above expression, I cannot understand what the \tilde{T}_{11} means and what T_{11} and T_{12} are appropriate.</w:t>
        <w:br w:type="textWrapping"/>
        <w:br w:type="textWrapping"/>
        <w:t xml:space="preserve">There is no justfication of the ridge regularization. I can understand that the authors try to avoid negative or inflated values of the estimated contingency table, but justification in terms of statistical models or maximum likelihood estimation is lacking.</w:t>
        <w:br w:type="textWrapping"/>
        <w:t xml:space="preserve">Please note that there exists Firth-penalized method (Firth 1993) that can be applied to any maximum likelihood estimation methods.</w:t>
        <w:br w:type="textWrapping"/>
        <w:t xml:space="preserve">It is well known that the Firth-penalized logistic regression avoids infinite odds ratio estimation just like the authors' motivation. Why not consider the Firth-penalized method for the current setup?</w:t>
        <w:br w:type="textWrapping"/>
        <w:br w:type="textWrapping"/>
        <w:br w:type="textWrapping"/>
        <w:t xml:space="preserve">Page 8</w:t>
        <w:br w:type="textWrapping"/>
        <w:br w:type="textWrapping"/>
        <w:t xml:space="preserve">It is unclear why the SHAP is considered. Connection between SHAP and odds ratio are unclear.</w:t>
        <w:br w:type="textWrapping"/>
        <w:br w:type="textWrapping"/>
        <w:br w:type="textWrapping"/>
        <w:t xml:space="preserve">Page 9</w:t>
        <w:br w:type="textWrapping"/>
        <w:br w:type="textWrapping"/>
        <w:t xml:space="preserve">It is unclear how T and \tilde{T} are defined.</w:t>
        <w:br w:type="textWrapping"/>
        <w:t xml:space="preserve">In the python script "lambdaORsimulation.py" from the provided github link, it seems that Y is generated given X though a logistic regression model unlike the retrospective sampling mentioned in the paper to generate X given Y. Please correct me if I misunderstand.</w:t>
        <w:br w:type="textWrapping"/>
        <w:br w:type="textWrapping"/>
        <w:br w:type="textWrapping"/>
        <w:br w:type="textWrapping"/>
        <w:t xml:space="preserve">Reference</w:t>
        <w:br w:type="textWrapping"/>
        <w:br w:type="textWrapping"/>
        <w:t xml:space="preserve">Firth, D. (1993). Bias Reduction of Maximum Likelihood Estimates. Biometrika, 80(1), 27–38. https://doi.org/10.2307/2336755</w:t>
        <w:br w:type="textWrapping"/>
        <w:br w:type="textWrapping"/>
      </w:r>
    </w:p>
    <w:p w:rsidR="00000000" w:rsidDel="00000000" w:rsidP="00000000" w:rsidRDefault="00000000" w:rsidRPr="00000000" w14:paraId="00000003">
      <w:pPr>
        <w:spacing w:after="240" w:before="220" w:lineRule="auto"/>
        <w:rPr>
          <w:b w:val="1"/>
          <w:bCs w:val="1"/>
          <w:color w:val="222222"/>
        </w:rPr>
      </w:pPr>
      <w:r w:rsidDel="00000000" w:rsidR="00000000" w:rsidRPr="00000000">
        <w:rPr>
          <w:b w:val="1"/>
          <w:bCs w:val="1"/>
          <w:color w:val="222222"/>
          <w:rtl w:val="0"/>
        </w:rPr>
        <w:t xml:space="preserve">Reviewer 2</w:t>
      </w:r>
    </w:p>
    <w:p w:rsidR="00000000" w:rsidDel="00000000" w:rsidP="00000000" w:rsidRDefault="00000000" w:rsidRPr="00000000" w14:paraId="00000004">
      <w:pPr>
        <w:spacing w:after="720" w:lineRule="auto"/>
        <w:rPr>
          <w:color w:val="222222"/>
          <w:sz w:val="23"/>
          <w:szCs w:val="23"/>
        </w:rPr>
      </w:pPr>
      <w:r w:rsidDel="00000000" w:rsidR="00000000" w:rsidRPr="00000000">
        <w:rPr>
          <w:color w:val="222222"/>
          <w:sz w:val="23"/>
          <w:szCs w:val="23"/>
          <w:rtl w:val="0"/>
        </w:rPr>
        <w:t xml:space="preserve">Attachment(s):</w:t>
      </w:r>
    </w:p>
    <w:p w:rsidR="00000000" w:rsidDel="00000000" w:rsidP="00000000" w:rsidRDefault="00000000" w:rsidRPr="00000000" w14:paraId="00000005">
      <w:pPr>
        <w:numPr>
          <w:ilvl w:val="0"/>
          <w:numId w:val="1"/>
        </w:numPr>
        <w:spacing w:after="720" w:lineRule="auto"/>
        <w:ind w:left="720" w:hanging="360"/>
      </w:pPr>
      <w:hyperlink r:id="rId6">
        <w:r w:rsidDel="00000000" w:rsidR="00000000" w:rsidRPr="00000000">
          <w:rPr>
            <w:color w:val="025e8d"/>
            <w:sz w:val="23"/>
            <w:szCs w:val="23"/>
            <w:u w:val="single"/>
            <w:rtl w:val="0"/>
          </w:rPr>
          <w:t xml:space="preserve">Download Reviewer 2 attachment 1</w:t>
        </w:r>
      </w:hyperlink>
      <w:r w:rsidDel="00000000" w:rsidR="00000000" w:rsidRPr="00000000">
        <w:rPr>
          <w:rtl w:val="0"/>
        </w:rPr>
      </w:r>
    </w:p>
    <w:p w:rsidR="00000000" w:rsidDel="00000000" w:rsidP="00000000" w:rsidRDefault="00000000" w:rsidRPr="00000000" w14:paraId="00000006">
      <w:pPr>
        <w:spacing w:after="240" w:lineRule="auto"/>
        <w:rPr>
          <w:b w:val="1"/>
          <w:bCs w:val="1"/>
          <w:color w:val="222222"/>
        </w:rPr>
      </w:pPr>
      <w:r w:rsidDel="00000000" w:rsidR="00000000" w:rsidRPr="00000000">
        <w:rPr>
          <w:b w:val="1"/>
          <w:bCs w:val="1"/>
          <w:color w:val="222222"/>
          <w:rtl w:val="0"/>
        </w:rPr>
        <w:t xml:space="preserve">Reviewer 3</w:t>
      </w:r>
    </w:p>
    <w:p w:rsidR="00000000" w:rsidDel="00000000" w:rsidP="00000000" w:rsidRDefault="00000000" w:rsidRPr="00000000" w14:paraId="00000007">
      <w:pPr>
        <w:spacing w:after="720" w:lineRule="auto"/>
        <w:rPr>
          <w:color w:val="222222"/>
          <w:sz w:val="23"/>
          <w:szCs w:val="23"/>
        </w:rPr>
      </w:pPr>
      <w:r w:rsidDel="00000000" w:rsidR="00000000" w:rsidRPr="00000000">
        <w:rPr>
          <w:color w:val="222222"/>
          <w:sz w:val="23"/>
          <w:szCs w:val="23"/>
          <w:rtl w:val="0"/>
        </w:rPr>
        <w:t xml:space="preserve">Attachment(s):</w:t>
      </w:r>
    </w:p>
    <w:p w:rsidR="00000000" w:rsidDel="00000000" w:rsidP="00000000" w:rsidRDefault="00000000" w:rsidRPr="00000000" w14:paraId="00000008">
      <w:pPr>
        <w:numPr>
          <w:ilvl w:val="0"/>
          <w:numId w:val="2"/>
        </w:numPr>
        <w:spacing w:after="720" w:lineRule="auto"/>
        <w:ind w:left="720" w:hanging="360"/>
      </w:pPr>
      <w:hyperlink r:id="rId7">
        <w:r w:rsidDel="00000000" w:rsidR="00000000" w:rsidRPr="00000000">
          <w:rPr>
            <w:color w:val="025e8d"/>
            <w:sz w:val="23"/>
            <w:szCs w:val="23"/>
            <w:u w:val="single"/>
            <w:rtl w:val="0"/>
          </w:rPr>
          <w:t xml:space="preserve">Download Reviewer 3 attachment 1</w:t>
        </w:r>
      </w:hyperlink>
      <w:r w:rsidDel="00000000" w:rsidR="00000000" w:rsidRPr="00000000">
        <w:rPr>
          <w:rtl w:val="0"/>
        </w:rPr>
      </w:r>
    </w:p>
    <w:p w:rsidR="00000000" w:rsidDel="00000000" w:rsidP="00000000" w:rsidRDefault="00000000" w:rsidRPr="00000000" w14:paraId="00000009">
      <w:pPr>
        <w:spacing w:after="240" w:lineRule="auto"/>
        <w:rPr>
          <w:b w:val="1"/>
          <w:bCs w:val="1"/>
          <w:color w:val="222222"/>
        </w:rPr>
      </w:pPr>
      <w:r w:rsidDel="00000000" w:rsidR="00000000" w:rsidRPr="00000000">
        <w:rPr>
          <w:b w:val="1"/>
          <w:bCs w:val="1"/>
          <w:color w:val="222222"/>
          <w:rtl w:val="0"/>
        </w:rPr>
        <w:t xml:space="preserve">Reviewer 4</w:t>
      </w:r>
    </w:p>
    <w:p w:rsidR="00000000" w:rsidDel="00000000" w:rsidP="00000000" w:rsidRDefault="00000000" w:rsidRPr="00000000" w14:paraId="0000000A">
      <w:pPr>
        <w:spacing w:before="220" w:lineRule="auto"/>
        <w:rPr>
          <w:color w:val="222222"/>
        </w:rPr>
      </w:pPr>
      <w:r w:rsidDel="00000000" w:rsidR="00000000" w:rsidRPr="00000000">
        <w:rPr>
          <w:rFonts w:ascii="Arial Unicode MS" w:cs="Arial Unicode MS" w:eastAsia="Arial Unicode MS" w:hAnsi="Arial Unicode MS"/>
          <w:color w:val="222222"/>
          <w:rtl w:val="0"/>
        </w:rPr>
        <w:t xml:space="preserve">Major:</w:t>
        <w:br w:type="textWrapping"/>
        <w:br w:type="textWrapping"/>
        <w:t xml:space="preserve">This paper was overall difficult to read. Derivations are given without explanation, and there is a lot of notational clashing going on. E.g., S is defined as Shapley and risk score, and a and b get redefined in the proofs. Confusion matrices are also not labeled. Notation is used before defining them. This makes it confusing overall. I encourage the authors to keep consistent notation and explain things slowly.</w:t>
        <w:br w:type="textWrapping"/>
        <w:br w:type="textWrapping"/>
        <w:t xml:space="preserve">pg 7 Theorem 2. I'm confused about the proof. You seem to be bounding a risk ratio, not an odds ratio. Please explain. Also, explain: "From the PPV/NPV mixture identities, a − b = (p1 − p0)∆Y." Don't you need to assume that X_j \indep R | Y?</w:t>
        <w:br w:type="textWrapping"/>
        <w:br w:type="textWrapping"/>
        <w:t xml:space="preserve">Minor:</w:t>
        <w:br w:type="textWrapping"/>
        <w:br w:type="textWrapping"/>
        <w:t xml:space="preserve">pg 2 ASD, IPF and ADRD defined only in abstract. Define in the main text too. E.g., Autism spectrum disorder (ASD), Alzheimer's disease and related dementias (ADRD)</w:t>
        <w:br w:type="textWrapping"/>
        <w:br w:type="textWrapping"/>
        <w:t xml:space="preserve">pg 2 "λ-OR’s collapse property prevents such mis-ranking when the underlying score is uninformative (Lemma 3 and Corollaries 5,7)." Another misnumbering of Lemmas and Corollaries here</w:t>
        <w:br w:type="textWrapping"/>
        <w:br w:type="textWrapping"/>
        <w:t xml:space="preserve">pg 3 SHAP example. Notation is not defined yet. Introduce all notational definitions before introducing them. Also Corollaries 5,7 should be 6,7</w:t>
        <w:br w:type="textWrapping"/>
        <w:br w:type="textWrapping"/>
        <w:t xml:space="preserve">pg 4 Equation (2). Label the rows and columns of the table</w:t>
        <w:br w:type="textWrapping"/>
        <w:br w:type="textWrapping"/>
        <w:t xml:space="preserve">pg 4 Equation (3). You should state that you are assuming that selection is independent of exposure.</w:t>
        <w:br w:type="textWrapping"/>
        <w:br w:type="textWrapping"/>
        <w:t xml:space="preserve">pg 4 Section 2.2. Show how ridge inversion ensures non-negativity by tilting the inverse away from subtraction dominance, e.g.,</w:t>
        <w:br w:type="textWrapping"/>
        <w:br w:type="textWrapping"/>
        <w:t xml:space="preserve">T_{x,1}^{\lambda}</w:t>
        <w:br w:type="textWrapping"/>
        <w:t xml:space="preserve">=</w:t>
        <w:br w:type="textWrapping"/>
        <w:t xml:space="preserve">\frac{(q_{sel}+\lambda) \tilde T_{x,1} - (1-q_{sel}) \tilde T_{x,0}}</w:t>
        <w:br w:type="textWrapping"/>
        <w:t xml:space="preserve">{\det\left(K^\top+\lambda I\right)}</w:t>
        <w:br w:type="textWrapping"/>
        <w:br w:type="textWrapping"/>
        <w:t xml:space="preserve">Figure 2 - log \Lambda-OR should be log \lambda-OR</w:t>
        <w:br w:type="textWrapping"/>
        <w:br w:type="textWrapping"/>
        <w:t xml:space="preserve">Algorithm 1 line 27 is off. Shouldn't it be +log10(sqrt(2*pi)|z|) (not minus)?</w:t>
      </w:r>
    </w:p>
    <w:p w:rsidR="00000000" w:rsidDel="00000000" w:rsidP="00000000" w:rsidRDefault="00000000" w:rsidRPr="00000000" w14:paraId="0000000B">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viewer-feedback.springernature.com/download/attachment/985cf463-65ee-41d0-890b-0146fbb0dca2" TargetMode="External"/><Relationship Id="rId7" Type="http://schemas.openxmlformats.org/officeDocument/2006/relationships/hyperlink" Target="https://reviewer-feedback.springernature.com/download/attachment/4e649546-2ed8-493d-b251-2e565a7f60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