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Arial" w:cs="Arial" w:eastAsia="Arial" w:hAnsi="Arial"/>
          <w:b/>
          <w:bCs/>
          <w:color w:val="1A7A6E"/>
          <w:sz w:val="48"/>
          <w:szCs w:val="48"/>
        </w:rPr>
        <w:t xml:space="preserve">Reviewer Response Assessment</w:t>
      </w:r>
    </w:p>
    <w:p>
      <w:pPr>
        <w:spacing w:before="0" w:after="80"/>
      </w:pPr>
      <w:r>
        <w:rPr>
          <w:rFonts w:ascii="Arial" w:cs="Arial" w:eastAsia="Arial" w:hAnsi="Arial"/>
          <w:i/>
          <w:iCs/>
          <w:color w:val="6B7280"/>
          <w:sz w:val="22"/>
          <w:szCs w:val="22"/>
        </w:rPr>
        <w:t xml:space="preserve">Correcting Label-noise Corruption with lambda-Odds Ratio</w:t>
      </w:r>
    </w:p>
    <w:p>
      <w:pPr>
        <w:spacing w:before="0" w:after="240"/>
      </w:pPr>
      <w:r>
        <w:rPr>
          <w:rFonts w:ascii="Arial" w:cs="Arial" w:eastAsia="Arial" w:hAnsi="Arial"/>
          <w:color w:val="6B7280"/>
          <w:sz w:val="20"/>
          <w:szCs w:val="20"/>
        </w:rPr>
        <w:t xml:space="preserve">Comparison of original draft (mainBMC.pdf) vs. revised draft (mainBMCrevised.pdf) against reviewer comments</w:t>
      </w:r>
    </w:p>
    <w:p>
      <w:pPr>
        <w:spacing w:before="0" w:after="100"/>
      </w:pPr>
      <w:r>
        <w:rPr>
          <w:rFonts w:ascii="Arial" w:cs="Arial" w:eastAsia="Arial" w:hAnsi="Arial"/>
          <w:b/>
          <w:bCs/>
          <w:color w:val="1A7A6E"/>
          <w:sz w:val="26"/>
          <w:szCs w:val="2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Reviewer</w:t>
            </w:r>
          </w:p>
        </w:tc>
        <w:tc>
          <w:tcPr>
            <w:tcW w:type="dxa" w:w="2340"/>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 Comments</w:t>
            </w:r>
          </w:p>
        </w:tc>
        <w:tc>
          <w:tcPr>
            <w:tcW w:type="dxa" w:w="2340"/>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Addressed</w:t>
            </w:r>
          </w:p>
        </w:tc>
        <w:tc>
          <w:tcPr>
            <w:tcW w:type="dxa" w:w="2340"/>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Gaps Remaining</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Reviewer 1</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5</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11827"/>
                <w:sz w:val="19"/>
                <w:szCs w:val="19"/>
              </w:rPr>
              <w:t xml:space="preserve">Reviewer 2 (Major)</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10</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7</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3</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Reviewer 2 (Minor)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3</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11827"/>
                <w:sz w:val="19"/>
                <w:szCs w:val="19"/>
              </w:rPr>
              <w:t xml:space="preserve">Reviewer 3</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3</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1</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Reviewer 4 (Major)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2</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1</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11827"/>
                <w:sz w:val="19"/>
                <w:szCs w:val="19"/>
              </w:rPr>
              <w:t xml:space="preserve">Reviewer 4 (Minor)</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5</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1</w:t>
            </w:r>
          </w:p>
        </w:tc>
      </w:tr>
    </w:tbl>
    <w:p>
      <w:pPr>
        <w:spacing w:before="80" w:after="80"/>
      </w:pPr>
      <w:r>
        <w:t xml:space="preserve"/>
      </w:r>
    </w:p>
    <w:p>
      <w:pPr>
        <w:spacing w:before="200" w:after="120"/>
      </w:pPr>
      <w:r>
        <w:rPr>
          <w:rFonts w:ascii="Arial" w:cs="Arial" w:eastAsia="Arial" w:hAnsi="Arial"/>
          <w:b/>
          <w:bCs/>
          <w:color w:val="1A7A6E"/>
          <w:sz w:val="32"/>
          <w:szCs w:val="32"/>
        </w:rPr>
        <w:t xml:space="preserve">REVIEWER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 motivation of the study is unclear because of the poor presentation. Description of the introduction is not adequate for readers to understand the problem setup. The brief summary in section 1.1 does not help understanding because of the lack of detailed explanations for readers without prior knowledge. (Page 2)</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draft substantially rewrites the introduction. The problem setup is now laid out more carefully: it defines X, Y, and Ỹ explicitly with formal notation (Eq. 1) before Section 1.1, adds a paragraph explaining the two-threshold ROC strategy in the introduction, and the 1.1 motivation section now provides fuller context for each numerical example with accompanying prose. The discussion of OR blow-up and SHAP mis-ranking now includes explicit variable definitions and intuitive summaries at the end.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"Consider retrospective dataset with binary case/control labels..." — I cannot understand the setup. What do the binary case/control labels mean? According to the following description, Y seems to be not the binary case/control labels. (Page 3)</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2.1 now clearly defines the retrospective dataset as having a binary exposure Xj ∈ {0,1} and an unobserved true binary outcome Y ∈ {0,1}, distinct from the proxy label Ỹ. The predictive model f(Z) is introduced with Z explicitly noted as 'not limited to Xj'. The roles of H (high-score tail), L (low-score tail), and I (indicator) are defined in equations (4)–(5) before the contingency table is presented.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Definition of eq. (2) is incomplete. Definitions of b̃, c̃, d̃ are omitted. What is the probability that T̃ is observed? Population versions of T and T̃ are needed. (Page 3)</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draft now explicitly defines all four cells: ã, b̃, c̃, and d̃ in Equations (7)–(8) with full set-builder notation. The relationship E[T̃ | I=1] = E[T | I=1]K⊤ (Eq. 14) is stated at the population/expectation level, making clear this is an expected-value identity. Row and column index conventions are stated.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 eq. (4), T is unclearly defined. The (1,1)-element T̃₁₁ derivation raises confusion about what T₁₁ and T₁₂ represent. (Page 3)</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defines T clearly in Eq. (11)–(13) as the unobserved true contingency table, with explicit cell definitions (a = #{Xj=1,Y=1,I=1}, etc.). The misclassification operator relationship is now stated as E[T̃|I=1] = E[T|I=1]K⊤ in Eq. (14), and the closed-form per-row inversion is given in Equations (19)–(20), making the cell-level arithmetic explicit.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5</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There is no justification of the ridge regularization in terms of statistical models or maximum likelihood. Why not consider Firth-penalized method (Firth 1993) for the current setup? (Page 3)</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2.2 adds a substantial paragraph titled 'Role of ridge regularization' that explains the Tikhonov connection (reference [16]) and shows the closed-form per-row corrected counts (Eqs. 19–20) to make the stabilization effect explicit. Firth penalization is now explicitly addressed: it is described as complementary — operating at the odds-ratio estimation step after table reconstruction, whereas ridge operates earlier at the table-reconstruction step. The two are described as 'addressing distinct stages' and 'complementary rather than competing.'</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6</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It is unclear why SHAP is considered. Connection between SHAP and odds ratio is unclear. (Page 8)</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substantially expands Section 3.1, now titled 'Comparison against SHAP analysis', with a full paragraph explaining why SHAP is included as a comparator: SHAP is described as 'a standard interpretability tool in EHR-scale predictive modeling' that 'decomposes model predictions rather than correcting for outcome misclassification.' The section explicitly frames SHAP as illustrating 'a complementary instability mechanism: variance-driven amplification of weak effects.' However, a deeper formal link between SHAP values and OR on the same features is not explicitly derived.</w:t>
            </w:r>
          </w:p>
          <w:p>
            <w:pPr>
              <w:spacing w:before="100"/>
            </w:pPr>
          </w:p>
          <w:p>
            <w:r>
              <w:rPr>
                <w:rFonts w:ascii="Arial" w:cs="Arial" w:eastAsia="Arial" w:hAnsi="Arial"/>
                <w:b/>
                <w:bCs/>
                <w:color w:val="D97706"/>
                <w:sz w:val="18"/>
                <w:szCs w:val="18"/>
              </w:rPr>
              <w:t xml:space="preserve">~ Partially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7</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It is unclear how T and T̃ are defined in the simulation section. (Page 9)</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Simulation section (Section 4) now gives the full DGP including explicit definitions of T and T̃ with row/column conventions (rows index X ∈ {1,0}, columns index Y ∈ {1,0}) and states that T̃ is generated from T via independent non-differential flips with operator K. Tables 2–4 provide all constants.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8</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 the python script 'lambdaORsimulation.py', Y is generated given X through logistic regression, unlike the retrospective sampling mentioned in the paper to generate X given Y. (Page 9)</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4 DGP now generates Y|X ~ Bernoulli(logit⁻¹(α + θX)) — i.e., prospectively, Y given X — consistent with what the simulation script actually does. This resolves the stated inconsistency between paper and code. The paper no longer claims retrospective sampling in the simulation.</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9</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Reference: Firth, D. (1993). Bias Reduction of Maximum Likelihood Estimates.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Firth (1993) is now cited as reference [17] in the revised paper and explicitly discussed in Section 2.2 with a clear explanation of how it relates to the ridge approach.</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2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Introduction: Authors state 'Classical label-noise corrections to OR mainly target small-sample misclassification or require external gold-standard cohorts...' — needs a more thorough description of available methods and citations for those requiring gold-standard cohorts.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introduction adds a full paragraph on the existing literature: it cites classical bias analyses [7,11], matrix/inverse-matrix adjustment methods [12,13], and likelihood-based approaches [14,15], explicitly noting that each 'typically requires external adjudication, chart review, or dedicated validation subsamples' — directly answering what gold-standard-requiring methods look like and where they are cited.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Introduction: The idea of choosing high-purity tails induced by t_hi and t_lo should be briefly mentioned in the introduction as a key motivation.</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introduction explicitly explains the two-threshold strategy in the last paragraph before Section 1.1: 'By selecting high and low score tails, we obtain proxy case and control groups whose expected purity is governed by the model's ROC operating characteristics.'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Introduction: The final paragraph before section 1.1 reads too technical. Recommend providing intuitive explanations for the theoretical benefits.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rewrites this paragraph to lead with the key insight ('when a reliable predictive model is available, its sensitivity-specificity trade-off can be used to correct label noise') before summarizing the formal guarantees (collapse property, OR blow-up resistance, SHAP mis-ranking). The Lemma/Corollary references are retained but the intuitive framing now comes first.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1.1: This motivation doesn't make sense until you've read sections 2 and 3. Focus on intuitive takeaways; move numerical examples to after theorems are introduced.</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1.1 is substantially restructured. It now leads with intuitive prose ('Two phenomena motivate λ-OR...') before the numerical illustration, and the examples explicitly reference the specific Lemmas/Corollaries (Lemma 7, Corollary 8, Corollary 9) that formally justify them — with the understanding that the full proofs appear in Section 3. However, the numerical examples are still in Section 1.1 before Section 3, which may not fully satisfy the reviewer's request to move them after the theorems.</w:t>
            </w:r>
          </w:p>
          <w:p>
            <w:pPr>
              <w:spacing w:before="100"/>
            </w:pPr>
          </w:p>
          <w:p>
            <w:r>
              <w:rPr>
                <w:rFonts w:ascii="Arial" w:cs="Arial" w:eastAsia="Arial" w:hAnsi="Arial"/>
                <w:b/>
                <w:bCs/>
                <w:color w:val="D97706"/>
                <w:sz w:val="18"/>
                <w:szCs w:val="18"/>
              </w:rPr>
              <w:t xml:space="preserve">~ Partially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5</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1.1: The final paragraph is a summary of results; focus on the takeaway rather than explaining the figure.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1.1 ends with a concluding summary paragraph that focuses on the take-away message ('both association screening and model-based attribution can be unstable... λ-OR is designed to mitigate these effects') without redundantly describing Figure 5.</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6</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2.1: Notation could be clearer. The predictive model/score depends on all X, not just the exposure of interest. Xj notation from Section 3.1 should be introduced in Section 2.1.</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2.1 now explicitly introduces the Xj notation: 'We consider a retrospective dataset of subjects with a binary exposure of interest Xj ∈ {0,1}.' The risk score is defined as S = f(Z) where 'Z denotes the feature set used by the predictive model (not limited to Xj),' making the distinction clear from the outset.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7</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2: A proof or more thorough walkthrough for the variance in Equation (9) would be needed for completeness.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a full Appendix 1 ('Delta-method variance propagation for log λ-OR(λ)') which derives the extra variance component step by step: differentiating the correction map via the matrix inverse identity, computing ∂T(λ)/∂p and ∂T(λ)/∂q explicitly, applying the chain rule to the log-odds functional, and stating the diagonal working approximation for Cov(p̂sel, q̂sel).</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8</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2 (2.4-2.6): Could use more direct guidance on choosing thresholds. Do the authors have intuition for a good preset floor or level of precision? How were specific values chosen for simulations and real data?</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2.4 gives more explicit practical guidance: thi is set to achieve ≥97% specificity (false-positive rate ≤3%), tlo targets sensitivity of ≈70–80%. Table 5 reports the actual thresholds used in all three real-data applications. However, a formal rule for the preset floor ε or a principled threshold-selection algorithm beyond the bias-variance proxy is not provided.</w:t>
            </w:r>
          </w:p>
          <w:p>
            <w:pPr>
              <w:spacing w:before="100"/>
            </w:pPr>
          </w:p>
          <w:p>
            <w:r>
              <w:rPr>
                <w:rFonts w:ascii="Arial" w:cs="Arial" w:eastAsia="Arial" w:hAnsi="Arial"/>
                <w:b/>
                <w:bCs/>
                <w:color w:val="D97706"/>
                <w:sz w:val="18"/>
                <w:szCs w:val="18"/>
              </w:rPr>
              <w:t xml:space="preserve">~ Partially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9</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4: Missing details on simulation setting (sample size, replicates, target log OR). Additional simulations needed — authors only vary p_sel; how sensitive are results to varying q_sel, sample size, and target OR?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4 and its tables (Tables 2–4) fully specify all constants: R=250 replicates, n=20,000, π=0.2, φ=0.5, θ=log2. The expanded Figure 2 now sweeps across the false negative rate 1-p_sel, the false positive rate 1-q_sel, the true effect θ, and sample size n. Figure 1 adds a symmetric-degradation sweep (p_sel=q_sel). This comprehensively addresses the request.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10</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5: More details on the dataset would be helpful. What is the sample size? Is there missingness in exposures? The model could be briefly explained in the text.</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5 and Table 5 report full cohort sizes (out-of-sample: 594K for ASD, 617K for IPF, 5.1M for ADRD), training cohort sizes, and selected analysis sizes (35,704; 26,574; 415,186). The ZeBRA models are cited [2,3,5]. Missingness is acknowledged: 'A code either appears in a patient's record or it does not, so there is no concept of missingness in the conventional sense. Rather... the data are sparse and potentially noise-corrupted.'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5: Confidence intervals explored in simulations but not applied in the real data analysis. How could CIs be insightful in practice?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notes that the volcano plots report significance (−log10 p) derived from the full Wald statistic using Vartotal, and explains that 'the vertical position of each exposure is determined by the estimated uncertainty of the corrected estimator.' However, explicit confidence intervals for individual ICD codes in the real-data analysis are not reported in a table or figure.</w:t>
            </w:r>
          </w:p>
          <w:p>
            <w:pPr>
              <w:spacing w:before="100"/>
            </w:pPr>
          </w:p>
          <w:p>
            <w:r>
              <w:rPr>
                <w:rFonts w:ascii="Arial" w:cs="Arial" w:eastAsia="Arial" w:hAnsi="Arial"/>
                <w:b/>
                <w:bCs/>
                <w:color w:val="D97706"/>
                <w:sz w:val="18"/>
                <w:szCs w:val="18"/>
              </w:rPr>
              <w:t xml:space="preserve">~ Partially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5: Could the authors provide an example of a biologically implausible protective code under naive OR that is not significant with λ-OR?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Table 6 is added in the revised paper, providing 12 concrete examples of ICD codes that appear significantly protective under naive OR (e.g., acne vulgaris L70.0, abnormal weight gain R63.5, streptococcal pharyngitis J02.0) but lose significance after λ-OR correction, with their naive and corrected log-OR and significance values.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Concluding remarks: Please expand on the impact of the method and practicality for researchers.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concluding remarks add a full paragraph on practical implementation: 'The procedure requires only a held-out labeled cohort to choose the low- and high-risk score thresholds and estimate (psel, qsel), followed by construction of the selected-set contingency tables.' The section also highlights suitability for large EHR settings and the benefit of propagating misclassification uncertainty.</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2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'Odds ratio' should be spelled out the first time it is mentioned in the introduction.</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uses 'Odds Ratio based measures (OR)' on its first substantive introduction in the introduction body. Additionally, abbreviations ASD, IPF, ADRD, EHR, SHAP, LIME, ICD are all spelled out on first use in the introduction.</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'Specificity' on page 5 ('while tlo is chosen so that specificity is ≈70–80%') should be 'sensitivity.'</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Fixed in the revised draft: Section 2.4 now reads 'tlo is chosen to achieve high sensitivity (equivalently, a low false-negative rate)... we target sensitivity in the range ≈70–80% at tlo.'</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Inconsistent use of lower vs. uppercase lambda (λ vs. Λ) in referring to the method.</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consistently uses λ-OR throughout the main text, theorems, figures, and algorithm. In the original draft, Fig. 2 captions used 'log Λ-OR'; these are corrected in the revision to 'log λ-OR'.</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What specific ICD vocabulary is being used? (e.g., ICD-9 or ICD-10)</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explicitly states 'International Classification of Diseases (ICD-10-CM) (ICD) code sets' in the introduction, making the vocabulary explicit.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5</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Figure 2: The red line should be defined in the caption. Also, 'ROR' in the right column should be λ-OR.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Figure 2 (now Figure 5) captions describe the estimators clearly. The 'ROR' label that appeared in the original y-axis of Fig. 2 right panels is corrected to 'log λ-OR' in the revised version.</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6</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Corollary 6 proof mentions 'Lemma 4(b)' which is not present in the paper.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In the revised paper, the Corollary numbering is restructured. The dangling reference to 'Lemma 4(b)' is no longer present — the relevant result is now Lemma 6 and Corollary 9 in the revised numbering, with proofs that cite correct internal references.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7</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Algorithm 1 is not mentioned in the main text.</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2.3 now states 'The pseudocode for the λ-OR calculation is enumerated in Algorithm 1,' and the simulation section references it directly.</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Please provide full names for abbreviations when first used in the paper (e.g., EHR).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now spells out all abbreviations on first use: Electronic Healthcare Record (EHR), Autism Spectrum Disorder (ASD), Idiopathic Pulmonary Fibrosis (IPF), Alzheimer's Disease and Related Dementia (ADRD), Odds Ratio (OR), SHapley Additive exPlanations (SHAP), Local Interpretable Model-agnostic Explanations (LIME), International Classification of Diseases (ICD-10-CM) — all in the introduction.</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 paper doesn't state the design constants (R, π, φ, n) in the simulation. Parameter settings for the case study are also unclear, making reproducibility difficult to assess.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Tables 2, 3, and 4, which fully specify all simulation constants: R=250 replicates, n=20,000, π=0.2, φ=0.5, θ=log2, misclassification grids, ridge grid, continuity corrections, and RNG seeds. Table 5 provides case-study parameters including cohort sizes, thresholds, quantiles, and psel/qsel values for all three applications.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Could you include a simulation analogue of Figure 2 (effect size vs. −log10(p)) for OR and λ-OR, with points colored for true vs. false positives? Also report FDR.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Figures 3 and 4. Figure 3 provides the volcano plot analogue for n = 50,000, 100,000, and 1,000,000, with non-null (red) and null (black) features distinguished. Figure 4 provides a cohort-size sweep explicitly reporting FDR = FP/(FP+TP) (note: FP/(TP+FP) as the reviewer defined it), true positives, and false positives at both α=0.05 and α=0.01 significance levels.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 approach hinges on availability of a strong, well-calibrated predictive model. How sensitive is performance to model quality (varying AUC/calibration, validation-set shift)? When does λ-OR degrade or become unstable?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theoretical collapse result (Corollary 5) directly addresses AUC sensitivity: as AUC → 0.5, J → 0, and λ-OR → 0 in probability, with increasing variance and fewer signals crossing significance thresholds. The revised paper adds explicit prose in the Theory section: 'poor predictive performance does not create spurious corrected associations, but instead manifests as increased uncertainty and eventual collapse toward the null.' However, empirical simulations varying AUC directly (e.g., by varying the upstream model quality) are not added; the sensitivity is addressed theoretically and through the J/det(K) sweeps.</w:t>
            </w:r>
          </w:p>
          <w:p>
            <w:pPr>
              <w:spacing w:before="100"/>
            </w:pPr>
          </w:p>
          <w:p>
            <w:r>
              <w:rPr>
                <w:rFonts w:ascii="Arial" w:cs="Arial" w:eastAsia="Arial" w:hAnsi="Arial"/>
                <w:b/>
                <w:bCs/>
                <w:color w:val="D97706"/>
                <w:sz w:val="18"/>
                <w:szCs w:val="18"/>
              </w:rPr>
              <w:t xml:space="preserve">~ Partially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4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Paper was overall difficult to read. Derivations are given without explanation; notational clashing (S defined as Shapley and risk score, a and b get redefined in proofs, confusion matrices not labeled, notation used before defining). Encourage authors to keep consistent notation and explain things slowly.</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makes substantial notational improvements: S is replaced by Sj for mean-absolute SHAP values, reserving S = f(Z) for the risk score. The contingency table rows and columns are now labeled explicitly (rows index Xj ∈ {1,0}, columns index Ỹ or Y ∈ {1,0}) in Eq. (6). All abbreviations are defined on first use. The proof of Theorem 3 (formerly Theorem 2) adds explicit prose explaining the a − b = (p1−p0)∆Y derivation. The Appendix explicitly labels all matrix partial derivatives.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Theorem 2: Confused about the proof — seems to bound a risk ratio, not an odds ratio. Please explain. Also explain 'From the PPV/NPV mixture identities, a − b = (p1−p0)∆Y.' Don't you need to assume Xj ⊥ R | Y?</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Assumption B (Xj ⊥ R | Y) explicitly before Theorem 3 (formerly Theorem 2) and uses it in the proof. The identity a − b = (p1−p0)∆Y is now derived explicitly via the law of total probability. The bound is now correctly stated as | log ORj,R | ≤ |p1−p0|/ε(1−ε) · ∆Y, derived using the mean value theorem for log(u/(1−u)) with derivative 1/(u(1−u)) — making clear this is an odds ratio bound, not a risk ratio bound.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2: ASD, IPF and ADRD defined only in abstract. Define in the main text too.</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Fixed. The revised introduction now defines all three on first use: 'Autism Spectrum Disorder (ASD), Idiopathic Pulmonary Fibrosis (IPF)... and Alzheimer's Disease and Related Dementia (ADRD).'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4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2: 'λ-OR's collapse property prevents such mis-ranking when the underlying score is uninformative (Lemma 3 and Corollaries 5,7).' — misnumbering of Lemmas and Corollaries.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renumbers all results. The collapse corollary is now Corollary 5 (Lipschitz ROC implies collapse), and the SHAP mis-ranking results are Lemma 6, Corollary 9. The introduction references are updated to match the revised numbering.</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3 SHAP example: Notation not defined yet. Also Corollaries 5,7 should be 6,7.</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SHAP example in Section 1.1 now defines βj and σj explicitly in the prose before the numerical example. Corollary numbering is updated throughout.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4 Equation (2): Label the rows and columns of the table.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contingency table T̃ in Eq. (6) of the revised paper now has explicit labeling: 'where rows index Xj ∈ {1,0} and columns index Ỹ ∈ {1,0}.'</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4 Equation (3): State that you are assuming selection is independent of exposure.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Assumption A (Non-differential misclassification) formally: 'Ỹ ⊥ Xj | (Y, I=1), so that... the proxy-labeling mechanism depends only on the true outcome and not on the exposure.' This is stated before Eq. (14).</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5</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4 Section 2.2: Show how ridge inversion ensures non-negativity by tilting the inverse away from subtraction dominance with the closed-form expression for T_{x,1}^λ.</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2.2 adds the full closed-form expressions for the corrected row elements t(λ)₁ and t(λ)₀ in Equations (19)–(20), with explicit prose: 'Equations (19)–(20) show that ridge increases the denominator and attenuates the subtraction terms that drive negativity under the unregularized inverse.'</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6</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Figure 2: log Λ-OR should be log λ-OR. Algorithm 1 line 27 is off — shouldn't it be +log10(sqrt(2π)|z|) (not minus)?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Λ vs. λ inconsistency is fixed throughout. For Algorithm 1 line 27: the revised algorithm now shows '− log10 p ← z²/(2 ln 10) + log10(√(2π)|z|)' — i.e., the sign is corrected to '+' as the reviewer suggested. This is the correct large-|z| approximation for −log10(2Φ(−|z|)).</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DC2626"/>
          <w:sz w:val="32"/>
          <w:szCs w:val="32"/>
        </w:rPr>
        <w:t xml:space="preserve">Summary of Remaining Gaps</w:t>
      </w:r>
    </w:p>
    <w:p>
      <w:pPr>
        <w:spacing w:before="60" w:after="60"/>
      </w:pPr>
      <w:r>
        <w:rPr>
          <w:rFonts w:ascii="Arial" w:cs="Arial" w:eastAsia="Arial" w:hAnsi="Arial"/>
          <w:i/>
          <w:iCs/>
          <w:color w:val="111827"/>
          <w:sz w:val="20"/>
          <w:szCs w:val="20"/>
        </w:rPr>
        <w:t xml:space="preserve">The following items were not fully addressed in the revised draft and may warrant further attention: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Reviewer</w:t>
            </w:r>
          </w:p>
        </w:tc>
        <w:tc>
          <w:tcPr>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Remaining Gap</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R1</w:t>
            </w:r>
          </w:p>
        </w:tc>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SHAP–OR connection</w:t>
            </w:r>
          </w:p>
        </w:tc>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 deeper formal connection between SHAP attributions and the odds ratio for the same feature is not derived. The paper positions them as separate approaches rather than showing a unified relationship.</w:t>
            </w:r>
          </w:p>
        </w:tc>
      </w:tr>
      <w:tr>
        <w:tc>
          <w:tcPr>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111827"/>
                <w:sz w:val="18"/>
                <w:szCs w:val="18"/>
              </w:rPr>
              <w:t xml:space="preserve">R2 §1.1</w:t>
            </w:r>
          </w:p>
        </w:tc>
        <w:tc>
          <w:tcPr>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111827"/>
                <w:sz w:val="18"/>
                <w:szCs w:val="18"/>
              </w:rPr>
              <w:t xml:space="preserve">Example placement</w:t>
            </w:r>
          </w:p>
        </w:tc>
        <w:tc>
          <w:tcPr>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111827"/>
                <w:sz w:val="18"/>
                <w:szCs w:val="18"/>
              </w:rPr>
              <w:t xml:space="preserve">The numerical examples in Section 1.1 remain before the formal theorems (Section 3). The reviewer requested these move to after the theorems are introduced.</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R2 §2.4</w:t>
            </w:r>
          </w:p>
        </w:tc>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Threshold selection rule</w:t>
            </w:r>
          </w:p>
        </w:tc>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 principled rule for choosing the preset floor ε or an optimisation-based threshold selection algorithm is not provided beyond the proxy MSE framing.</w:t>
            </w:r>
          </w:p>
        </w:tc>
      </w:tr>
      <w:tr>
        <w:tc>
          <w:tcPr>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111827"/>
                <w:sz w:val="18"/>
                <w:szCs w:val="18"/>
              </w:rPr>
              <w:t xml:space="preserve">R2 §5</w:t>
            </w:r>
          </w:p>
        </w:tc>
        <w:tc>
          <w:tcPr>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111827"/>
                <w:sz w:val="18"/>
                <w:szCs w:val="18"/>
              </w:rPr>
              <w:t xml:space="preserve">CIs in real data</w:t>
            </w:r>
          </w:p>
        </w:tc>
        <w:tc>
          <w:tcPr>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111827"/>
                <w:sz w:val="18"/>
                <w:szCs w:val="18"/>
              </w:rPr>
              <w:t xml:space="preserve">Confidence intervals for individual feature associations are not reported in any real-data table or figure — only significance (−log10 p) is shown.</w:t>
            </w:r>
          </w:p>
        </w:tc>
      </w:tr>
      <w:tr>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R3 §4</w:t>
            </w:r>
          </w:p>
        </w:tc>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AUC sensitivity simulation</w:t>
            </w:r>
          </w:p>
        </w:tc>
        <w:tc>
          <w:tcPr>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The paper addresses AUC sensitivity theoretically via Corollary 5, but does not provide an empirical simulation where the upstream model quality (AUC or calibration) is explicitly varied as a parameter.</w:t>
            </w:r>
          </w:p>
        </w:tc>
      </w:tr>
    </w:tbl>
    <w:p>
      <w:pPr>
        <w:spacing w:before="80" w:after="80"/>
      </w:pPr>
      <w:r>
        <w:t xml:space="preserve"/>
      </w:r>
    </w:p>
    <w:p>
      <w:pPr>
        <w:spacing w:before="80" w:after="80"/>
      </w:pPr>
      <w:r>
        <w:t xml:space="preserve"/>
      </w:r>
    </w:p>
    <w:p>
      <w:pPr>
        <w:spacing w:before="80"/>
      </w:pPr>
      <w:r>
        <w:rPr>
          <w:rFonts w:ascii="Arial" w:cs="Arial" w:eastAsia="Arial" w:hAnsi="Arial"/>
          <w:i/>
          <w:iCs/>
          <w:color w:val="6B7280"/>
          <w:sz w:val="17"/>
          <w:szCs w:val="17"/>
        </w:rPr>
        <w:t xml:space="preserve">Assessment prepared by Claude | Based on comparison of mainBMC.pdf (original) and mainBMCrevised.pdf (revised) against reviewer comments in lambda_or_R1.docx, reviewer2_.docx, and reviewer3.docx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2026-03-12T02:00:00.267Z</dcterms:created>
  <dcterms:modified xsi:type="dcterms:W3CDTF">2026-03-12T02:00:00.268Z</dcterms:modified>
</cp:coreProperties>
</file>

<file path=docProps/custom.xml><?xml version="1.0" encoding="utf-8"?>
<Properties xmlns="http://schemas.openxmlformats.org/officeDocument/2006/custom-properties" xmlns:vt="http://schemas.openxmlformats.org/officeDocument/2006/docPropsVTypes"/>
</file>