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ABFFE0" w14:textId="33772EF4" w:rsidR="00154FA1" w:rsidRPr="00E7495A" w:rsidRDefault="00496AE6" w:rsidP="00E7495A">
      <w:pPr>
        <w:spacing w:line="480" w:lineRule="auto"/>
        <w:rPr>
          <w:sz w:val="32"/>
          <w:szCs w:val="32"/>
        </w:rPr>
      </w:pPr>
      <w:proofErr w:type="spellStart"/>
      <w:r w:rsidRPr="00496AE6">
        <w:rPr>
          <w:b/>
          <w:bCs/>
          <w:sz w:val="32"/>
          <w:szCs w:val="32"/>
        </w:rPr>
        <w:t>Emergenet</w:t>
      </w:r>
      <w:proofErr w:type="spellEnd"/>
      <w:r w:rsidRPr="00496AE6">
        <w:rPr>
          <w:b/>
          <w:bCs/>
          <w:sz w:val="32"/>
          <w:szCs w:val="32"/>
        </w:rPr>
        <w:t>: Scalable Sequence-Based Emergence Risk Assessment of Influenza A Strains in Non-Human Hosts</w:t>
      </w:r>
      <w:bookmarkStart w:id="0" w:name="structured-abstract"/>
    </w:p>
    <w:p w14:paraId="32448F38" w14:textId="77777777" w:rsidR="004370DA" w:rsidRDefault="00000000" w:rsidP="00AD67C5">
      <w:pPr>
        <w:pStyle w:val="Heading1"/>
      </w:pPr>
      <w:bookmarkStart w:id="1" w:name="introduction"/>
      <w:bookmarkEnd w:id="0"/>
      <w:r>
        <w:t>Introduction</w:t>
      </w:r>
    </w:p>
    <w:p w14:paraId="575BA3D6" w14:textId="77777777" w:rsidR="00E7495A" w:rsidRDefault="00E7495A" w:rsidP="00E7495A">
      <w:pPr>
        <w:spacing w:line="480" w:lineRule="auto"/>
      </w:pPr>
      <w:r>
        <w:t xml:space="preserve">Influenza viruses constantly evolve (Dos Santos, Neumeier, and </w:t>
      </w:r>
      <w:proofErr w:type="spellStart"/>
      <w:r>
        <w:t>Bekkat-Berkani</w:t>
      </w:r>
      <w:proofErr w:type="spellEnd"/>
      <w:r>
        <w:t xml:space="preserve"> 2016), altering surface proteins to evade host immunity and drive recurring seasonal epidemics. Current control strategies rely on annual vaccine reformulation, yet vaccine effectiveness is highly sensitive to errors in predicting future dominant strains (</w:t>
      </w:r>
      <w:proofErr w:type="spellStart"/>
      <w:r>
        <w:t>Tricco</w:t>
      </w:r>
      <w:proofErr w:type="spellEnd"/>
      <w:r>
        <w:t xml:space="preserve"> et al. 2013), and forecasting remains imperfect despite recent advances (</w:t>
      </w:r>
      <w:proofErr w:type="spellStart"/>
      <w:r>
        <w:t>Neher</w:t>
      </w:r>
      <w:proofErr w:type="spellEnd"/>
      <w:r>
        <w:t xml:space="preserve">, Russell, and </w:t>
      </w:r>
      <w:proofErr w:type="spellStart"/>
      <w:r>
        <w:t>Shraiman</w:t>
      </w:r>
      <w:proofErr w:type="spellEnd"/>
      <w:r>
        <w:t xml:space="preserve"> 2014; Huddleston et al. 2020). Beyond seasonal disease, influenza A poses an ongoing pandemic threat through spillover from animal reservoirs, facilitated by its segmented genome and broad host range (Shao et al. 2017).</w:t>
      </w:r>
    </w:p>
    <w:p w14:paraId="71A9268D" w14:textId="77777777" w:rsidR="00E7495A" w:rsidRDefault="00E7495A" w:rsidP="00E7495A">
      <w:pPr>
        <w:spacing w:line="480" w:lineRule="auto"/>
      </w:pPr>
    </w:p>
    <w:p w14:paraId="5D1DCB21" w14:textId="6F6FD4EB" w:rsidR="00E7495A" w:rsidRDefault="00E7495A" w:rsidP="00E7495A">
      <w:pPr>
        <w:spacing w:line="480" w:lineRule="auto"/>
      </w:pPr>
      <w:r>
        <w:t xml:space="preserve">One strategy for mitigating this risk is to identify animal strains that are not yet circulating in humans but are likely to acquire efficient human-to-human transmission. Although global surveillance programs collect large numbers of animal influenza sequences, the ability to objectively and </w:t>
      </w:r>
      <w:proofErr w:type="spellStart"/>
      <w:r>
        <w:t>scalably</w:t>
      </w:r>
      <w:proofErr w:type="spellEnd"/>
      <w:r>
        <w:t xml:space="preserve"> rank individual strains by emergence risk remains limited (Wille, Geoghegan, and Holmes 2021), despite recent progress (Pulliam and </w:t>
      </w:r>
      <w:proofErr w:type="spellStart"/>
      <w:r>
        <w:t>Dushoff</w:t>
      </w:r>
      <w:proofErr w:type="spellEnd"/>
      <w:r>
        <w:t xml:space="preserve"> 2009; Grange et al. 2021).</w:t>
      </w:r>
    </w:p>
    <w:p w14:paraId="6723DD8F" w14:textId="77777777" w:rsidR="00E7495A" w:rsidRDefault="00E7495A" w:rsidP="00E7495A">
      <w:pPr>
        <w:spacing w:line="480" w:lineRule="auto"/>
      </w:pPr>
    </w:p>
    <w:p w14:paraId="1E80418A" w14:textId="0A3DD86E" w:rsidR="00E7495A" w:rsidRDefault="00E7495A" w:rsidP="00E7495A">
      <w:pPr>
        <w:pStyle w:val="BodyText"/>
        <w:spacing w:line="480" w:lineRule="auto"/>
      </w:pPr>
      <w:r>
        <w:t xml:space="preserve">The CDC’s primary framework for evaluating zoonotic influenza risk is the Influenza Risk Assessment Tool (IRAT) (CDC 2020), which aggregates expert scores across virologic, epidemiologic, and immunologic criteria to estimate emergence risk and potential public health impact. Because IRAT relies on expert judgment and multiple experimental assays, per-strain </w:t>
      </w:r>
      <w:r>
        <w:lastRenderedPageBreak/>
        <w:t>evaluation is slow and does not scale to the volume of sequences generated by modern surveillance.</w:t>
      </w:r>
    </w:p>
    <w:p w14:paraId="7C7F5BAC" w14:textId="5E62AAC3" w:rsidR="004370DA" w:rsidRDefault="00E7495A" w:rsidP="00AD67C5">
      <w:pPr>
        <w:pStyle w:val="BodyText"/>
        <w:spacing w:line="480" w:lineRule="auto"/>
      </w:pPr>
      <w:r>
        <w:t>Here we introduce an AI-driven framework that infers emergent evolutionary constraints directly from viral sequence data to enable scalable, theory-grounded emergence prediction. The method estimates the probability of transition from an observed strain to a human-adapted variant and yields quantitative emergence scores for animal strains that approximate IRAT assessments without requiring experimental assays or expert scoring.</w:t>
      </w:r>
    </w:p>
    <w:p w14:paraId="62AF4B0D" w14:textId="77777777" w:rsidR="004370DA" w:rsidRDefault="00000000" w:rsidP="00AD67C5">
      <w:pPr>
        <w:pStyle w:val="Heading1"/>
      </w:pPr>
      <w:bookmarkStart w:id="2" w:name="methods"/>
      <w:bookmarkEnd w:id="1"/>
      <w:r>
        <w:t>Methods</w:t>
      </w:r>
    </w:p>
    <w:p w14:paraId="79DF16B9" w14:textId="77777777" w:rsidR="004370DA" w:rsidRDefault="00000000" w:rsidP="00AD67C5">
      <w:pPr>
        <w:pStyle w:val="Heading4"/>
        <w:spacing w:line="480" w:lineRule="auto"/>
      </w:pPr>
      <w:bookmarkStart w:id="3" w:name="Xa2b159f5673bbf63c3c3bac7cf162caca7cce9e"/>
      <w:r>
        <w:t>Emergenet Inference and Digital Twin Construction</w:t>
      </w:r>
    </w:p>
    <w:p w14:paraId="58AA8C3B" w14:textId="77777777" w:rsidR="00E7495A" w:rsidRDefault="00E7495A" w:rsidP="00E7495A">
      <w:pPr>
        <w:spacing w:line="480" w:lineRule="auto"/>
      </w:pPr>
      <w:r>
        <w:t>To infer evolutionary constraints governing influenza adaptation, we analyze sequence variation (point substitutions and indels) in hemagglutinin (HA) and neuraminidase (NA), which mediate viral entry and exit (</w:t>
      </w:r>
      <w:proofErr w:type="spellStart"/>
      <w:r>
        <w:t>Gamblin</w:t>
      </w:r>
      <w:proofErr w:type="spellEnd"/>
      <w:r>
        <w:t xml:space="preserve"> and </w:t>
      </w:r>
      <w:proofErr w:type="spellStart"/>
      <w:r>
        <w:t>Skehel</w:t>
      </w:r>
      <w:proofErr w:type="spellEnd"/>
      <w:r>
        <w:t xml:space="preserve"> 2010; Shao et al. 2017). Viral evolution is treated as constrained exploration of sequence space, where only a small subset of theoretically possible mutations </w:t>
      </w:r>
      <w:proofErr w:type="gramStart"/>
      <w:r>
        <w:t>are</w:t>
      </w:r>
      <w:proofErr w:type="gramEnd"/>
      <w:r>
        <w:t xml:space="preserve"> viable. The </w:t>
      </w:r>
      <w:proofErr w:type="spellStart"/>
      <w:r>
        <w:t>Emergenet</w:t>
      </w:r>
      <w:proofErr w:type="spellEnd"/>
      <w:r>
        <w:t xml:space="preserve"> framework recovers these constraints by learning empirical dependencies among residue substitutions, enabling estimation of future mutation odds and strain-to-strain transition probabilities (Fig. 1a).</w:t>
      </w:r>
    </w:p>
    <w:p w14:paraId="21D29272" w14:textId="77777777" w:rsidR="00E7495A" w:rsidRDefault="00E7495A" w:rsidP="00E7495A">
      <w:pPr>
        <w:spacing w:line="480" w:lineRule="auto"/>
      </w:pPr>
    </w:p>
    <w:p w14:paraId="2648DF2E" w14:textId="77777777" w:rsidR="00E7495A" w:rsidRDefault="00E7495A" w:rsidP="00E7495A">
      <w:pPr>
        <w:spacing w:line="480" w:lineRule="auto"/>
      </w:pPr>
      <w:proofErr w:type="spellStart"/>
      <w:r>
        <w:t>Emergenet</w:t>
      </w:r>
      <w:proofErr w:type="spellEnd"/>
      <w:r>
        <w:t xml:space="preserve"> functions as a data-driven digital twin of influenza evolution, capturing how viral genomes have historically changed under biological and environmental constraints and enabling inference over plausible evolutionary trajectories (Sizemore et al. 2024). Unlike classical substitution models that assume stationary mutation processes (Posada and Crandall 1998), </w:t>
      </w:r>
      <w:proofErr w:type="spellStart"/>
      <w:r>
        <w:t>Emergenet</w:t>
      </w:r>
      <w:proofErr w:type="spellEnd"/>
      <w:r>
        <w:t xml:space="preserve"> captures context-dependent mutational structure. Existing approaches, including </w:t>
      </w:r>
      <w:proofErr w:type="spellStart"/>
      <w:r>
        <w:lastRenderedPageBreak/>
        <w:t>FluLeap</w:t>
      </w:r>
      <w:proofErr w:type="spellEnd"/>
      <w:r>
        <w:t xml:space="preserve"> (Eng, Tong, and Tan 2014) and species-level spillover ranking (Grange et al. 2021), do not provide strain-specific, trajectory-aware inference.</w:t>
      </w:r>
    </w:p>
    <w:p w14:paraId="54A6B14A" w14:textId="77777777" w:rsidR="00E7495A" w:rsidRDefault="00E7495A" w:rsidP="00E7495A">
      <w:pPr>
        <w:spacing w:line="480" w:lineRule="auto"/>
      </w:pPr>
    </w:p>
    <w:p w14:paraId="19EC4BF6" w14:textId="2ADADC0C" w:rsidR="00E7495A" w:rsidRDefault="00E7495A" w:rsidP="00E7495A">
      <w:pPr>
        <w:spacing w:line="480" w:lineRule="auto"/>
      </w:pPr>
      <w:r>
        <w:t>Public viral sequence databases are enriched for genomes compatible with replication and transmission. Although influenza polymerase error rates are high (10⁻³–10⁻⁴) (Ahlquist 2002; Chen and Holmes 2006), only a small fraction of mutations are viable, giving rise to statistically detectable dependencies between residues. Because selective pressures change over time—particularly due to host immunity and cytotoxic T lymphocyte epitope escape (</w:t>
      </w:r>
      <w:proofErr w:type="spellStart"/>
      <w:r>
        <w:t>Woolthuis</w:t>
      </w:r>
      <w:proofErr w:type="spellEnd"/>
      <w:r>
        <w:t xml:space="preserve"> et al. 2016; Fan et al. 2012; </w:t>
      </w:r>
      <w:proofErr w:type="spellStart"/>
      <w:r>
        <w:t>Sandt</w:t>
      </w:r>
      <w:proofErr w:type="spellEnd"/>
      <w:r>
        <w:t xml:space="preserve"> et al. 2016; Van de </w:t>
      </w:r>
      <w:proofErr w:type="spellStart"/>
      <w:r>
        <w:t>Sandt</w:t>
      </w:r>
      <w:proofErr w:type="spellEnd"/>
      <w:r>
        <w:t xml:space="preserve">, </w:t>
      </w:r>
      <w:proofErr w:type="spellStart"/>
      <w:r>
        <w:t>Kreijtz</w:t>
      </w:r>
      <w:proofErr w:type="spellEnd"/>
      <w:r>
        <w:t xml:space="preserve">, and </w:t>
      </w:r>
      <w:proofErr w:type="spellStart"/>
      <w:r>
        <w:t>Rimmelzwaan</w:t>
      </w:r>
      <w:proofErr w:type="spellEnd"/>
      <w:r>
        <w:t xml:space="preserve"> 2012)—</w:t>
      </w:r>
      <w:proofErr w:type="spellStart"/>
      <w:r>
        <w:t>Emergenet</w:t>
      </w:r>
      <w:proofErr w:type="spellEnd"/>
      <w:r>
        <w:t xml:space="preserve"> models are retrained on recent circulation windows, yielding time-indexed inference without explicit mechanistic assumptions.</w:t>
      </w:r>
    </w:p>
    <w:p w14:paraId="192ADB4F" w14:textId="77777777" w:rsidR="00E7495A" w:rsidRDefault="00E7495A" w:rsidP="00E7495A">
      <w:pPr>
        <w:spacing w:line="480" w:lineRule="auto"/>
      </w:pPr>
    </w:p>
    <w:p w14:paraId="1C2C2F5B" w14:textId="77777777" w:rsidR="00E7495A" w:rsidRDefault="00E7495A" w:rsidP="00E7495A">
      <w:pPr>
        <w:spacing w:line="480" w:lineRule="auto"/>
      </w:pPr>
      <w:r>
        <w:t xml:space="preserve">Structurally, an </w:t>
      </w:r>
      <w:proofErr w:type="spellStart"/>
      <w:r>
        <w:t>Emergenet</w:t>
      </w:r>
      <w:proofErr w:type="spellEnd"/>
      <w:r>
        <w:t xml:space="preserve"> consists of interdependent local predictors, each modeling the conditional distribution of a residue at a given position using other residues as covariates (Fig. 1b). Predictors are implemented as conditional inference trees (CITs) (</w:t>
      </w:r>
      <w:proofErr w:type="spellStart"/>
      <w:r>
        <w:t>Hothorn</w:t>
      </w:r>
      <w:proofErr w:type="spellEnd"/>
      <w:r>
        <w:t xml:space="preserve">, </w:t>
      </w:r>
      <w:proofErr w:type="spellStart"/>
      <w:r>
        <w:t>Hornik</w:t>
      </w:r>
      <w:proofErr w:type="spellEnd"/>
      <w:r>
        <w:t xml:space="preserve">, and </w:t>
      </w:r>
      <w:proofErr w:type="spellStart"/>
      <w:r>
        <w:t>Zeileis</w:t>
      </w:r>
      <w:proofErr w:type="spellEnd"/>
      <w:r>
        <w:t xml:space="preserve"> 2006), ensuring statistically supported splits and robustness to noise. Dependencies may form cycles, reflecting distributed evolutionary constraints rather than independent site effects. Across HA, up to 566 statistically significant predictors are inferred, forming a forest of conditional models that constitutes the </w:t>
      </w:r>
      <w:proofErr w:type="spellStart"/>
      <w:r>
        <w:t>Emergenet</w:t>
      </w:r>
      <w:proofErr w:type="spellEnd"/>
      <w:r>
        <w:t xml:space="preserve"> digital twin.</w:t>
      </w:r>
    </w:p>
    <w:p w14:paraId="66217EBD" w14:textId="77777777" w:rsidR="00E7495A" w:rsidRDefault="00E7495A" w:rsidP="00E7495A">
      <w:pPr>
        <w:spacing w:line="480" w:lineRule="auto"/>
      </w:pPr>
    </w:p>
    <w:p w14:paraId="7C8EFCA8" w14:textId="77777777" w:rsidR="00E7495A" w:rsidRDefault="00E7495A" w:rsidP="00E7495A">
      <w:pPr>
        <w:spacing w:line="480" w:lineRule="auto"/>
      </w:pPr>
      <w:r>
        <w:t xml:space="preserve">Each </w:t>
      </w:r>
      <w:proofErr w:type="spellStart"/>
      <w:r>
        <w:t>Emergenet</w:t>
      </w:r>
      <w:proofErr w:type="spellEnd"/>
      <w:r>
        <w:t xml:space="preserve"> induces an intrinsic distance metric, E-distance, which scales with the log-likelihood of evolutionary transitions (Sizemore et al. 2024; Supplementary Information). </w:t>
      </w:r>
      <w:r>
        <w:lastRenderedPageBreak/>
        <w:t xml:space="preserve">Estimation of transition odds </w:t>
      </w:r>
      <w:proofErr w:type="spellStart"/>
      <w:r>
        <w:t>Pr</w:t>
      </w:r>
      <w:proofErr w:type="spellEnd"/>
      <w:r>
        <w:t>(</w:t>
      </w:r>
      <w:proofErr w:type="spellStart"/>
      <w:r>
        <w:t>x→y</w:t>
      </w:r>
      <w:proofErr w:type="spellEnd"/>
      <w:r>
        <w:t xml:space="preserve">) enables quantitative forecasting of vaccine strains and assessment of emergence risk for animal influenza viruses (Fig. 1c–d, </w:t>
      </w:r>
      <w:proofErr w:type="spellStart"/>
      <w:r>
        <w:t>Eqs</w:t>
      </w:r>
      <w:proofErr w:type="spellEnd"/>
      <w:r>
        <w:t>. 1–4).</w:t>
      </w:r>
    </w:p>
    <w:p w14:paraId="04F4500A" w14:textId="77777777" w:rsidR="004370DA" w:rsidRDefault="00000000" w:rsidP="00AD67C5">
      <w:pPr>
        <w:pStyle w:val="Heading4"/>
        <w:spacing w:line="480" w:lineRule="auto"/>
      </w:pPr>
      <w:bookmarkStart w:id="4" w:name="data-sources"/>
      <w:bookmarkEnd w:id="3"/>
      <w:r>
        <w:t>Data Sources</w:t>
      </w:r>
    </w:p>
    <w:p w14:paraId="2BAF4CED" w14:textId="5DDD4546" w:rsidR="004370DA" w:rsidRDefault="00000000" w:rsidP="00AD67C5">
      <w:pPr>
        <w:spacing w:line="480" w:lineRule="auto"/>
      </w:pPr>
      <w:r>
        <w:t xml:space="preserve">We use sequence data from the NCBI Virus database (Hatcher et al. 2017) and GISAID (Bogner et al. 2006). In total, </w:t>
      </w:r>
      <m:oMath>
        <m:r>
          <w:rPr>
            <w:rFonts w:ascii="Cambria Math" w:hAnsi="Cambria Math"/>
          </w:rPr>
          <m:t>463</m:t>
        </m:r>
        <m:r>
          <m:rPr>
            <m:sty m:val="p"/>
          </m:rPr>
          <w:rPr>
            <w:rFonts w:ascii="Cambria Math" w:hAnsi="Cambria Math"/>
          </w:rPr>
          <m:t>,</m:t>
        </m:r>
        <m:r>
          <w:rPr>
            <w:rFonts w:ascii="Cambria Math" w:hAnsi="Cambria Math"/>
          </w:rPr>
          <m:t>266</m:t>
        </m:r>
      </m:oMath>
      <w:r>
        <w:t xml:space="preserve"> sequences </w:t>
      </w:r>
      <w:r w:rsidR="002202D7">
        <w:t xml:space="preserve">(HA and NA combined) </w:t>
      </w:r>
      <w:r>
        <w:t>were analyzed (Table </w:t>
      </w:r>
      <w:r w:rsidR="00154FA1">
        <w:t>S1</w:t>
      </w:r>
      <w:r>
        <w:t>).</w:t>
      </w:r>
    </w:p>
    <w:p w14:paraId="7F26E9E6" w14:textId="77777777" w:rsidR="004370DA" w:rsidRDefault="00000000" w:rsidP="00AD67C5">
      <w:pPr>
        <w:pStyle w:val="Heading4"/>
        <w:spacing w:line="480" w:lineRule="auto"/>
      </w:pPr>
      <w:bookmarkStart w:id="5" w:name="X5abd00ef031db99540b25f7bff4618ce6dbecb0"/>
      <w:bookmarkEnd w:id="4"/>
      <w:r>
        <w:t>Intrinsic Distance Metric and Interpretability</w:t>
      </w:r>
    </w:p>
    <w:p w14:paraId="12E8198A" w14:textId="0A3AA1B1" w:rsidR="004370DA" w:rsidRDefault="00000000" w:rsidP="00AD67C5">
      <w:pPr>
        <w:spacing w:line="480" w:lineRule="auto"/>
      </w:pPr>
      <w:r>
        <w:t>Inference of Emergenet predictors induces an intrinsic distance metric between strains, E-distance</w:t>
      </w:r>
      <w:r w:rsidR="00856F16">
        <w:t xml:space="preserve"> </w:t>
      </w:r>
      <w:r>
        <w:t>(Eq. </w:t>
      </w:r>
      <w:r w:rsidR="00154FA1">
        <w:t>7</w:t>
      </w:r>
      <w:r w:rsidR="00856F16">
        <w:t xml:space="preserve"> in Supplementary</w:t>
      </w:r>
      <w:r>
        <w:t xml:space="preserve">), defined as the square root of the Jensen–Shannon divergence (Cover and Thomas 2006) between conditional residue distributions, averaged across the sequence. Unlike edit distance, E-distance quantifies how improbable a transition would be under learned evolutionary constraints. Smaller values correspond to historically accessible transitions, while larger values indicate unsupported mutational combinations. As shown previously (Sizemore et al. 2024), E-distance scales with </w:t>
      </w:r>
      <m:oMath>
        <m:r>
          <m:rPr>
            <m:sty m:val="p"/>
          </m:rPr>
          <w:rPr>
            <w:rFonts w:ascii="Cambria Math" w:hAnsi="Cambria Math"/>
          </w:rPr>
          <m:t>log</m:t>
        </m:r>
        <m:r>
          <w:rPr>
            <w:rFonts w:ascii="Cambria Math" w:hAnsi="Cambria Math"/>
          </w:rPr>
          <m:t>Pr</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providing a principled probabilistic interpretation.</w:t>
      </w:r>
    </w:p>
    <w:p w14:paraId="6D2875B5" w14:textId="77777777" w:rsidR="004370DA" w:rsidRDefault="00000000" w:rsidP="00AD67C5">
      <w:pPr>
        <w:pStyle w:val="Heading4"/>
        <w:spacing w:line="480" w:lineRule="auto"/>
      </w:pPr>
      <w:bookmarkStart w:id="6" w:name="predicting-seasonal-vaccine-strains"/>
      <w:bookmarkEnd w:id="5"/>
      <w:r>
        <w:t>Predicting Seasonal Vaccine Strains</w:t>
      </w:r>
    </w:p>
    <w:p w14:paraId="443891E5" w14:textId="0E0E0588" w:rsidR="004370DA" w:rsidRDefault="00000000" w:rsidP="00AD67C5">
      <w:pPr>
        <w:spacing w:line="480" w:lineRule="auto"/>
      </w:pPr>
      <w:r>
        <w:t xml:space="preserve">A candidate vaccine strain for season </w:t>
      </w:r>
      <m:oMath>
        <m:r>
          <w:rPr>
            <w:rFonts w:ascii="Cambria Math" w:hAnsi="Cambria Math"/>
          </w:rPr>
          <m:t>t</m:t>
        </m:r>
        <m:r>
          <m:rPr>
            <m:sty m:val="p"/>
          </m:rPr>
          <w:rPr>
            <w:rFonts w:ascii="Cambria Math" w:hAnsi="Cambria Math"/>
          </w:rPr>
          <m:t>+</m:t>
        </m:r>
        <m:r>
          <w:rPr>
            <w:rFonts w:ascii="Cambria Math" w:hAnsi="Cambria Math"/>
          </w:rPr>
          <m:t>δ</m:t>
        </m:r>
      </m:oMath>
      <w:r>
        <w:t xml:space="preserve"> is identified as one maximizing the joint likelihood of arising from the currently circulating population (Fig. </w:t>
      </w:r>
      <w:r w:rsidR="00154FA1">
        <w:t>1</w:t>
      </w:r>
      <w:r>
        <w:t>c). While not intended as a mechanistic evolutionary model, this criterion identifies strains expected to be representative of near-future circulation. This yields the optimization problem:</w:t>
      </w:r>
    </w:p>
    <w:p w14:paraId="4941E2AC" w14:textId="4FC67156" w:rsidR="004370DA" w:rsidRDefault="00000000" w:rsidP="00AD67C5">
      <w:pPr>
        <w:pStyle w:val="BodyText"/>
        <w:spacing w:line="480" w:lineRule="auto"/>
        <w:jc w:val="center"/>
      </w:pPr>
      <m:oMath>
        <m:m>
          <m:mPr>
            <m:plcHide m:val="1"/>
            <m:mcs>
              <m:mc>
                <m:mcPr>
                  <m:count m:val="1"/>
                  <m:mcJc m:val="right"/>
                </m:mcPr>
              </m:mc>
            </m:mcs>
            <m:ctrlPr>
              <w:rPr>
                <w:rFonts w:ascii="Cambria Math" w:hAnsi="Cambria Math"/>
              </w:rPr>
            </m:ctrlPr>
          </m:mPr>
          <m:mr>
            <m:e>
              <m:sSubSup>
                <m:sSubSupPr>
                  <m:ctrlPr>
                    <w:rPr>
                      <w:rFonts w:ascii="Cambria Math" w:hAnsi="Cambria Math"/>
                    </w:rPr>
                  </m:ctrlPr>
                </m:sSubSupPr>
                <m:e>
                  <m:r>
                    <w:rPr>
                      <w:rFonts w:ascii="Cambria Math" w:hAnsi="Cambria Math"/>
                    </w:rPr>
                    <m:t>x</m:t>
                  </m:r>
                </m:e>
                <m:sub>
                  <m:r>
                    <m:rPr>
                      <m:sty m:val="p"/>
                    </m:rPr>
                    <w:rPr>
                      <w:rFonts w:ascii="Cambria Math" w:hAnsi="Cambria Math"/>
                    </w:rPr>
                    <m:t>⋆</m:t>
                  </m:r>
                </m:sub>
                <m:sup>
                  <m:r>
                    <w:rPr>
                      <w:rFonts w:ascii="Cambria Math" w:hAnsi="Cambria Math"/>
                    </w:rPr>
                    <m:t>t</m:t>
                  </m:r>
                  <m:r>
                    <m:rPr>
                      <m:sty m:val="p"/>
                    </m:rPr>
                    <w:rPr>
                      <w:rFonts w:ascii="Cambria Math" w:hAnsi="Cambria Math"/>
                    </w:rPr>
                    <m:t>+</m:t>
                  </m:r>
                  <m:r>
                    <w:rPr>
                      <w:rFonts w:ascii="Cambria Math" w:hAnsi="Cambria Math"/>
                    </w:rPr>
                    <m:t>δ</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arg min</m:t>
                  </m:r>
                </m:e>
                <m:sub>
                  <m:r>
                    <w:rPr>
                      <w:rFonts w:ascii="Cambria Math" w:hAnsi="Cambria Math"/>
                    </w:rPr>
                    <m:t>y</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τ</m:t>
                      </m:r>
                      <m:r>
                        <m:rPr>
                          <m:sty m:val="p"/>
                        </m:rPr>
                        <w:rPr>
                          <w:rFonts w:ascii="Cambria Math" w:hAnsi="Cambria Math"/>
                        </w:rPr>
                        <m:t>≦</m:t>
                      </m:r>
                      <m:r>
                        <w:rPr>
                          <w:rFonts w:ascii="Cambria Math" w:hAnsi="Cambria Math"/>
                        </w:rPr>
                        <m:t>t</m:t>
                      </m:r>
                    </m:sub>
                  </m:sSub>
                  <m:sSup>
                    <m:sSupPr>
                      <m:ctrlPr>
                        <w:rPr>
                          <w:rFonts w:ascii="Cambria Math" w:hAnsi="Cambria Math"/>
                        </w:rPr>
                      </m:ctrlPr>
                    </m:sSupPr>
                    <m:e>
                      <m:r>
                        <w:rPr>
                          <w:rFonts w:ascii="Cambria Math" w:hAnsi="Cambria Math"/>
                        </w:rPr>
                        <m:t>H</m:t>
                      </m:r>
                    </m:e>
                    <m:sup>
                      <m:r>
                        <w:rPr>
                          <w:rFonts w:ascii="Cambria Math" w:hAnsi="Cambria Math"/>
                        </w:rPr>
                        <m:t>τ</m:t>
                      </m:r>
                    </m:sup>
                  </m:sSup>
                </m:sub>
              </m:sSub>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t</m:t>
                          </m:r>
                        </m:sup>
                      </m:sSup>
                    </m:sub>
                    <m:sup>
                      <m:r>
                        <w:rPr>
                          <w:rFonts w:ascii="Cambria Math" w:hAnsi="Cambria Math"/>
                        </w:rPr>
                        <m:t>​</m:t>
                      </m:r>
                    </m:sup>
                    <m:e>
                      <m:sSub>
                        <m:sSubPr>
                          <m:ctrlPr>
                            <w:rPr>
                              <w:rFonts w:ascii="Cambria Math" w:hAnsi="Cambria Math"/>
                            </w:rPr>
                          </m:ctrlPr>
                        </m:sSubPr>
                        <m:e>
                          <m:r>
                            <w:rPr>
                              <w:rFonts w:ascii="Cambria Math" w:hAnsi="Cambria Math"/>
                            </w:rPr>
                            <m:t>θ</m:t>
                          </m:r>
                        </m:e>
                        <m:sub>
                          <m:sSub>
                            <m:sSubPr>
                              <m:ctrlPr>
                                <w:rPr>
                                  <w:rFonts w:ascii="Cambria Math" w:hAnsi="Cambria Math"/>
                                </w:rPr>
                              </m:ctrlPr>
                            </m:sSubPr>
                            <m:e>
                              <m:r>
                                <w:rPr>
                                  <w:rFonts w:ascii="Cambria Math" w:hAnsi="Cambria Math"/>
                                </w:rPr>
                                <m:t>m</m:t>
                              </m:r>
                            </m:e>
                            <m:sub>
                              <m:r>
                                <w:rPr>
                                  <w:rFonts w:ascii="Cambria Math" w:hAnsi="Cambria Math"/>
                                </w:rPr>
                                <m:t>t</m:t>
                              </m:r>
                            </m:sub>
                          </m:sSub>
                        </m:sub>
                      </m:sSub>
                    </m:e>
                  </m:nary>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rPr>
                            <m:t>H</m:t>
                          </m:r>
                        </m:e>
                        <m:sup>
                          <m:r>
                            <w:rPr>
                              <w:rFonts w:ascii="Cambria Math" w:hAnsi="Cambria Math"/>
                            </w:rPr>
                            <m:t>t</m:t>
                          </m:r>
                        </m:sup>
                      </m:sSup>
                    </m:e>
                  </m:d>
                  <m:r>
                    <w:rPr>
                      <w:rFonts w:ascii="Cambria Math" w:hAnsi="Cambria Math"/>
                    </w:rPr>
                    <m:t>A</m:t>
                  </m:r>
                  <m:r>
                    <m:rPr>
                      <m:sty m:val="p"/>
                    </m:rPr>
                    <w:rPr>
                      <w:rFonts w:ascii="Cambria Math" w:hAnsi="Cambria Math"/>
                    </w:rPr>
                    <m:t>ln</m:t>
                  </m:r>
                  <m:sSub>
                    <m:sSubPr>
                      <m:ctrlPr>
                        <w:rPr>
                          <w:rFonts w:ascii="Cambria Math" w:hAnsi="Cambria Math"/>
                        </w:rPr>
                      </m:ctrlPr>
                    </m:sSubPr>
                    <m:e>
                      <m:r>
                        <w:rPr>
                          <w:rFonts w:ascii="Cambria Math" w:hAnsi="Cambria Math"/>
                        </w:rPr>
                        <m:t>ω</m:t>
                      </m:r>
                    </m:e>
                    <m:sub>
                      <m:r>
                        <w:rPr>
                          <w:rFonts w:ascii="Cambria Math" w:hAnsi="Cambria Math"/>
                        </w:rPr>
                        <m:t>y</m:t>
                      </m:r>
                    </m:sub>
                  </m:sSub>
                </m:e>
              </m:d>
              <m:r>
                <m:rPr>
                  <m:sty m:val="p"/>
                </m:rPr>
                <w:rPr>
                  <w:rFonts w:ascii="Cambria Math" w:hAnsi="Cambria Math"/>
                </w:rPr>
                <m:t>,</m:t>
              </m:r>
            </m:e>
          </m:mr>
        </m:m>
      </m:oMath>
      <w:r w:rsidR="00154FA1">
        <w:t xml:space="preserve">               (1)</w:t>
      </w:r>
    </w:p>
    <w:p w14:paraId="7FA1AA36" w14:textId="6D5E93A1" w:rsidR="004370DA" w:rsidRDefault="00000000" w:rsidP="00AD67C5">
      <w:pPr>
        <w:spacing w:line="480" w:lineRule="auto"/>
      </w:pPr>
      <w:r>
        <w:t xml:space="preserve">where </w:t>
      </w:r>
      <m:oMath>
        <m:sSup>
          <m:sSupPr>
            <m:ctrlPr>
              <w:rPr>
                <w:rFonts w:ascii="Cambria Math" w:hAnsi="Cambria Math"/>
              </w:rPr>
            </m:ctrlPr>
          </m:sSupPr>
          <m:e>
            <m:r>
              <w:rPr>
                <w:rFonts w:ascii="Cambria Math" w:hAnsi="Cambria Math"/>
              </w:rPr>
              <m:t>H</m:t>
            </m:r>
          </m:e>
          <m:sup>
            <m:r>
              <w:rPr>
                <w:rFonts w:ascii="Cambria Math" w:hAnsi="Cambria Math"/>
              </w:rPr>
              <m:t>t</m:t>
            </m:r>
          </m:sup>
        </m:sSup>
      </m:oMath>
      <w:r>
        <w:t xml:space="preserve"> denotes strains observed in the preceding year, </w:t>
      </w:r>
      <m:oMath>
        <m:sSub>
          <m:sSubPr>
            <m:ctrlPr>
              <w:rPr>
                <w:rFonts w:ascii="Cambria Math" w:hAnsi="Cambria Math"/>
              </w:rPr>
            </m:ctrlPr>
          </m:sSubPr>
          <m:e>
            <m:r>
              <w:rPr>
                <w:rFonts w:ascii="Cambria Math" w:hAnsi="Cambria Math"/>
              </w:rPr>
              <m:t>θ</m:t>
            </m:r>
          </m:e>
          <m:sub>
            <m:sSub>
              <m:sSubPr>
                <m:ctrlPr>
                  <w:rPr>
                    <w:rFonts w:ascii="Cambria Math" w:hAnsi="Cambria Math"/>
                  </w:rPr>
                </m:ctrlPr>
              </m:sSubPr>
              <m:e>
                <m:r>
                  <w:rPr>
                    <w:rFonts w:ascii="Cambria Math" w:hAnsi="Cambria Math"/>
                  </w:rPr>
                  <m:t>m</m:t>
                </m:r>
              </m:e>
              <m:sub>
                <m:r>
                  <w:rPr>
                    <w:rFonts w:ascii="Cambria Math" w:hAnsi="Cambria Math"/>
                  </w:rPr>
                  <m:t>t</m:t>
                </m:r>
              </m:sub>
            </m:sSub>
          </m:sub>
        </m:sSub>
      </m:oMath>
      <w:r>
        <w:t xml:space="preserve"> is the E-distance induced by the Emergenet inferred from </w:t>
      </w:r>
      <m:oMath>
        <m:sSup>
          <m:sSupPr>
            <m:ctrlPr>
              <w:rPr>
                <w:rFonts w:ascii="Cambria Math" w:hAnsi="Cambria Math"/>
              </w:rPr>
            </m:ctrlPr>
          </m:sSupPr>
          <m:e>
            <m:r>
              <w:rPr>
                <w:rFonts w:ascii="Cambria Math" w:hAnsi="Cambria Math"/>
              </w:rPr>
              <m:t>H</m:t>
            </m:r>
          </m:e>
          <m:sup>
            <m:r>
              <w:rPr>
                <w:rFonts w:ascii="Cambria Math" w:hAnsi="Cambria Math"/>
              </w:rPr>
              <m:t>t</m:t>
            </m:r>
          </m:sup>
        </m:sSup>
      </m:oMath>
      <w:r>
        <w:t xml:space="preserve">, </w:t>
      </w:r>
      <m:oMath>
        <m:sSub>
          <m:sSubPr>
            <m:ctrlPr>
              <w:rPr>
                <w:rFonts w:ascii="Cambria Math" w:hAnsi="Cambria Math"/>
              </w:rPr>
            </m:ctrlPr>
          </m:sSubPr>
          <m:e>
            <m:r>
              <w:rPr>
                <w:rFonts w:ascii="Cambria Math" w:hAnsi="Cambria Math"/>
              </w:rPr>
              <m:t>ω</m:t>
            </m:r>
          </m:e>
          <m:sub>
            <m:r>
              <w:rPr>
                <w:rFonts w:ascii="Cambria Math" w:hAnsi="Cambria Math"/>
              </w:rPr>
              <m:t>y</m:t>
            </m:r>
          </m:sub>
        </m:sSub>
        <m:r>
          <m:rPr>
            <m:sty m:val="p"/>
          </m:rPr>
          <w:rPr>
            <w:rFonts w:ascii="Cambria Math" w:hAnsi="Cambria Math"/>
          </w:rPr>
          <m:t>=</m:t>
        </m:r>
        <m:r>
          <w:rPr>
            <w:rFonts w:ascii="Cambria Math" w:hAnsi="Cambria Math"/>
          </w:rPr>
          <m:t>Pr</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y</m:t>
            </m:r>
          </m:e>
        </m:d>
      </m:oMath>
      <w:r>
        <w:t xml:space="preserve"> is the persistence probability proportional to </w:t>
      </w:r>
      <w:r>
        <w:lastRenderedPageBreak/>
        <w:t xml:space="preserve">replicative fitness (see Supplementary Information), and </w:t>
      </w:r>
      <m:oMath>
        <m:r>
          <w:rPr>
            <w:rFonts w:ascii="Cambria Math" w:hAnsi="Cambria Math"/>
          </w:rPr>
          <m:t>A</m:t>
        </m:r>
      </m:oMath>
      <w:r>
        <w:t xml:space="preserve"> is a normalization constant. The first term favors proximity to the centroid of current circulation, while the second penalizes low fitness.</w:t>
      </w:r>
    </w:p>
    <w:p w14:paraId="3DFFFCDC" w14:textId="77777777" w:rsidR="00A54A58" w:rsidRDefault="00A54A58" w:rsidP="00AD67C5">
      <w:pPr>
        <w:spacing w:line="480" w:lineRule="auto"/>
      </w:pPr>
    </w:p>
    <w:p w14:paraId="780BCFA0" w14:textId="77777777" w:rsidR="004370DA" w:rsidRDefault="00000000" w:rsidP="00AD67C5">
      <w:pPr>
        <w:pStyle w:val="BodyText"/>
        <w:spacing w:line="480" w:lineRule="auto"/>
      </w:pPr>
      <w:r>
        <w:t xml:space="preserve">For validation of this scheme, we define the distance to the future circulation at time </w:t>
      </w:r>
      <m:oMath>
        <m:r>
          <w:rPr>
            <w:rFonts w:ascii="Cambria Math" w:hAnsi="Cambria Math"/>
          </w:rPr>
          <m:t>t</m:t>
        </m:r>
        <m:r>
          <m:rPr>
            <m:sty m:val="p"/>
          </m:rPr>
          <w:rPr>
            <w:rFonts w:ascii="Cambria Math" w:hAnsi="Cambria Math"/>
          </w:rPr>
          <m:t>+</m:t>
        </m:r>
        <m:r>
          <w:rPr>
            <w:rFonts w:ascii="Cambria Math" w:hAnsi="Cambria Math"/>
          </w:rPr>
          <m:t>δ</m:t>
        </m:r>
      </m:oMath>
      <w:r>
        <w:t xml:space="preserve"> for sequence </w:t>
      </w:r>
      <m:oMath>
        <m:r>
          <w:rPr>
            <w:rFonts w:ascii="Cambria Math" w:hAnsi="Cambria Math"/>
          </w:rPr>
          <m:t>x</m:t>
        </m:r>
      </m:oMath>
      <w:r>
        <w:t xml:space="preserve"> as the average Hamming distance, </w:t>
      </w:r>
      <m:oMath>
        <m:r>
          <w:rPr>
            <w:rFonts w:ascii="Cambria Math" w:hAnsi="Cambria Math"/>
          </w:rPr>
          <m:t>h</m:t>
        </m:r>
      </m:oMath>
      <w:r>
        <w:t xml:space="preserve">, between </w:t>
      </w:r>
      <m:oMath>
        <m:r>
          <w:rPr>
            <w:rFonts w:ascii="Cambria Math" w:hAnsi="Cambria Math"/>
          </w:rPr>
          <m:t>x</m:t>
        </m:r>
      </m:oMath>
      <w:r>
        <w:t xml:space="preserve"> and each sequence </w:t>
      </w:r>
      <m:oMath>
        <m:r>
          <w:rPr>
            <w:rFonts w:ascii="Cambria Math" w:hAnsi="Cambria Math"/>
          </w:rPr>
          <m:t>y</m:t>
        </m:r>
      </m:oMath>
      <w:r>
        <w:t xml:space="preserve"> in the future population </w:t>
      </w:r>
      <m:oMath>
        <m:sSup>
          <m:sSupPr>
            <m:ctrlPr>
              <w:rPr>
                <w:rFonts w:ascii="Cambria Math" w:hAnsi="Cambria Math"/>
              </w:rPr>
            </m:ctrlPr>
          </m:sSupPr>
          <m:e>
            <m:r>
              <w:rPr>
                <w:rFonts w:ascii="Cambria Math" w:hAnsi="Cambria Math"/>
              </w:rPr>
              <m:t>H</m:t>
            </m:r>
          </m:e>
          <m:sup>
            <m:r>
              <w:rPr>
                <w:rFonts w:ascii="Cambria Math" w:hAnsi="Cambria Math"/>
              </w:rPr>
              <m:t>t</m:t>
            </m:r>
            <m:r>
              <m:rPr>
                <m:sty m:val="p"/>
              </m:rPr>
              <w:rPr>
                <w:rFonts w:ascii="Cambria Math" w:hAnsi="Cambria Math"/>
              </w:rPr>
              <m:t>+</m:t>
            </m:r>
            <m:r>
              <w:rPr>
                <w:rFonts w:ascii="Cambria Math" w:hAnsi="Cambria Math"/>
              </w:rPr>
              <m:t>δ</m:t>
            </m:r>
          </m:sup>
        </m:sSup>
      </m:oMath>
      <w:r>
        <w:t xml:space="preserve">, weighted by its frequency </w:t>
      </w:r>
      <m:oMath>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δ</m:t>
            </m:r>
          </m:sub>
        </m:sSub>
        <m:d>
          <m:dPr>
            <m:ctrlPr>
              <w:rPr>
                <w:rFonts w:ascii="Cambria Math" w:hAnsi="Cambria Math"/>
              </w:rPr>
            </m:ctrlPr>
          </m:dPr>
          <m:e>
            <m:r>
              <w:rPr>
                <w:rFonts w:ascii="Cambria Math" w:hAnsi="Cambria Math"/>
              </w:rPr>
              <m:t>y</m:t>
            </m:r>
          </m:e>
        </m:d>
      </m:oMath>
      <w:r>
        <w:t xml:space="preserve">, following recent evaluation approaches in the literature (Huddleston et al. 2020). We predict one year into the future, </w:t>
      </w:r>
      <m:oMath>
        <m:r>
          <w:rPr>
            <w:rFonts w:ascii="Cambria Math" w:hAnsi="Cambria Math"/>
          </w:rPr>
          <m:t>δ</m:t>
        </m:r>
        <m:r>
          <m:rPr>
            <m:sty m:val="p"/>
          </m:rPr>
          <w:rPr>
            <w:rFonts w:ascii="Cambria Math" w:hAnsi="Cambria Math"/>
          </w:rPr>
          <m:t>=</m:t>
        </m:r>
        <m:r>
          <w:rPr>
            <w:rFonts w:ascii="Cambria Math" w:hAnsi="Cambria Math"/>
          </w:rPr>
          <m:t>1</m:t>
        </m:r>
      </m:oMath>
      <w:r>
        <w:t>, and thus:</w:t>
      </w:r>
    </w:p>
    <w:p w14:paraId="7829309F" w14:textId="730CF6E6" w:rsidR="004370DA" w:rsidRDefault="00000000" w:rsidP="00AD67C5">
      <w:pPr>
        <w:pStyle w:val="BodyText"/>
        <w:spacing w:line="480" w:lineRule="auto"/>
        <w:jc w:val="center"/>
      </w:pPr>
      <m:oMath>
        <m:m>
          <m:mPr>
            <m:plcHide m:val="1"/>
            <m:mcs>
              <m:mc>
                <m:mcPr>
                  <m:count m:val="1"/>
                  <m:mcJc m:val="right"/>
                </m:mcPr>
              </m:mc>
              <m:mc>
                <m:mcPr>
                  <m:count m:val="1"/>
                  <m:mcJc m:val="left"/>
                </m:mcPr>
              </m:mc>
            </m:mcs>
            <m:ctrlPr>
              <w:rPr>
                <w:rFonts w:ascii="Cambria Math" w:hAnsi="Cambria Math"/>
              </w:rPr>
            </m:ctrlPr>
          </m:mPr>
          <m:mr>
            <m:e/>
            <m:e>
              <m:sSub>
                <m:sSubPr>
                  <m:ctrlPr>
                    <w:rPr>
                      <w:rFonts w:ascii="Cambria Math" w:hAnsi="Cambria Math"/>
                    </w:rPr>
                  </m:ctrlPr>
                </m:sSubPr>
                <m:e>
                  <m:r>
                    <w:rPr>
                      <w:rFonts w:ascii="Cambria Math" w:hAnsi="Cambria Math"/>
                    </w:rPr>
                    <m:t>d</m:t>
                  </m:r>
                </m:e>
                <m:sub>
                  <m:r>
                    <w:rPr>
                      <w:rFonts w:ascii="Cambria Math" w:hAnsi="Cambria Math"/>
                    </w:rPr>
                    <m:t>δ</m:t>
                  </m:r>
                </m:sub>
              </m:sSub>
              <m:d>
                <m:dPr>
                  <m:ctrlPr>
                    <w:rPr>
                      <w:rFonts w:ascii="Cambria Math" w:hAnsi="Cambria Math"/>
                    </w:rPr>
                  </m:ctrlPr>
                </m:dPr>
                <m:e>
                  <m:r>
                    <w:rPr>
                      <w:rFonts w:ascii="Cambria Math" w:hAnsi="Cambria Math"/>
                    </w:rPr>
                    <m:t>x</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y</m:t>
                  </m:r>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t</m:t>
                      </m:r>
                      <m:r>
                        <m:rPr>
                          <m:sty m:val="p"/>
                        </m:rPr>
                        <w:rPr>
                          <w:rFonts w:ascii="Cambria Math" w:hAnsi="Cambria Math"/>
                        </w:rPr>
                        <m:t>+</m:t>
                      </m:r>
                      <m:r>
                        <w:rPr>
                          <w:rFonts w:ascii="Cambria Math" w:hAnsi="Cambria Math"/>
                        </w:rPr>
                        <m:t>δ</m:t>
                      </m:r>
                    </m:sup>
                  </m:sSup>
                </m:sub>
                <m:sup>
                  <m:r>
                    <w:rPr>
                      <w:rFonts w:ascii="Cambria Math" w:hAnsi="Cambria Math"/>
                    </w:rPr>
                    <m:t>​</m:t>
                  </m:r>
                </m:sup>
                <m:e>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δ</m:t>
                      </m:r>
                    </m:sub>
                  </m:sSub>
                </m:e>
              </m:nary>
              <m:d>
                <m:dPr>
                  <m:ctrlPr>
                    <w:rPr>
                      <w:rFonts w:ascii="Cambria Math" w:hAnsi="Cambria Math"/>
                    </w:rPr>
                  </m:ctrlPr>
                </m:dPr>
                <m:e>
                  <m:r>
                    <w:rPr>
                      <w:rFonts w:ascii="Cambria Math" w:hAnsi="Cambria Math"/>
                    </w:rPr>
                    <m:t>y</m:t>
                  </m:r>
                </m:e>
              </m:d>
              <m:r>
                <w:rPr>
                  <w:rFonts w:ascii="Cambria Math" w:hAnsi="Cambria Math"/>
                </w:rPr>
                <m:t>h</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mr>
        </m:m>
      </m:oMath>
      <w:r w:rsidR="00154FA1">
        <w:t xml:space="preserve">                (2)</w:t>
      </w:r>
    </w:p>
    <w:p w14:paraId="5F3B3B92" w14:textId="116E7F3F" w:rsidR="004370DA" w:rsidRDefault="00000000" w:rsidP="00AD67C5">
      <w:pPr>
        <w:spacing w:line="480" w:lineRule="auto"/>
      </w:pPr>
      <w:r>
        <w:t>In Eq. </w:t>
      </w:r>
      <w:r w:rsidR="00154FA1">
        <w:t>1</w:t>
      </w:r>
      <w:r>
        <w:t xml:space="preserve">, we are </w:t>
      </w:r>
      <w:proofErr w:type="gramStart"/>
      <w:r>
        <w:t>making the assumption</w:t>
      </w:r>
      <w:proofErr w:type="gramEnd"/>
      <w:r>
        <w:t xml:space="preserve"> that </w:t>
      </w:r>
      <m:oMath>
        <m:sSup>
          <m:sSupPr>
            <m:ctrlPr>
              <w:rPr>
                <w:rFonts w:ascii="Cambria Math" w:hAnsi="Cambria Math"/>
              </w:rPr>
            </m:ctrlPr>
          </m:sSupPr>
          <m:e>
            <m:r>
              <w:rPr>
                <w:rFonts w:ascii="Cambria Math" w:hAnsi="Cambria Math"/>
              </w:rPr>
              <m:t>H</m:t>
            </m:r>
          </m:e>
          <m:sup>
            <m:r>
              <w:rPr>
                <w:rFonts w:ascii="Cambria Math" w:hAnsi="Cambria Math"/>
              </w:rPr>
              <m:t>t</m:t>
            </m:r>
          </m:sup>
        </m:sSup>
      </m:oMath>
      <w:r>
        <w:t xml:space="preserve"> is a single cluster of strains. In practice, this might not be the case; we often see several distinct clusters arise in each season, which are functionally similar to the notion of clades (Huddleston et al. 2020). Identifying clusters on the E-distance matrix </w:t>
      </w:r>
      <m:oMath>
        <m:sSubSup>
          <m:sSubSupPr>
            <m:ctrlPr>
              <w:rPr>
                <w:rFonts w:ascii="Cambria Math" w:hAnsi="Cambria Math"/>
              </w:rPr>
            </m:ctrlPr>
          </m:sSubSupPr>
          <m:e>
            <m:r>
              <w:rPr>
                <w:rFonts w:ascii="Cambria Math" w:hAnsi="Cambria Math"/>
              </w:rPr>
              <m:t>H</m:t>
            </m:r>
          </m:e>
          <m:sub>
            <m:r>
              <w:rPr>
                <w:rFonts w:ascii="Cambria Math" w:hAnsi="Cambria Math"/>
              </w:rPr>
              <m:t>1</m:t>
            </m:r>
          </m:sub>
          <m:sup>
            <m:r>
              <w:rPr>
                <w:rFonts w:ascii="Cambria Math" w:hAnsi="Cambria Math"/>
              </w:rPr>
              <m:t>t</m:t>
            </m:r>
          </m:sup>
        </m:sSubSup>
        <m:r>
          <m:rPr>
            <m:sty m:val="p"/>
          </m:rP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2</m:t>
            </m:r>
          </m:sub>
          <m:sup>
            <m:r>
              <w:rPr>
                <w:rFonts w:ascii="Cambria Math" w:hAnsi="Cambria Math"/>
              </w:rPr>
              <m:t>t</m:t>
            </m:r>
          </m:sup>
        </m:sSubSup>
        <m:r>
          <m:rPr>
            <m:sty m:val="p"/>
          </m:rP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n</m:t>
            </m:r>
          </m:sub>
          <m:sup>
            <m:r>
              <w:rPr>
                <w:rFonts w:ascii="Cambria Math" w:hAnsi="Cambria Math"/>
              </w:rPr>
              <m:t>t</m:t>
            </m:r>
          </m:sup>
        </m:sSubSup>
      </m:oMath>
      <w:r>
        <w:t xml:space="preserve"> with </w:t>
      </w:r>
      <m:oMath>
        <m:sSubSup>
          <m:sSubSupPr>
            <m:ctrlPr>
              <w:rPr>
                <w:rFonts w:ascii="Cambria Math" w:hAnsi="Cambria Math"/>
              </w:rPr>
            </m:ctrlPr>
          </m:sSubSupPr>
          <m:e>
            <m:r>
              <m:rPr>
                <m:sty m:val="p"/>
              </m:rPr>
              <w:rPr>
                <w:rFonts w:ascii="Cambria Math" w:hAnsi="Cambria Math"/>
              </w:rPr>
              <m:t>⋃</m:t>
            </m:r>
          </m:e>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sSubSup>
        <m:sSubSup>
          <m:sSubSupPr>
            <m:ctrlPr>
              <w:rPr>
                <w:rFonts w:ascii="Cambria Math" w:hAnsi="Cambria Math"/>
              </w:rPr>
            </m:ctrlPr>
          </m:sSubSupPr>
          <m:e>
            <m:r>
              <w:rPr>
                <w:rFonts w:ascii="Cambria Math" w:hAnsi="Cambria Math"/>
              </w:rPr>
              <m:t>H</m:t>
            </m:r>
          </m:e>
          <m:sub>
            <m:r>
              <w:rPr>
                <w:rFonts w:ascii="Cambria Math" w:hAnsi="Cambria Math"/>
              </w:rPr>
              <m:t>i</m:t>
            </m:r>
          </m:sub>
          <m:sup>
            <m:r>
              <w:rPr>
                <w:rFonts w:ascii="Cambria Math" w:hAnsi="Cambria Math"/>
              </w:rPr>
              <m:t>t</m:t>
            </m:r>
          </m:sup>
        </m:sSubSup>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t</m:t>
            </m:r>
          </m:sup>
        </m:sSup>
      </m:oMath>
      <w:r>
        <w:t xml:space="preserve">, we compute cluster-specific predictions </w:t>
      </w:r>
      <m:oMath>
        <m:sSubSup>
          <m:sSubSupPr>
            <m:ctrlPr>
              <w:rPr>
                <w:rFonts w:ascii="Cambria Math" w:hAnsi="Cambria Math"/>
              </w:rPr>
            </m:ctrlPr>
          </m:sSubSupPr>
          <m:e>
            <m:r>
              <w:rPr>
                <w:rFonts w:ascii="Cambria Math" w:hAnsi="Cambria Math"/>
              </w:rPr>
              <m:t>x</m:t>
            </m:r>
          </m:e>
          <m:sub>
            <m:r>
              <w:rPr>
                <w:rFonts w:ascii="Cambria Math" w:hAnsi="Cambria Math"/>
              </w:rPr>
              <m:t>i</m:t>
            </m:r>
            <m:r>
              <m:rPr>
                <m:sty m:val="p"/>
              </m:rPr>
              <w:rPr>
                <w:rFonts w:ascii="Cambria Math" w:hAnsi="Cambria Math"/>
              </w:rPr>
              <m:t>*</m:t>
            </m:r>
          </m:sub>
          <m:sup>
            <m:r>
              <w:rPr>
                <w:rFonts w:ascii="Cambria Math" w:hAnsi="Cambria Math"/>
              </w:rPr>
              <m:t>t</m:t>
            </m:r>
            <m:r>
              <m:rPr>
                <m:sty m:val="p"/>
              </m:rPr>
              <w:rPr>
                <w:rFonts w:ascii="Cambria Math" w:hAnsi="Cambria Math"/>
              </w:rPr>
              <m:t>+</m:t>
            </m:r>
            <m:r>
              <w:rPr>
                <w:rFonts w:ascii="Cambria Math" w:hAnsi="Cambria Math"/>
              </w:rPr>
              <m:t>δ</m:t>
            </m:r>
          </m:sup>
        </m:sSubSup>
      </m:oMath>
      <w:r>
        <w:t xml:space="preserve"> using Eq.</w:t>
      </w:r>
      <w:r w:rsidR="00856F16">
        <w:t xml:space="preserve"> (1)</w:t>
      </w:r>
      <w:r>
        <w:t xml:space="preserve">, and obtain the unique vaccine recommendation as the weighted centroid of these cluster-specific recommendations, where the weights are the cluster sizes, </w:t>
      </w:r>
      <m:oMath>
        <m:r>
          <w:rPr>
            <w:rFonts w:ascii="Cambria Math" w:hAnsi="Cambria Math"/>
          </w:rPr>
          <m:t>i</m:t>
        </m:r>
        <m:r>
          <m:rPr>
            <m:sty m:val="p"/>
          </m:rPr>
          <w:rPr>
            <w:rFonts w:ascii="Cambria Math" w:hAnsi="Cambria Math"/>
          </w:rPr>
          <m:t>.</m:t>
        </m:r>
        <m:r>
          <w:rPr>
            <w:rFonts w:ascii="Cambria Math" w:hAnsi="Cambria Math"/>
          </w:rPr>
          <m:t>e</m:t>
        </m:r>
        <m:r>
          <m:rPr>
            <m:sty m:val="p"/>
          </m:rPr>
          <w:rPr>
            <w:rFonts w:ascii="Cambria Math" w:hAnsi="Cambria Math"/>
          </w:rPr>
          <m:t>.</m:t>
        </m:r>
      </m:oMath>
      <w:r>
        <w:t>:</w:t>
      </w:r>
    </w:p>
    <w:p w14:paraId="7E693AF5" w14:textId="5666F5D7" w:rsidR="004370DA" w:rsidRDefault="00000000" w:rsidP="00AD67C5">
      <w:pPr>
        <w:pStyle w:val="BodyText"/>
        <w:spacing w:line="480" w:lineRule="auto"/>
        <w:jc w:val="center"/>
      </w:pPr>
      <m:oMath>
        <m:m>
          <m:mPr>
            <m:plcHide m:val="1"/>
            <m:mcs>
              <m:mc>
                <m:mcPr>
                  <m:count m:val="1"/>
                  <m:mcJc m:val="center"/>
                </m:mcPr>
              </m:mc>
            </m:mcs>
            <m:ctrlPr>
              <w:rPr>
                <w:rFonts w:ascii="Cambria Math" w:hAnsi="Cambria Math"/>
              </w:rPr>
            </m:ctrlPr>
          </m:mPr>
          <m:mr>
            <m:e>
              <m:sSubSup>
                <m:sSubSupPr>
                  <m:ctrlPr>
                    <w:rPr>
                      <w:rFonts w:ascii="Cambria Math" w:hAnsi="Cambria Math"/>
                    </w:rPr>
                  </m:ctrlPr>
                </m:sSubSupPr>
                <m:e>
                  <m:r>
                    <w:rPr>
                      <w:rFonts w:ascii="Cambria Math" w:hAnsi="Cambria Math"/>
                    </w:rPr>
                    <m:t>x</m:t>
                  </m:r>
                </m:e>
                <m:sub>
                  <m:r>
                    <m:rPr>
                      <m:sty m:val="p"/>
                    </m:rPr>
                    <w:rPr>
                      <w:rFonts w:ascii="Cambria Math" w:hAnsi="Cambria Math"/>
                    </w:rPr>
                    <m:t>⋆</m:t>
                  </m:r>
                </m:sub>
                <m:sup>
                  <m:r>
                    <w:rPr>
                      <w:rFonts w:ascii="Cambria Math" w:hAnsi="Cambria Math"/>
                    </w:rPr>
                    <m:t>t</m:t>
                  </m:r>
                  <m:r>
                    <m:rPr>
                      <m:sty m:val="p"/>
                    </m:rPr>
                    <w:rPr>
                      <w:rFonts w:ascii="Cambria Math" w:hAnsi="Cambria Math"/>
                    </w:rPr>
                    <m:t>+</m:t>
                  </m:r>
                  <m:r>
                    <w:rPr>
                      <w:rFonts w:ascii="Cambria Math" w:hAnsi="Cambria Math"/>
                    </w:rPr>
                    <m:t>δ</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arg min</m:t>
                  </m:r>
                </m:e>
                <m:sub>
                  <m:r>
                    <w:rPr>
                      <w:rFonts w:ascii="Cambria Math" w:hAnsi="Cambria Math"/>
                    </w:rPr>
                    <m:t>x</m:t>
                  </m:r>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r>
                        <m:rPr>
                          <m:sty m:val="p"/>
                        </m:rPr>
                        <w:rPr>
                          <w:rFonts w:ascii="Cambria Math" w:hAnsi="Cambria Math"/>
                        </w:rPr>
                        <m:t>*</m:t>
                      </m:r>
                    </m:sub>
                    <m:sup>
                      <m:r>
                        <w:rPr>
                          <w:rFonts w:ascii="Cambria Math" w:hAnsi="Cambria Math"/>
                        </w:rPr>
                        <m:t>t</m:t>
                      </m:r>
                      <m:r>
                        <m:rPr>
                          <m:sty m:val="p"/>
                        </m:rPr>
                        <w:rPr>
                          <w:rFonts w:ascii="Cambria Math" w:hAnsi="Cambria Math"/>
                        </w:rPr>
                        <m:t>+</m:t>
                      </m:r>
                      <m:r>
                        <w:rPr>
                          <w:rFonts w:ascii="Cambria Math" w:hAnsi="Cambria Math"/>
                        </w:rPr>
                        <m:t>δ</m:t>
                      </m:r>
                    </m:sup>
                  </m:sSubSup>
                  <m:r>
                    <m:rPr>
                      <m:sty m:val="p"/>
                    </m:rPr>
                    <w:rPr>
                      <w:rFonts w:ascii="Cambria Math" w:hAnsi="Cambria Math"/>
                    </w:rPr>
                    <m:t>}</m:t>
                  </m:r>
                </m:sub>
              </m:sSub>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h</m:t>
                  </m:r>
                </m:e>
              </m:nary>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i</m:t>
                      </m:r>
                      <m:r>
                        <m:rPr>
                          <m:sty m:val="p"/>
                        </m:rPr>
                        <w:rPr>
                          <w:rFonts w:ascii="Cambria Math" w:hAnsi="Cambria Math"/>
                        </w:rPr>
                        <m:t>*</m:t>
                      </m:r>
                    </m:sub>
                    <m:sup>
                      <m:r>
                        <w:rPr>
                          <w:rFonts w:ascii="Cambria Math" w:hAnsi="Cambria Math"/>
                        </w:rPr>
                        <m:t>t</m:t>
                      </m:r>
                      <m:r>
                        <m:rPr>
                          <m:sty m:val="p"/>
                        </m:rPr>
                        <w:rPr>
                          <w:rFonts w:ascii="Cambria Math" w:hAnsi="Cambria Math"/>
                        </w:rPr>
                        <m:t>+</m:t>
                      </m:r>
                      <m:r>
                        <w:rPr>
                          <w:rFonts w:ascii="Cambria Math" w:hAnsi="Cambria Math"/>
                        </w:rPr>
                        <m:t>δ</m:t>
                      </m:r>
                    </m:sup>
                  </m:sSubSup>
                  <m:r>
                    <m:rPr>
                      <m:sty m:val="p"/>
                    </m:rPr>
                    <w:rPr>
                      <w:rFonts w:ascii="Cambria Math" w:hAnsi="Cambria Math"/>
                    </w:rPr>
                    <m:t>,</m:t>
                  </m:r>
                  <m:r>
                    <w:rPr>
                      <w:rFonts w:ascii="Cambria Math" w:hAnsi="Cambria Math"/>
                    </w:rPr>
                    <m:t>x</m:t>
                  </m:r>
                </m:e>
              </m:d>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H</m:t>
                      </m:r>
                    </m:e>
                    <m:sub>
                      <m:r>
                        <w:rPr>
                          <w:rFonts w:ascii="Cambria Math" w:hAnsi="Cambria Math"/>
                        </w:rPr>
                        <m:t>i</m:t>
                      </m:r>
                    </m:sub>
                    <m:sup>
                      <m:r>
                        <w:rPr>
                          <w:rFonts w:ascii="Cambria Math" w:hAnsi="Cambria Math"/>
                        </w:rPr>
                        <m:t>t</m:t>
                      </m:r>
                    </m:sup>
                  </m:sSubSup>
                </m:e>
              </m:d>
            </m:e>
          </m:mr>
        </m:m>
      </m:oMath>
      <w:r w:rsidR="00154FA1">
        <w:t xml:space="preserve">                  (3)</w:t>
      </w:r>
    </w:p>
    <w:p w14:paraId="2607D0ED" w14:textId="746E72B8" w:rsidR="004370DA" w:rsidRDefault="00000000" w:rsidP="00AD67C5">
      <w:pPr>
        <w:spacing w:line="480" w:lineRule="auto"/>
      </w:pPr>
      <w:r>
        <w:t xml:space="preserve">Using instantaneous clusters instead of standard clades allows for simplified calculations with no phylogenetic tree construction. This approach, which while possibly losing some information related to common ancestors, actually improves predictive performance. Also, we can make multiple predictions per season, </w:t>
      </w:r>
      <m:oMath>
        <m:r>
          <w:rPr>
            <w:rFonts w:ascii="Cambria Math" w:hAnsi="Cambria Math"/>
          </w:rPr>
          <m:t>e</m:t>
        </m:r>
        <m:r>
          <m:rPr>
            <m:sty m:val="p"/>
          </m:rPr>
          <w:rPr>
            <w:rFonts w:ascii="Cambria Math" w:hAnsi="Cambria Math"/>
          </w:rPr>
          <m:t>.</m:t>
        </m:r>
        <m:r>
          <w:rPr>
            <w:rFonts w:ascii="Cambria Math" w:hAnsi="Cambria Math"/>
          </w:rPr>
          <m:t>g</m:t>
        </m:r>
        <m:r>
          <m:rPr>
            <m:sty m:val="p"/>
          </m:rPr>
          <w:rPr>
            <w:rFonts w:ascii="Cambria Math" w:hAnsi="Cambria Math"/>
          </w:rPr>
          <m:t>.</m:t>
        </m:r>
      </m:oMath>
      <w:r>
        <w:t>, reporting the recommendations of the two largest clusters, as is shown in Fig. </w:t>
      </w:r>
      <w:r w:rsidR="00154FA1">
        <w:t xml:space="preserve">2 </w:t>
      </w:r>
      <w:r>
        <w:t>g-j, which dramatically improves predictive performance as expected.</w:t>
      </w:r>
    </w:p>
    <w:p w14:paraId="14E6DA9C" w14:textId="77777777" w:rsidR="004370DA" w:rsidRDefault="00000000" w:rsidP="00AD67C5">
      <w:pPr>
        <w:pStyle w:val="Heading4"/>
        <w:spacing w:line="480" w:lineRule="auto"/>
      </w:pPr>
      <w:bookmarkStart w:id="7" w:name="X3255ae5341d3de97f842128e110c3036eadf282"/>
      <w:bookmarkEnd w:id="6"/>
      <w:r>
        <w:lastRenderedPageBreak/>
        <w:t>Estimating Emergence Risk (E-risk) of Non-human Strains</w:t>
      </w:r>
    </w:p>
    <w:p w14:paraId="775D4339" w14:textId="06F85522" w:rsidR="004370DA" w:rsidRDefault="00000000" w:rsidP="00AD67C5">
      <w:pPr>
        <w:spacing w:line="480" w:lineRule="auto"/>
      </w:pPr>
      <w:r>
        <w:t>We aim to quantify the emergence potential of animal strains that do not yet circulate in humans, basing such inference on sequence information alone (of a strain in question, and the circulating population in which it is observed). While modeling approaches for seasonal vaccine strain choice has been explored before, the problem of modeling emergence risk for animal strains is largely open. We propose a time-dependent Emergence Potential score E-risk</w:t>
      </w:r>
      <w:r w:rsidR="00154FA1">
        <w:t xml:space="preserve"> (</w:t>
      </w:r>
      <m:oMath>
        <m:sSub>
          <m:sSubPr>
            <m:ctrlPr>
              <w:rPr>
                <w:rFonts w:ascii="Cambria Math" w:hAnsi="Cambria Math"/>
              </w:rPr>
            </m:ctrlPr>
          </m:sSubPr>
          <m:e>
            <m:r>
              <w:rPr>
                <w:rFonts w:ascii="Cambria Math" w:hAnsi="Cambria Math"/>
              </w:rPr>
              <m:t>ρ</m:t>
            </m:r>
          </m:e>
          <m:sub>
            <m:r>
              <w:rPr>
                <w:rFonts w:ascii="Cambria Math" w:hAnsi="Cambria Math"/>
              </w:rPr>
              <m:t>t</m:t>
            </m:r>
          </m:sub>
        </m:sSub>
        <m:d>
          <m:dPr>
            <m:ctrlPr>
              <w:rPr>
                <w:rFonts w:ascii="Cambria Math" w:hAnsi="Cambria Math"/>
              </w:rPr>
            </m:ctrlPr>
          </m:dPr>
          <m:e>
            <m:r>
              <w:rPr>
                <w:rFonts w:ascii="Cambria Math" w:hAnsi="Cambria Math"/>
              </w:rPr>
              <m:t>x</m:t>
            </m:r>
          </m:e>
        </m:d>
      </m:oMath>
      <w:r w:rsidR="00154FA1">
        <w:t>)</w:t>
      </w:r>
      <w:r>
        <w:t xml:space="preserve"> for an animal strain </w:t>
      </w:r>
      <m:oMath>
        <m:r>
          <w:rPr>
            <w:rFonts w:ascii="Cambria Math" w:hAnsi="Cambria Math"/>
          </w:rPr>
          <m:t>x</m:t>
        </m:r>
      </m:oMath>
      <w:r>
        <w:t xml:space="preserve"> in Eq. </w:t>
      </w:r>
      <w:r w:rsidR="00154FA1">
        <w:t>4</w:t>
      </w:r>
      <w:r>
        <w:t>. Our risk measure is defined as the negative logarithm of the geometric mean of minimum E-distance to recent human HA and NA sequences, where the E-distance correspond to Emergenets constructed in a subtype specific manner from human sequences.</w:t>
      </w:r>
    </w:p>
    <w:p w14:paraId="4FE8D685" w14:textId="77777777" w:rsidR="004370DA" w:rsidRDefault="00000000" w:rsidP="00AD67C5">
      <w:pPr>
        <w:pStyle w:val="BodyText"/>
        <w:spacing w:line="480" w:lineRule="auto"/>
      </w:pPr>
      <w:r>
        <w:t xml:space="preserve">For any strain </w:t>
      </w:r>
      <m:oMath>
        <m:r>
          <w:rPr>
            <w:rFonts w:ascii="Cambria Math" w:hAnsi="Cambria Math"/>
          </w:rPr>
          <m:t>y</m:t>
        </m:r>
      </m:oMath>
      <w:r>
        <w:t xml:space="preserve">, we denote the HA and NA sequences as </w:t>
      </w:r>
      <m:oMath>
        <m:sSup>
          <m:sSupPr>
            <m:ctrlPr>
              <w:rPr>
                <w:rFonts w:ascii="Cambria Math" w:hAnsi="Cambria Math"/>
              </w:rPr>
            </m:ctrlPr>
          </m:sSupPr>
          <m:e>
            <m:r>
              <w:rPr>
                <w:rFonts w:ascii="Cambria Math" w:hAnsi="Cambria Math"/>
              </w:rPr>
              <m:t>y</m:t>
            </m:r>
          </m:e>
          <m:sup>
            <m:r>
              <m:rPr>
                <m:scr m:val="script"/>
                <m:sty m:val="p"/>
              </m:rPr>
              <w:rPr>
                <w:rFonts w:ascii="Cambria Math" w:hAnsi="Cambria Math"/>
              </w:rPr>
              <m:t>H</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m:rPr>
                <m:scr m:val="script"/>
                <m:sty m:val="p"/>
              </m:rPr>
              <w:rPr>
                <w:rFonts w:ascii="Cambria Math" w:hAnsi="Cambria Math"/>
              </w:rPr>
              <m:t>N</m:t>
            </m:r>
          </m:sup>
        </m:sSup>
      </m:oMath>
      <w:r>
        <w:t xml:space="preserve"> respectively, and for a E-distance function induced for Emergenet</w:t>
      </w:r>
      <m:oMath>
        <m:r>
          <w:rPr>
            <w:rFonts w:ascii="Cambria Math" w:hAnsi="Cambria Math"/>
          </w:rPr>
          <m:t>r</m:t>
        </m:r>
      </m:oMath>
      <w:r>
        <w:t xml:space="preserve"> is denoted as </w:t>
      </w:r>
      <m:oMath>
        <m:sSub>
          <m:sSubPr>
            <m:ctrlPr>
              <w:rPr>
                <w:rFonts w:ascii="Cambria Math" w:hAnsi="Cambria Math"/>
              </w:rPr>
            </m:ctrlPr>
          </m:sSubPr>
          <m:e>
            <m:r>
              <w:rPr>
                <w:rFonts w:ascii="Cambria Math" w:hAnsi="Cambria Math"/>
              </w:rPr>
              <m:t>θ</m:t>
            </m:r>
          </m:e>
          <m:sub>
            <m:r>
              <w:rPr>
                <w:rFonts w:ascii="Cambria Math" w:hAnsi="Cambria Math"/>
              </w:rPr>
              <m:t>r</m:t>
            </m:r>
          </m:sub>
        </m:sSub>
        <m:d>
          <m:dPr>
            <m:ctrlPr>
              <w:rPr>
                <w:rFonts w:ascii="Cambria Math" w:hAnsi="Cambria Math"/>
              </w:rPr>
            </m:ctrlPr>
          </m:dPr>
          <m:e>
            <m:r>
              <m:rPr>
                <m:sty m:val="p"/>
              </m:rPr>
              <w:rPr>
                <w:rFonts w:ascii="Cambria Math" w:hAnsi="Cambria Math"/>
              </w:rPr>
              <m:t>⋅,⋅</m:t>
            </m:r>
          </m:e>
        </m:d>
      </m:oMath>
      <w:r>
        <w:t xml:space="preserve">. To validate our score against CDC-estimated IRAT emergence scores using E-risk, we constructed Emergenet models for HA and NA sequences using subtype-specific human strains, collected within the year prior to the assessment date, </w:t>
      </w:r>
      <w:r>
        <w:rPr>
          <w:i/>
          <w:iCs/>
        </w:rPr>
        <w:t>e.g.</w:t>
      </w:r>
      <w:r>
        <w:t>, the assessment date for A/swine/Shandong/1207/2016 is 06/2020, and we use all human strains collected between 01/07/2019 and 06/30/2020 for the Emergenet inference. More specifically, for each HA subtype for which sufficient number of sequences are collected in the span of one year leading up to that point (</w:t>
      </w:r>
      <m:oMath>
        <m:r>
          <w:rPr>
            <w:rFonts w:ascii="Cambria Math" w:hAnsi="Cambria Math"/>
          </w:rPr>
          <m:t>e</m:t>
        </m:r>
        <m:r>
          <m:rPr>
            <m:sty m:val="p"/>
          </m:rPr>
          <w:rPr>
            <w:rFonts w:ascii="Cambria Math" w:hAnsi="Cambria Math"/>
          </w:rPr>
          <m:t>.</m:t>
        </m:r>
        <m:r>
          <w:rPr>
            <w:rFonts w:ascii="Cambria Math" w:hAnsi="Cambria Math"/>
          </w:rPr>
          <m:t>g</m:t>
        </m:r>
        <m:r>
          <m:rPr>
            <m:sty m:val="p"/>
          </m:rPr>
          <w:rPr>
            <w:rFonts w:ascii="Cambria Math" w:hAnsi="Cambria Math"/>
          </w:rPr>
          <m:t>.</m:t>
        </m:r>
      </m:oMath>
      <w:r>
        <w:t xml:space="preserve"> H1Nx, H3Nx, etc.), we construct a separate Emergenet model. The set of all Emergenet models so inferred for HA strains are denoted as </w:t>
      </w:r>
      <m:oMath>
        <m:sSup>
          <m:sSupPr>
            <m:ctrlPr>
              <w:rPr>
                <w:rFonts w:ascii="Cambria Math" w:hAnsi="Cambria Math"/>
              </w:rPr>
            </m:ctrlPr>
          </m:sSupPr>
          <m:e>
            <m:r>
              <m:rPr>
                <m:scr m:val="double-struck"/>
                <m:sty m:val="p"/>
              </m:rPr>
              <w:rPr>
                <w:rFonts w:ascii="Cambria Math" w:hAnsi="Cambria Math"/>
              </w:rPr>
              <m:t>E</m:t>
            </m:r>
          </m:e>
          <m:sup>
            <m:r>
              <m:rPr>
                <m:scr m:val="script"/>
                <m:sty m:val="p"/>
              </m:rPr>
              <w:rPr>
                <w:rFonts w:ascii="Cambria Math" w:hAnsi="Cambria Math"/>
              </w:rPr>
              <m:t>H</m:t>
            </m:r>
          </m:sup>
        </m:sSup>
      </m:oMath>
      <w:r>
        <w:t xml:space="preserve">, and all models for NA sequences are denoted as </w:t>
      </w:r>
      <m:oMath>
        <m:sSup>
          <m:sSupPr>
            <m:ctrlPr>
              <w:rPr>
                <w:rFonts w:ascii="Cambria Math" w:hAnsi="Cambria Math"/>
              </w:rPr>
            </m:ctrlPr>
          </m:sSupPr>
          <m:e>
            <m:r>
              <m:rPr>
                <m:scr m:val="double-struck"/>
                <m:sty m:val="p"/>
              </m:rPr>
              <w:rPr>
                <w:rFonts w:ascii="Cambria Math" w:hAnsi="Cambria Math"/>
              </w:rPr>
              <m:t>E</m:t>
            </m:r>
          </m:e>
          <m:sup>
            <m:r>
              <m:rPr>
                <m:scr m:val="script"/>
                <m:sty m:val="p"/>
              </m:rPr>
              <w:rPr>
                <w:rFonts w:ascii="Cambria Math" w:hAnsi="Cambria Math"/>
              </w:rPr>
              <m:t>N</m:t>
            </m:r>
          </m:sup>
        </m:sSup>
      </m:oMath>
      <w:r>
        <w:t>. With these notations, we define:</w:t>
      </w:r>
    </w:p>
    <w:p w14:paraId="327A8D0D" w14:textId="208F9F14" w:rsidR="004370DA" w:rsidRDefault="00000000" w:rsidP="00AD67C5">
      <w:pPr>
        <w:pStyle w:val="BodyText"/>
        <w:spacing w:line="480" w:lineRule="auto"/>
        <w:jc w:val="center"/>
      </w:pPr>
      <m:oMath>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ρ</m:t>
                  </m:r>
                </m:e>
                <m:sub>
                  <m:r>
                    <w:rPr>
                      <w:rFonts w:ascii="Cambria Math" w:hAnsi="Cambria Math"/>
                    </w:rPr>
                    <m:t>t</m:t>
                  </m:r>
                </m:sub>
              </m:sSub>
              <m:d>
                <m:dPr>
                  <m:ctrlPr>
                    <w:rPr>
                      <w:rFonts w:ascii="Cambria Math" w:hAnsi="Cambria Math"/>
                    </w:rPr>
                  </m:ctrlPr>
                </m:dPr>
                <m:e>
                  <m:r>
                    <w:rPr>
                      <w:rFonts w:ascii="Cambria Math" w:hAnsi="Cambria Math"/>
                    </w:rPr>
                    <m:t>x</m:t>
                  </m:r>
                </m:e>
              </m:d>
              <m:r>
                <m:rPr>
                  <m:sty m:val="p"/>
                </m:rPr>
                <w:rPr>
                  <w:rFonts w:ascii="Cambria Math" w:hAnsi="Cambria Math"/>
                </w:rPr>
                <m:t>≜-log</m:t>
              </m:r>
              <m:limLow>
                <m:limLowPr>
                  <m:ctrlPr>
                    <w:rPr>
                      <w:rFonts w:ascii="Cambria Math" w:hAnsi="Cambria Math"/>
                    </w:rPr>
                  </m:ctrlPr>
                </m:limLowPr>
                <m:e>
                  <m:r>
                    <m:rPr>
                      <m:sty m:val="p"/>
                    </m:rPr>
                    <w:rPr>
                      <w:rFonts w:ascii="Cambria Math" w:hAnsi="Cambria Math"/>
                    </w:rPr>
                    <m:t>min</m:t>
                  </m:r>
                </m:e>
                <m:lim>
                  <m:m>
                    <m:mPr>
                      <m:plcHide m:val="1"/>
                      <m:mcs>
                        <m:mc>
                          <m:mcPr>
                            <m:count m:val="1"/>
                            <m:mcJc m:val="center"/>
                          </m:mcPr>
                        </m:mc>
                      </m:mcs>
                      <m:ctrlPr>
                        <w:rPr>
                          <w:rFonts w:ascii="Cambria Math" w:hAnsi="Cambria Math"/>
                        </w:rPr>
                      </m:ctrlPr>
                    </m:mPr>
                    <m:mr>
                      <m:e>
                        <m:r>
                          <w:rPr>
                            <w:rFonts w:ascii="Cambria Math" w:hAnsi="Cambria Math"/>
                          </w:rPr>
                          <m:t>y</m:t>
                        </m:r>
                        <m:r>
                          <m:rPr>
                            <m:sty m:val="p"/>
                          </m:rPr>
                          <w:rPr>
                            <w:rFonts w:ascii="Cambria Math" w:hAnsi="Cambria Math"/>
                          </w:rPr>
                          <m:t>,</m:t>
                        </m:r>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t</m:t>
                            </m:r>
                          </m:sup>
                        </m:sSup>
                      </m:e>
                    </m:mr>
                    <m:mr>
                      <m:e>
                        <m:r>
                          <w:rPr>
                            <w:rFonts w:ascii="Cambria Math" w:hAnsi="Cambria Math"/>
                          </w:rPr>
                          <m:t>r</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E</m:t>
                            </m:r>
                          </m:e>
                          <m:sup>
                            <m:r>
                              <m:rPr>
                                <m:scr m:val="script"/>
                                <m:sty m:val="p"/>
                              </m:rPr>
                              <w:rPr>
                                <w:rFonts w:ascii="Cambria Math" w:hAnsi="Cambria Math"/>
                              </w:rPr>
                              <m:t>H</m:t>
                            </m:r>
                          </m:sup>
                        </m:sSup>
                        <m:r>
                          <m:rPr>
                            <m:sty m:val="p"/>
                          </m:rPr>
                          <w:rPr>
                            <w:rFonts w:ascii="Cambria Math" w:hAnsi="Cambria Math"/>
                          </w:rPr>
                          <m:t>,</m:t>
                        </m:r>
                        <m:r>
                          <w:rPr>
                            <w:rFonts w:ascii="Cambria Math" w:hAnsi="Cambria Math"/>
                          </w:rPr>
                          <m:t> s</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E</m:t>
                            </m:r>
                          </m:e>
                          <m:sup>
                            <m:r>
                              <m:rPr>
                                <m:scr m:val="script"/>
                                <m:sty m:val="p"/>
                              </m:rPr>
                              <w:rPr>
                                <w:rFonts w:ascii="Cambria Math" w:hAnsi="Cambria Math"/>
                              </w:rPr>
                              <m:t>N</m:t>
                            </m:r>
                          </m:sup>
                        </m:sSup>
                      </m:e>
                    </m:mr>
                  </m:m>
                </m:lim>
              </m:limLow>
              <m:rad>
                <m:radPr>
                  <m:degHide m:val="1"/>
                  <m:ctrlPr>
                    <w:rPr>
                      <w:rFonts w:ascii="Cambria Math" w:hAnsi="Cambria Math"/>
                    </w:rPr>
                  </m:ctrlPr>
                </m:radPr>
                <m:deg/>
                <m:e>
                  <m:sSub>
                    <m:sSubPr>
                      <m:ctrlPr>
                        <w:rPr>
                          <w:rFonts w:ascii="Cambria Math" w:hAnsi="Cambria Math"/>
                        </w:rPr>
                      </m:ctrlPr>
                    </m:sSubPr>
                    <m:e>
                      <m:r>
                        <w:rPr>
                          <w:rFonts w:ascii="Cambria Math" w:hAnsi="Cambria Math"/>
                        </w:rPr>
                        <m:t>θ</m:t>
                      </m:r>
                    </m:e>
                    <m:sub>
                      <m:r>
                        <w:rPr>
                          <w:rFonts w:ascii="Cambria Math" w:hAnsi="Cambria Math"/>
                        </w:rPr>
                        <m:t>r</m:t>
                      </m:r>
                    </m:sub>
                  </m:sSub>
                  <m: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x</m:t>
                          </m:r>
                        </m:e>
                        <m:sup>
                          <m:r>
                            <m:rPr>
                              <m:scr m:val="script"/>
                              <m:sty m:val="p"/>
                            </m:rPr>
                            <w:rPr>
                              <w:rFonts w:ascii="Cambria Math" w:hAnsi="Cambria Math"/>
                            </w:rPr>
                            <m:t>H</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m:rPr>
                              <m:scr m:val="script"/>
                              <m:sty m:val="p"/>
                            </m:rPr>
                            <w:rPr>
                              <w:rFonts w:ascii="Cambria Math" w:hAnsi="Cambria Math"/>
                            </w:rPr>
                            <m:t>H</m:t>
                          </m:r>
                        </m:sup>
                      </m:sSup>
                    </m:e>
                  </m:d>
                  <m:r>
                    <w:rPr>
                      <w:rFonts w:ascii="Cambria Math" w:hAnsi="Cambria Math"/>
                    </w:rPr>
                    <m:t> </m:t>
                  </m:r>
                  <m:sSub>
                    <m:sSubPr>
                      <m:ctrlPr>
                        <w:rPr>
                          <w:rFonts w:ascii="Cambria Math" w:hAnsi="Cambria Math"/>
                        </w:rPr>
                      </m:ctrlPr>
                    </m:sSubPr>
                    <m:e>
                      <m:r>
                        <w:rPr>
                          <w:rFonts w:ascii="Cambria Math" w:hAnsi="Cambria Math"/>
                        </w:rPr>
                        <m:t>θ</m:t>
                      </m:r>
                    </m:e>
                    <m:sub>
                      <m:r>
                        <w:rPr>
                          <w:rFonts w:ascii="Cambria Math" w:hAnsi="Cambria Math"/>
                        </w:rPr>
                        <m:t>s</m:t>
                      </m:r>
                    </m:sub>
                  </m:sSub>
                  <m: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x</m:t>
                          </m:r>
                        </m:e>
                        <m:sup>
                          <m:r>
                            <m:rPr>
                              <m:scr m:val="script"/>
                              <m:sty m:val="p"/>
                            </m:rPr>
                            <w:rPr>
                              <w:rFonts w:ascii="Cambria Math" w:hAnsi="Cambria Math"/>
                            </w:rPr>
                            <m:t>N</m:t>
                          </m:r>
                        </m:sup>
                      </m:sSup>
                      <m:r>
                        <m:rPr>
                          <m:sty m:val="p"/>
                        </m:rPr>
                        <w:rPr>
                          <w:rFonts w:ascii="Cambria Math" w:hAnsi="Cambria Math"/>
                        </w:rPr>
                        <m:t>,</m:t>
                      </m:r>
                      <m:sSup>
                        <m:sSupPr>
                          <m:ctrlPr>
                            <w:rPr>
                              <w:rFonts w:ascii="Cambria Math" w:hAnsi="Cambria Math"/>
                            </w:rPr>
                          </m:ctrlPr>
                        </m:sSupPr>
                        <m:e>
                          <m:r>
                            <w:rPr>
                              <w:rFonts w:ascii="Cambria Math" w:hAnsi="Cambria Math"/>
                            </w:rPr>
                            <m:t>z</m:t>
                          </m:r>
                        </m:e>
                        <m:sup>
                          <m:r>
                            <m:rPr>
                              <m:scr m:val="script"/>
                              <m:sty m:val="p"/>
                            </m:rPr>
                            <w:rPr>
                              <w:rFonts w:ascii="Cambria Math" w:hAnsi="Cambria Math"/>
                            </w:rPr>
                            <m:t>N</m:t>
                          </m:r>
                        </m:sup>
                      </m:sSup>
                    </m:e>
                  </m:d>
                </m:e>
              </m:rad>
              <m:r>
                <m:rPr>
                  <m:sty m:val="p"/>
                </m:rPr>
                <w:rPr>
                  <w:rFonts w:ascii="Cambria Math" w:hAnsi="Cambria Math"/>
                </w:rPr>
                <m:t>,</m:t>
              </m:r>
              <m:r>
                <w:rPr>
                  <w:rFonts w:ascii="Cambria Math" w:hAnsi="Cambria Math"/>
                </w:rPr>
                <m:t> </m:t>
              </m:r>
            </m:e>
          </m:mr>
        </m:m>
      </m:oMath>
      <w:r w:rsidR="00154FA1">
        <w:t xml:space="preserve">                                   (4)</w:t>
      </w:r>
    </w:p>
    <w:p w14:paraId="2281F24F" w14:textId="6D432EDC" w:rsidR="004370DA" w:rsidRDefault="00000000" w:rsidP="00AD67C5">
      <w:pPr>
        <w:spacing w:line="480" w:lineRule="auto"/>
      </w:pPr>
      <w:r>
        <w:t xml:space="preserve">where </w:t>
      </w:r>
      <m:oMath>
        <m:sSup>
          <m:sSupPr>
            <m:ctrlPr>
              <w:rPr>
                <w:rFonts w:ascii="Cambria Math" w:hAnsi="Cambria Math"/>
              </w:rPr>
            </m:ctrlPr>
          </m:sSupPr>
          <m:e>
            <m:r>
              <w:rPr>
                <w:rFonts w:ascii="Cambria Math" w:hAnsi="Cambria Math"/>
              </w:rPr>
              <m:t>H</m:t>
            </m:r>
          </m:e>
          <m:sup>
            <m:r>
              <w:rPr>
                <w:rFonts w:ascii="Cambria Math" w:hAnsi="Cambria Math"/>
              </w:rPr>
              <m:t>t</m:t>
            </m:r>
          </m:sup>
        </m:sSup>
      </m:oMath>
      <w:r>
        <w:t xml:space="preserve"> is defined as in Eq.</w:t>
      </w:r>
      <w:r w:rsidR="00856F16">
        <w:t xml:space="preserve"> (1)</w:t>
      </w:r>
      <w:r>
        <w:t xml:space="preserve">. We claim that larger the value of </w:t>
      </w:r>
      <m:oMath>
        <m:sSub>
          <m:sSubPr>
            <m:ctrlPr>
              <w:rPr>
                <w:rFonts w:ascii="Cambria Math" w:hAnsi="Cambria Math"/>
              </w:rPr>
            </m:ctrlPr>
          </m:sSubPr>
          <m:e>
            <m:r>
              <w:rPr>
                <w:rFonts w:ascii="Cambria Math" w:hAnsi="Cambria Math"/>
              </w:rPr>
              <m:t>ρ</m:t>
            </m:r>
          </m:e>
          <m:sub>
            <m:r>
              <w:rPr>
                <w:rFonts w:ascii="Cambria Math" w:hAnsi="Cambria Math"/>
              </w:rPr>
              <m:t>t</m:t>
            </m:r>
          </m:sub>
        </m:sSub>
        <m:d>
          <m:dPr>
            <m:ctrlPr>
              <w:rPr>
                <w:rFonts w:ascii="Cambria Math" w:hAnsi="Cambria Math"/>
              </w:rPr>
            </m:ctrlPr>
          </m:dPr>
          <m:e>
            <m:r>
              <w:rPr>
                <w:rFonts w:ascii="Cambria Math" w:hAnsi="Cambria Math"/>
              </w:rPr>
              <m:t>x</m:t>
            </m:r>
          </m:e>
        </m:d>
      </m:oMath>
      <w:r>
        <w:t xml:space="preserve"> larger the probability of jumping to a well-adapted human strain (See “Measure of Emergence Potential" in </w:t>
      </w:r>
      <w:r>
        <w:lastRenderedPageBreak/>
        <w:t xml:space="preserve">Supplementary Information). Strains observed to circulate in humans ( </w:t>
      </w:r>
      <m:oMath>
        <m:r>
          <w:rPr>
            <w:rFonts w:ascii="Cambria Math" w:hAnsi="Cambria Math"/>
          </w:rPr>
          <m:t>i</m:t>
        </m:r>
        <m:r>
          <m:rPr>
            <m:sty m:val="p"/>
          </m:rPr>
          <w:rPr>
            <w:rFonts w:ascii="Cambria Math" w:hAnsi="Cambria Math"/>
          </w:rPr>
          <m:t>.</m:t>
        </m:r>
        <m:r>
          <w:rPr>
            <w:rFonts w:ascii="Cambria Math" w:hAnsi="Cambria Math"/>
          </w:rPr>
          <m:t>e</m:t>
        </m:r>
        <m:r>
          <m:rPr>
            <m:sty m:val="p"/>
          </m:rPr>
          <w:rPr>
            <w:rFonts w:ascii="Cambria Math" w:hAnsi="Cambria Math"/>
          </w:rPr>
          <m:t>.</m:t>
        </m:r>
      </m:oMath>
      <w:r>
        <w:t xml:space="preserve"> those in </w:t>
      </w:r>
      <m:oMath>
        <m:sSup>
          <m:sSupPr>
            <m:ctrlPr>
              <w:rPr>
                <w:rFonts w:ascii="Cambria Math" w:hAnsi="Cambria Math"/>
              </w:rPr>
            </m:ctrlPr>
          </m:sSupPr>
          <m:e>
            <m:r>
              <w:rPr>
                <w:rFonts w:ascii="Cambria Math" w:hAnsi="Cambria Math"/>
              </w:rPr>
              <m:t>H</m:t>
            </m:r>
          </m:e>
          <m:sup>
            <m:r>
              <w:rPr>
                <w:rFonts w:ascii="Cambria Math" w:hAnsi="Cambria Math"/>
              </w:rPr>
              <m:t>t</m:t>
            </m:r>
          </m:sup>
        </m:sSup>
      </m:oMath>
      <w:r>
        <w:t xml:space="preserve">) are obviously well-adapted to humans, since we are only likely to sample common strains. The large deviation bound (Sizemore et al. 2024) yields: </w:t>
      </w:r>
      <m:oMath>
        <m:d>
          <m:dPr>
            <m:begChr m:val="|"/>
            <m:endChr m:val="|"/>
            <m:ctrlPr>
              <w:rPr>
                <w:rFonts w:ascii="Cambria Math" w:hAnsi="Cambria Math"/>
              </w:rPr>
            </m:ctrlPr>
          </m:dPr>
          <m:e>
            <m:r>
              <m:rPr>
                <m:sty m:val="p"/>
              </m:rPr>
              <w:rPr>
                <w:rFonts w:ascii="Cambria Math" w:hAnsi="Cambria Math"/>
              </w:rPr>
              <m:t>ln</m:t>
            </m:r>
            <m:f>
              <m:fPr>
                <m:ctrlPr>
                  <w:rPr>
                    <w:rFonts w:ascii="Cambria Math" w:hAnsi="Cambria Math"/>
                  </w:rPr>
                </m:ctrlPr>
              </m:fPr>
              <m:num>
                <m:r>
                  <w:rPr>
                    <w:rFonts w:ascii="Cambria Math" w:hAnsi="Cambria Math"/>
                  </w:rPr>
                  <m:t>Pr</m:t>
                </m:r>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h</m:t>
                        </m:r>
                      </m:sub>
                    </m:sSub>
                  </m:e>
                </m:d>
              </m:num>
              <m:den>
                <m:r>
                  <w:rPr>
                    <w:rFonts w:ascii="Cambria Math" w:hAnsi="Cambria Math"/>
                  </w:rPr>
                  <m:t>Pr</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h</m:t>
                        </m:r>
                      </m:sub>
                    </m:sSub>
                  </m:e>
                </m:d>
              </m:den>
            </m:f>
          </m:e>
        </m:d>
        <m:r>
          <m:rPr>
            <m:sty m:val="p"/>
          </m:rPr>
          <w:rPr>
            <w:rFonts w:ascii="Cambria Math" w:hAnsi="Cambria Math"/>
          </w:rPr>
          <m:t>≦</m:t>
        </m:r>
        <m:r>
          <w:rPr>
            <w:rFonts w:ascii="Cambria Math" w:hAnsi="Cambria Math"/>
          </w:rPr>
          <m:t>βθ</m:t>
        </m:r>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h</m:t>
                </m:r>
              </m:sub>
            </m:sSub>
          </m:e>
        </m:d>
        <m:r>
          <m:rPr>
            <m:sty m:val="p"/>
          </m:rPr>
          <w:rPr>
            <w:rFonts w:ascii="Cambria Math" w:hAnsi="Cambria Math"/>
          </w:rPr>
          <m:t>,</m:t>
        </m:r>
      </m:oMath>
      <w:r>
        <w:t xml:space="preserve">, where </w:t>
      </w:r>
      <m:oMath>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h</m:t>
            </m:r>
          </m:sub>
        </m:sSub>
      </m:oMath>
      <w:r>
        <w:t xml:space="preserve"> are respectively protein sequences (HA or NA) corresponding to an animal and a well-adapted human strain, and </w:t>
      </w:r>
      <m:oMath>
        <m:r>
          <w:rPr>
            <w:rFonts w:ascii="Cambria Math" w:hAnsi="Cambria Math"/>
          </w:rPr>
          <m:t>β</m:t>
        </m:r>
      </m:oMath>
      <w:r>
        <w:t xml:space="preserve"> is a constant. Importantly, when </w:t>
      </w:r>
      <m:oMath>
        <m:r>
          <w:rPr>
            <w:rFonts w:ascii="Cambria Math" w:hAnsi="Cambria Math"/>
          </w:rPr>
          <m:t>θ</m:t>
        </m:r>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h</m:t>
                </m:r>
              </m:sub>
            </m:sSub>
          </m:e>
        </m:d>
      </m:oMath>
      <w:r>
        <w:t xml:space="preserve"> is close to zero and </w:t>
      </w:r>
      <m:oMath>
        <m:r>
          <w:rPr>
            <w:rFonts w:ascii="Cambria Math" w:hAnsi="Cambria Math"/>
          </w:rPr>
          <m:t>Pr</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h</m:t>
                </m:r>
              </m:sub>
            </m:sSub>
          </m:e>
        </m:d>
      </m:oMath>
      <w:r>
        <w:t xml:space="preserve"> is large, it follows that </w:t>
      </w:r>
      <m:oMath>
        <m:r>
          <w:rPr>
            <w:rFonts w:ascii="Cambria Math" w:hAnsi="Cambria Math"/>
          </w:rPr>
          <m:t>Pr</m:t>
        </m:r>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h</m:t>
                </m:r>
              </m:sub>
            </m:sSub>
          </m:e>
        </m:d>
      </m:oMath>
      <w:r>
        <w:t xml:space="preserve"> is large as well, justifying the claim (See “Measure of Emergence Potential" in Supplementary Information). Thus, in both vaccine strain prediction and emergence risk estimation, our approach is predicated on our inferred models to correctly relate E-distance</w:t>
      </w:r>
      <m:oMath>
        <m:r>
          <w:rPr>
            <w:rFonts w:ascii="Cambria Math" w:hAnsi="Cambria Math"/>
          </w:rPr>
          <m:t>θ</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to the probability </w:t>
      </w:r>
      <m:oMath>
        <m:r>
          <w:rPr>
            <w:rFonts w:ascii="Cambria Math" w:hAnsi="Cambria Math"/>
          </w:rPr>
          <m:t>Pr</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and hence good performance on the first problem gives confidence about the results in the second. The geometric mean ensures equal weighting of both HA and NA (this is the simplest assumption), and the logarithm in Eq.</w:t>
      </w:r>
      <w:r w:rsidR="00856F16">
        <w:t xml:space="preserve"> (4)</w:t>
      </w:r>
      <w:r>
        <w:t xml:space="preserve"> ensures that scale of our measure matches with that of CDC-estimated IRAT scores, and this comparison provides quantitative validation of our framework.</w:t>
      </w:r>
    </w:p>
    <w:p w14:paraId="6E397838" w14:textId="6BBCED92" w:rsidR="004370DA" w:rsidRDefault="00000000" w:rsidP="00AD67C5">
      <w:pPr>
        <w:pStyle w:val="BodyText"/>
        <w:spacing w:line="480" w:lineRule="auto"/>
      </w:pPr>
      <w:r>
        <w:t xml:space="preserve">Our approach ensures that, we can obtain a E-risk score for animal sequences that do not have any human sequences of the same subtype. For example, </w:t>
      </w:r>
      <m:oMath>
        <m:sSup>
          <m:sSupPr>
            <m:ctrlPr>
              <w:rPr>
                <w:rFonts w:ascii="Cambria Math" w:hAnsi="Cambria Math"/>
              </w:rPr>
            </m:ctrlPr>
          </m:sSupPr>
          <m:e>
            <m:r>
              <m:rPr>
                <m:scr m:val="double-struck"/>
                <m:sty m:val="p"/>
              </m:rPr>
              <w:rPr>
                <w:rFonts w:ascii="Cambria Math" w:hAnsi="Cambria Math"/>
              </w:rPr>
              <m:t>E</m:t>
            </m:r>
          </m:e>
          <m:sup>
            <m:r>
              <m:rPr>
                <m:scr m:val="script"/>
                <m:sty m:val="p"/>
              </m:rPr>
              <w:rPr>
                <w:rFonts w:ascii="Cambria Math" w:hAnsi="Cambria Math"/>
              </w:rPr>
              <m:t>H</m:t>
            </m:r>
          </m:sup>
        </m:sSup>
      </m:oMath>
      <w:r>
        <w:t xml:space="preserve"> comprises Emergenet models for H1,H3, H5, H7, and </w:t>
      </w:r>
      <m:oMath>
        <m:sSup>
          <m:sSupPr>
            <m:ctrlPr>
              <w:rPr>
                <w:rFonts w:ascii="Cambria Math" w:hAnsi="Cambria Math"/>
              </w:rPr>
            </m:ctrlPr>
          </m:sSupPr>
          <m:e>
            <m:r>
              <m:rPr>
                <m:scr m:val="double-struck"/>
                <m:sty m:val="p"/>
              </m:rPr>
              <w:rPr>
                <w:rFonts w:ascii="Cambria Math" w:hAnsi="Cambria Math"/>
              </w:rPr>
              <m:t>E</m:t>
            </m:r>
          </m:e>
          <m:sup>
            <m:r>
              <m:rPr>
                <m:scr m:val="script"/>
                <m:sty m:val="p"/>
              </m:rPr>
              <w:rPr>
                <w:rFonts w:ascii="Cambria Math" w:hAnsi="Cambria Math"/>
              </w:rPr>
              <m:t>N</m:t>
            </m:r>
          </m:sup>
        </m:sSup>
      </m:oMath>
      <w:r>
        <w:t xml:space="preserve"> comprises models for N1,N2,N9 (for some years H5 Emergenet is not constructed due to not enough sequences found in the previous one year). Now suppose we observe a (yet non existent) animal strain H14N12. We will carry out the minimizations stated in Eq</w:t>
      </w:r>
      <w:r w:rsidR="00856F16">
        <w:t>. (4)</w:t>
      </w:r>
      <w:r>
        <w:t xml:space="preserve"> with the HA sequence of this strain considering all human HA sequences observed in the past year using each of the HA Emergenets in </w:t>
      </w:r>
      <m:oMath>
        <m:sSup>
          <m:sSupPr>
            <m:ctrlPr>
              <w:rPr>
                <w:rFonts w:ascii="Cambria Math" w:hAnsi="Cambria Math"/>
              </w:rPr>
            </m:ctrlPr>
          </m:sSupPr>
          <m:e>
            <m:r>
              <m:rPr>
                <m:scr m:val="double-struck"/>
                <m:sty m:val="p"/>
              </m:rPr>
              <w:rPr>
                <w:rFonts w:ascii="Cambria Math" w:hAnsi="Cambria Math"/>
              </w:rPr>
              <m:t>E</m:t>
            </m:r>
          </m:e>
          <m:sup>
            <m:r>
              <m:rPr>
                <m:scr m:val="script"/>
                <m:sty m:val="p"/>
              </m:rPr>
              <w:rPr>
                <w:rFonts w:ascii="Cambria Math" w:hAnsi="Cambria Math"/>
              </w:rPr>
              <m:t>H</m:t>
            </m:r>
          </m:sup>
        </m:sSup>
      </m:oMath>
      <w:r>
        <w:t xml:space="preserve">, and with the NA sequence of this strain again against all human NA sequences of strains observed within the past year using each of the NA Emergenets in </w:t>
      </w:r>
      <m:oMath>
        <m:sSup>
          <m:sSupPr>
            <m:ctrlPr>
              <w:rPr>
                <w:rFonts w:ascii="Cambria Math" w:hAnsi="Cambria Math"/>
              </w:rPr>
            </m:ctrlPr>
          </m:sSupPr>
          <m:e>
            <m:r>
              <m:rPr>
                <m:scr m:val="double-struck"/>
                <m:sty m:val="p"/>
              </m:rPr>
              <w:rPr>
                <w:rFonts w:ascii="Cambria Math" w:hAnsi="Cambria Math"/>
              </w:rPr>
              <m:t>E</m:t>
            </m:r>
          </m:e>
          <m:sup>
            <m:r>
              <m:rPr>
                <m:scr m:val="script"/>
                <m:sty m:val="p"/>
              </m:rPr>
              <w:rPr>
                <w:rFonts w:ascii="Cambria Math" w:hAnsi="Cambria Math"/>
              </w:rPr>
              <m:t>N</m:t>
            </m:r>
          </m:sup>
        </m:sSup>
      </m:oMath>
      <w:r>
        <w:t>: it does not matter that we do not have a Emergenet for H14N12, or that this strain is yet to be observed in humans.</w:t>
      </w:r>
    </w:p>
    <w:p w14:paraId="2DC5ED0A" w14:textId="77777777" w:rsidR="004370DA" w:rsidRDefault="00000000" w:rsidP="00AD67C5">
      <w:pPr>
        <w:pStyle w:val="Heading1"/>
      </w:pPr>
      <w:bookmarkStart w:id="8" w:name="results"/>
      <w:bookmarkEnd w:id="2"/>
      <w:bookmarkEnd w:id="7"/>
      <w:r>
        <w:lastRenderedPageBreak/>
        <w:t>Results</w:t>
      </w:r>
    </w:p>
    <w:p w14:paraId="447FF589" w14:textId="77777777" w:rsidR="00E7495A" w:rsidRDefault="00E7495A" w:rsidP="00E7495A">
      <w:pPr>
        <w:spacing w:line="480" w:lineRule="auto"/>
      </w:pPr>
      <w:r>
        <w:t xml:space="preserve">Phenotypic differences in influenza are often driven by mutations at specific loci, with antigenic variation strongly influenced by changes in the receptor binding domain (RBD) (Caton et al. 1982; </w:t>
      </w:r>
      <w:proofErr w:type="spellStart"/>
      <w:r>
        <w:t>Koelle</w:t>
      </w:r>
      <w:proofErr w:type="spellEnd"/>
      <w:r>
        <w:t xml:space="preserve"> et al. 2006). Because </w:t>
      </w:r>
      <w:proofErr w:type="spellStart"/>
      <w:r>
        <w:t>Emergenet</w:t>
      </w:r>
      <w:proofErr w:type="spellEnd"/>
      <w:r>
        <w:t xml:space="preserve"> captures extensive cross-locus dependencies, individual residue effects cannot be interpreted in isolation. We quantified locus-level contributions to E-distance using SHAP analysis (Lou, Caruana, and </w:t>
      </w:r>
      <w:proofErr w:type="spellStart"/>
      <w:r>
        <w:t>Gehrke</w:t>
      </w:r>
      <w:proofErr w:type="spellEnd"/>
      <w:r>
        <w:t xml:space="preserve"> 2012; Lundberg and Lee 2017) (Fig. S1), revealing a non-uniform distribution of influential residues along HA, with RBD positions playing dominant roles and a small subset of sites accounting for most phenotypic effect (Fig. S1a–b).</w:t>
      </w:r>
    </w:p>
    <w:p w14:paraId="7BFB7184" w14:textId="77777777" w:rsidR="00E7495A" w:rsidRDefault="00E7495A" w:rsidP="00E7495A">
      <w:pPr>
        <w:spacing w:line="480" w:lineRule="auto"/>
      </w:pPr>
    </w:p>
    <w:p w14:paraId="783ED29B" w14:textId="77777777" w:rsidR="00E7495A" w:rsidRDefault="00E7495A" w:rsidP="00E7495A">
      <w:pPr>
        <w:spacing w:line="480" w:lineRule="auto"/>
      </w:pPr>
      <w:r>
        <w:t>As a baseline, we compared E-distance with conventional edit-distance metrics (Table S2). Although RBD-restricted edit distance correlates with E-distance for CDC-analyzed strains and animal strains collected between 2020–2022, single-locus edit-distance heuristics often fail to capture risk reliably, underscoring the importance of modeling distributed residue dependencies.</w:t>
      </w:r>
    </w:p>
    <w:p w14:paraId="1D2275AD" w14:textId="77777777" w:rsidR="00E7495A" w:rsidRDefault="00E7495A" w:rsidP="00E7495A">
      <w:pPr>
        <w:spacing w:line="480" w:lineRule="auto"/>
      </w:pPr>
    </w:p>
    <w:p w14:paraId="4E0940F1" w14:textId="77777777" w:rsidR="00E7495A" w:rsidRDefault="00E7495A" w:rsidP="00E7495A">
      <w:pPr>
        <w:spacing w:line="480" w:lineRule="auto"/>
      </w:pPr>
      <w:r>
        <w:t xml:space="preserve">E-distance between fixed strain pairs varies with the background evolutionary environment, even when sequences are unchanged (Tables S3, S4). Accordingly, </w:t>
      </w:r>
      <w:proofErr w:type="spellStart"/>
      <w:r>
        <w:t>Emergenet</w:t>
      </w:r>
      <w:proofErr w:type="spellEnd"/>
      <w:r>
        <w:t xml:space="preserve"> models are retrained on recent circulation windows and restricted to near-term inference. In silico experiments further show that random mutations rapidly produce biologically implausible sequences, whereas </w:t>
      </w:r>
      <w:proofErr w:type="spellStart"/>
      <w:r>
        <w:t>Emergenet</w:t>
      </w:r>
      <w:proofErr w:type="spellEnd"/>
      <w:r>
        <w:t>-constrained substitutions remain consistent with known structural and functional constraints (Fig. S2).</w:t>
      </w:r>
    </w:p>
    <w:p w14:paraId="540D483F" w14:textId="77777777" w:rsidR="00E7495A" w:rsidRDefault="00E7495A" w:rsidP="00E7495A">
      <w:pPr>
        <w:spacing w:line="480" w:lineRule="auto"/>
      </w:pPr>
    </w:p>
    <w:p w14:paraId="424F93C4" w14:textId="77777777" w:rsidR="00E7495A" w:rsidRDefault="00E7495A" w:rsidP="00E7495A">
      <w:pPr>
        <w:spacing w:line="480" w:lineRule="auto"/>
      </w:pPr>
      <w:r>
        <w:lastRenderedPageBreak/>
        <w:t xml:space="preserve">Robustness to sampling variability was assessed by training 100 </w:t>
      </w:r>
      <w:proofErr w:type="spellStart"/>
      <w:r>
        <w:t>Emergenet</w:t>
      </w:r>
      <w:proofErr w:type="spellEnd"/>
      <w:r>
        <w:t xml:space="preserve"> models on random subsets from a fixed season (2018–19 Northern Hemisphere; Fig. S3). Within-cluster distances consistently remained smaller than inter-cluster distances, indicating stability of the inferred evolutionary structure. Limited sampling of animal strains likewise resulted in small standard errors for estimated emergence scores.</w:t>
      </w:r>
    </w:p>
    <w:p w14:paraId="4B9858ED" w14:textId="77777777" w:rsidR="004370DA" w:rsidRDefault="00000000" w:rsidP="00AD67C5">
      <w:pPr>
        <w:pStyle w:val="Heading4"/>
        <w:spacing w:line="480" w:lineRule="auto"/>
      </w:pPr>
      <w:bookmarkStart w:id="9" w:name="X4e177e199f2cea074fff0a81a2a17d6ffe32191"/>
      <w:r>
        <w:t>Seasonal Vaccine Strain Forecasting from Sequence Data</w:t>
      </w:r>
    </w:p>
    <w:p w14:paraId="2E985BB5" w14:textId="36D955C7" w:rsidR="004370DA" w:rsidRDefault="00000000" w:rsidP="00AD67C5">
      <w:pPr>
        <w:spacing w:line="480" w:lineRule="auto"/>
      </w:pPr>
      <w:r>
        <w:t>Seasonal vaccine strain prediction enables out-of-sample validation against historical WHO recommendations, which are reformulated biannually for the northern and southern hemispheres based on global surveillance (Agor and Özaltın 2018). For each year over the past two decades, we constructed separate Emergenet models for northern and southern seasons using HA strains from the immediately preceding season. When more than 3,000 strains were available, we randomly sampled 3,000, which accurately represent the population; sampling effects were minimal (Fig. </w:t>
      </w:r>
      <w:r w:rsidR="00154FA1">
        <w:t>S3</w:t>
      </w:r>
      <w:r>
        <w:t>).</w:t>
      </w:r>
    </w:p>
    <w:p w14:paraId="53035ACA" w14:textId="77777777" w:rsidR="00A54A58" w:rsidRDefault="00A54A58" w:rsidP="00AD67C5">
      <w:pPr>
        <w:spacing w:line="480" w:lineRule="auto"/>
      </w:pPr>
    </w:p>
    <w:p w14:paraId="2602FFE7" w14:textId="532CB2F4" w:rsidR="004370DA" w:rsidRDefault="00000000" w:rsidP="00AD67C5">
      <w:pPr>
        <w:pStyle w:val="BodyText"/>
        <w:spacing w:line="480" w:lineRule="auto"/>
      </w:pPr>
      <w:r>
        <w:t xml:space="preserve">Across two decades, Emergenet-informed forecasts consistently outperform WHO/CDC vaccine recommendations for both H1N1 and H3N2 subtypes in both hemispheres, which maintain distinct recommendations (Boni 2008). For H1N1, Emergenet recommendations </w:t>
      </w:r>
      <m:oMath>
        <m:sSubSup>
          <m:sSubSupPr>
            <m:ctrlPr>
              <w:rPr>
                <w:rFonts w:ascii="Cambria Math" w:hAnsi="Cambria Math"/>
              </w:rPr>
            </m:ctrlPr>
          </m:sSubSupPr>
          <m:e>
            <m:r>
              <w:rPr>
                <w:rFonts w:ascii="Cambria Math" w:hAnsi="Cambria Math"/>
              </w:rPr>
              <m:t>x</m:t>
            </m:r>
          </m:e>
          <m:sub>
            <m:r>
              <m:rPr>
                <m:sty m:val="p"/>
              </m:rPr>
              <w:rPr>
                <w:rFonts w:ascii="Cambria Math" w:hAnsi="Cambria Math"/>
              </w:rPr>
              <m:t>⋆</m:t>
            </m:r>
          </m:sub>
          <m:sup>
            <m:r>
              <w:rPr>
                <w:rFonts w:ascii="Cambria Math" w:hAnsi="Cambria Math"/>
              </w:rPr>
              <m:t>t</m:t>
            </m:r>
            <m:r>
              <m:rPr>
                <m:sty m:val="p"/>
              </m:rPr>
              <w:rPr>
                <w:rFonts w:ascii="Cambria Math" w:hAnsi="Cambria Math"/>
              </w:rPr>
              <m:t>+</m:t>
            </m:r>
            <m:r>
              <w:rPr>
                <w:rFonts w:ascii="Cambria Math" w:hAnsi="Cambria Math"/>
              </w:rPr>
              <m:t>δ</m:t>
            </m:r>
          </m:sup>
        </m:sSubSup>
      </m:oMath>
      <w:r>
        <w:t xml:space="preserve"> outperform WHO by an average of </w:t>
      </w:r>
      <m:oMath>
        <m:r>
          <w:rPr>
            <w:rFonts w:ascii="Cambria Math" w:hAnsi="Cambria Math"/>
          </w:rPr>
          <m:t>3.73</m:t>
        </m:r>
      </m:oMath>
      <w:r>
        <w:t xml:space="preserve"> amino acids (AAs) in the north and </w:t>
      </w:r>
      <m:oMath>
        <m:r>
          <w:rPr>
            <w:rFonts w:ascii="Cambria Math" w:hAnsi="Cambria Math"/>
          </w:rPr>
          <m:t>4.19</m:t>
        </m:r>
      </m:oMath>
      <w:r>
        <w:t xml:space="preserve"> AAs in the south. For H3N2, improvements are </w:t>
      </w:r>
      <m:oMath>
        <m:r>
          <w:rPr>
            <w:rFonts w:ascii="Cambria Math" w:hAnsi="Cambria Math"/>
          </w:rPr>
          <m:t>3.32</m:t>
        </m:r>
      </m:oMath>
      <w:r>
        <w:t xml:space="preserve"> AAs in the north and </w:t>
      </w:r>
      <m:oMath>
        <m:r>
          <w:rPr>
            <w:rFonts w:ascii="Cambria Math" w:hAnsi="Cambria Math"/>
          </w:rPr>
          <m:t>2.01</m:t>
        </m:r>
      </m:oMath>
      <w:r>
        <w:t xml:space="preserve"> AAs in the south. Detailed predictions are provided in Tables </w:t>
      </w:r>
      <w:r w:rsidR="00154FA1">
        <w:t>S5</w:t>
      </w:r>
      <w:r>
        <w:t>–</w:t>
      </w:r>
      <w:r w:rsidR="00154FA1">
        <w:t>S9</w:t>
      </w:r>
      <w:r>
        <w:t>, with visual summaries in Fig. </w:t>
      </w:r>
      <w:r w:rsidR="00154FA1">
        <w:t>2</w:t>
      </w:r>
      <w:r>
        <w:t>.</w:t>
      </w:r>
    </w:p>
    <w:p w14:paraId="2C8A3399" w14:textId="77777777" w:rsidR="00A54A58" w:rsidRDefault="00A54A58" w:rsidP="00AD67C5">
      <w:pPr>
        <w:pStyle w:val="BodyText"/>
        <w:spacing w:line="480" w:lineRule="auto"/>
      </w:pPr>
    </w:p>
    <w:p w14:paraId="5C200FE4" w14:textId="1640F2D1" w:rsidR="004370DA" w:rsidRDefault="00000000" w:rsidP="00AD67C5">
      <w:pPr>
        <w:pStyle w:val="BodyText"/>
        <w:spacing w:line="480" w:lineRule="auto"/>
      </w:pPr>
      <w:r>
        <w:t xml:space="preserve">We further compare performance against recent vaccine-strain prediction results (Huddleston et al. 2020). Huddleston </w:t>
      </w:r>
      <m:oMath>
        <m:r>
          <m:rPr>
            <m:nor/>
          </m:rPr>
          <m:t>et</m:t>
        </m:r>
        <m:r>
          <w:rPr>
            <w:rFonts w:ascii="Cambria Math" w:hAnsi="Cambria Math"/>
          </w:rPr>
          <m:t> </m:t>
        </m:r>
        <m:r>
          <m:rPr>
            <m:nor/>
          </m:rPr>
          <m:t>al.</m:t>
        </m:r>
      </m:oMath>
      <w:r>
        <w:t xml:space="preserve"> </w:t>
      </w:r>
      <w:proofErr w:type="gramStart"/>
      <w:r>
        <w:t>report</w:t>
      </w:r>
      <w:proofErr w:type="gramEnd"/>
      <w:r>
        <w:t xml:space="preserve"> an average improvement of </w:t>
      </w:r>
      <m:oMath>
        <m:r>
          <w:rPr>
            <w:rFonts w:ascii="Cambria Math" w:hAnsi="Cambria Math"/>
          </w:rPr>
          <m:t>1.93</m:t>
        </m:r>
      </m:oMath>
      <w:r>
        <w:t xml:space="preserve"> AAs over WHO using </w:t>
      </w:r>
      <w:r>
        <w:lastRenderedPageBreak/>
        <w:t xml:space="preserve">mutational load and local branching index (LBI), while over identical time points we achieve an average improvement of </w:t>
      </w:r>
      <m:oMath>
        <m:r>
          <w:rPr>
            <w:rFonts w:ascii="Cambria Math" w:hAnsi="Cambria Math"/>
          </w:rPr>
          <m:t>2.05</m:t>
        </m:r>
      </m:oMath>
      <w:r>
        <w:t xml:space="preserve"> AAs using sequence data alone (Table </w:t>
      </w:r>
      <w:r w:rsidR="00154FA1">
        <w:t>S10</w:t>
      </w:r>
      <w:r>
        <w:t>). Although incorporating hemagglutination inhibition (HI) antigenic novelty improves performance further (</w:t>
      </w:r>
      <m:oMath>
        <m:r>
          <w:rPr>
            <w:rFonts w:ascii="Cambria Math" w:hAnsi="Cambria Math"/>
          </w:rPr>
          <m:t>2.33</m:t>
        </m:r>
      </m:oMath>
      <w:r>
        <w:t xml:space="preserve"> AAs), this requires experimental evaluation of individual strains, limiting scalability and generalizability.</w:t>
      </w:r>
    </w:p>
    <w:p w14:paraId="50CA19B2" w14:textId="77777777" w:rsidR="00A54A58" w:rsidRDefault="00A54A58" w:rsidP="00AD67C5">
      <w:pPr>
        <w:pStyle w:val="BodyText"/>
        <w:spacing w:line="480" w:lineRule="auto"/>
      </w:pPr>
    </w:p>
    <w:p w14:paraId="550E88E6" w14:textId="77777777" w:rsidR="004370DA" w:rsidRDefault="00000000" w:rsidP="00AD67C5">
      <w:pPr>
        <w:pStyle w:val="BodyText"/>
        <w:spacing w:line="480" w:lineRule="auto"/>
      </w:pPr>
      <w:r>
        <w:t xml:space="preserve">Evaluating a two-strain prediction strategy, we generated two-cluster forecasts </w:t>
      </w:r>
      <m:oMath>
        <m:sSubSup>
          <m:sSubSupPr>
            <m:ctrlPr>
              <w:rPr>
                <w:rFonts w:ascii="Cambria Math" w:hAnsi="Cambria Math"/>
              </w:rPr>
            </m:ctrlPr>
          </m:sSubSupPr>
          <m:e>
            <m:r>
              <w:rPr>
                <w:rFonts w:ascii="Cambria Math" w:hAnsi="Cambria Math"/>
              </w:rPr>
              <m:t>x</m:t>
            </m:r>
          </m:e>
          <m:sub>
            <m:r>
              <w:rPr>
                <w:rFonts w:ascii="Cambria Math" w:hAnsi="Cambria Math"/>
              </w:rPr>
              <m:t>1</m:t>
            </m:r>
            <m:r>
              <m:rPr>
                <m:sty m:val="p"/>
              </m:rPr>
              <w:rPr>
                <w:rFonts w:ascii="Cambria Math" w:hAnsi="Cambria Math"/>
              </w:rPr>
              <m:t>*</m:t>
            </m:r>
          </m:sub>
          <m:sup>
            <m:r>
              <w:rPr>
                <w:rFonts w:ascii="Cambria Math" w:hAnsi="Cambria Math"/>
              </w:rPr>
              <m:t>t</m:t>
            </m:r>
            <m:r>
              <m:rPr>
                <m:sty m:val="p"/>
              </m:rPr>
              <w:rPr>
                <w:rFonts w:ascii="Cambria Math" w:hAnsi="Cambria Math"/>
              </w:rPr>
              <m:t>+</m:t>
            </m:r>
            <m:r>
              <w:rPr>
                <w:rFonts w:ascii="Cambria Math" w:hAnsi="Cambria Math"/>
              </w:rPr>
              <m:t>δ</m:t>
            </m:r>
          </m:sup>
        </m:sSubSup>
      </m:oMath>
      <w:r>
        <w:t xml:space="preserve"> and </w:t>
      </w:r>
      <m:oMath>
        <m:sSubSup>
          <m:sSubSupPr>
            <m:ctrlPr>
              <w:rPr>
                <w:rFonts w:ascii="Cambria Math" w:hAnsi="Cambria Math"/>
              </w:rPr>
            </m:ctrlPr>
          </m:sSubSupPr>
          <m:e>
            <m:r>
              <w:rPr>
                <w:rFonts w:ascii="Cambria Math" w:hAnsi="Cambria Math"/>
              </w:rPr>
              <m:t>x</m:t>
            </m:r>
          </m:e>
          <m:sub>
            <m:r>
              <w:rPr>
                <w:rFonts w:ascii="Cambria Math" w:hAnsi="Cambria Math"/>
              </w:rPr>
              <m:t>2</m:t>
            </m:r>
            <m:r>
              <m:rPr>
                <m:sty m:val="p"/>
              </m:rPr>
              <w:rPr>
                <w:rFonts w:ascii="Cambria Math" w:hAnsi="Cambria Math"/>
              </w:rPr>
              <m:t>*</m:t>
            </m:r>
          </m:sub>
          <m:sup>
            <m:r>
              <w:rPr>
                <w:rFonts w:ascii="Cambria Math" w:hAnsi="Cambria Math"/>
              </w:rPr>
              <m:t>t</m:t>
            </m:r>
            <m:r>
              <m:rPr>
                <m:sty m:val="p"/>
              </m:rPr>
              <w:rPr>
                <w:rFonts w:ascii="Cambria Math" w:hAnsi="Cambria Math"/>
              </w:rPr>
              <m:t>+</m:t>
            </m:r>
            <m:r>
              <w:rPr>
                <w:rFonts w:ascii="Cambria Math" w:hAnsi="Cambria Math"/>
              </w:rPr>
              <m:t>δ</m:t>
            </m:r>
          </m:sup>
        </m:sSubSup>
      </m:oMath>
      <w:r>
        <w:t xml:space="preserve"> and assessed performance using the average minimum Hamming distance to the future population. This yields additional gains: over two decades, two-cluster Emergenet H1N1 recommendations outperform WHO by </w:t>
      </w:r>
      <m:oMath>
        <m:r>
          <w:rPr>
            <w:rFonts w:ascii="Cambria Math" w:hAnsi="Cambria Math"/>
          </w:rPr>
          <m:t>4.69</m:t>
        </m:r>
      </m:oMath>
      <w:r>
        <w:t xml:space="preserve"> AAs in the north and </w:t>
      </w:r>
      <m:oMath>
        <m:r>
          <w:rPr>
            <w:rFonts w:ascii="Cambria Math" w:hAnsi="Cambria Math"/>
          </w:rPr>
          <m:t>5.52</m:t>
        </m:r>
      </m:oMath>
      <w:r>
        <w:t xml:space="preserve"> AAs in the south, while H3N2 improvements are </w:t>
      </w:r>
      <m:oMath>
        <m:r>
          <w:rPr>
            <w:rFonts w:ascii="Cambria Math" w:hAnsi="Cambria Math"/>
          </w:rPr>
          <m:t>4.64</m:t>
        </m:r>
      </m:oMath>
      <w:r>
        <w:t xml:space="preserve"> AAs and </w:t>
      </w:r>
      <m:oMath>
        <m:r>
          <w:rPr>
            <w:rFonts w:ascii="Cambria Math" w:hAnsi="Cambria Math"/>
          </w:rPr>
          <m:t>3.43</m:t>
        </m:r>
      </m:oMath>
      <w:r>
        <w:t xml:space="preserve"> AAs, respectively.</w:t>
      </w:r>
    </w:p>
    <w:p w14:paraId="1FD8DD2B" w14:textId="77777777" w:rsidR="00A54A58" w:rsidRDefault="00A54A58" w:rsidP="00AD67C5">
      <w:pPr>
        <w:pStyle w:val="BodyText"/>
        <w:spacing w:line="480" w:lineRule="auto"/>
      </w:pPr>
    </w:p>
    <w:p w14:paraId="29A6CF0D" w14:textId="7422A503" w:rsidR="004370DA" w:rsidRDefault="00000000" w:rsidP="00AD67C5">
      <w:pPr>
        <w:pStyle w:val="BodyText"/>
        <w:spacing w:line="480" w:lineRule="auto"/>
      </w:pPr>
      <w:r>
        <w:t xml:space="preserve">To benchmark against random selection, we compared Emergenet recommendations with randomly chosen strains from the year preceding vaccine selection, repeating this process 20 times per season. Over two decades, Emergenet H1N1 recommendations outperform random selection by </w:t>
      </w:r>
      <m:oMath>
        <m:r>
          <w:rPr>
            <w:rFonts w:ascii="Cambria Math" w:hAnsi="Cambria Math"/>
          </w:rPr>
          <m:t>3.98</m:t>
        </m:r>
      </m:oMath>
      <w:r>
        <w:t xml:space="preserve"> AAs (29.69%) in the north and </w:t>
      </w:r>
      <m:oMath>
        <m:r>
          <w:rPr>
            <w:rFonts w:ascii="Cambria Math" w:hAnsi="Cambria Math"/>
          </w:rPr>
          <m:t>7.31</m:t>
        </m:r>
      </m:oMath>
      <w:r>
        <w:t xml:space="preserve"> AAs (46.03%) in the south; for H3N2, improvements are </w:t>
      </w:r>
      <m:oMath>
        <m:r>
          <w:rPr>
            <w:rFonts w:ascii="Cambria Math" w:hAnsi="Cambria Math"/>
          </w:rPr>
          <m:t>2.94</m:t>
        </m:r>
      </m:oMath>
      <w:r>
        <w:t xml:space="preserve"> AAs (37.37%) and </w:t>
      </w:r>
      <m:oMath>
        <m:r>
          <w:rPr>
            <w:rFonts w:ascii="Cambria Math" w:hAnsi="Cambria Math"/>
          </w:rPr>
          <m:t>3.23</m:t>
        </m:r>
      </m:oMath>
      <w:r>
        <w:t xml:space="preserve"> AAs (35.54%) (Table </w:t>
      </w:r>
      <w:r w:rsidR="00831A1A">
        <w:t>S11</w:t>
      </w:r>
      <w:r>
        <w:t xml:space="preserve">). Over the last decade, relative gains exceed </w:t>
      </w:r>
      <m:oMath>
        <m:r>
          <w:rPr>
            <w:rFonts w:ascii="Cambria Math" w:hAnsi="Cambria Math"/>
          </w:rPr>
          <m:t>70</m:t>
        </m:r>
        <m:r>
          <m:rPr>
            <m:sty m:val="p"/>
          </m:rPr>
          <w:rPr>
            <w:rFonts w:ascii="Cambria Math" w:hAnsi="Cambria Math"/>
          </w:rPr>
          <m:t>%</m:t>
        </m:r>
      </m:oMath>
      <w:r>
        <w:t xml:space="preserve"> for H1N1 and remain above </w:t>
      </w:r>
      <m:oMath>
        <m:r>
          <w:rPr>
            <w:rFonts w:ascii="Cambria Math" w:hAnsi="Cambria Math"/>
          </w:rPr>
          <m:t>30</m:t>
        </m:r>
        <m:r>
          <m:rPr>
            <m:sty m:val="p"/>
          </m:rPr>
          <w:rPr>
            <w:rFonts w:ascii="Cambria Math" w:hAnsi="Cambria Math"/>
          </w:rPr>
          <m:t>%</m:t>
        </m:r>
      </m:oMath>
      <w:r>
        <w:t xml:space="preserve"> for H3N2.</w:t>
      </w:r>
    </w:p>
    <w:p w14:paraId="49D47107" w14:textId="77777777" w:rsidR="00A54A58" w:rsidRDefault="00A54A58" w:rsidP="00AD67C5">
      <w:pPr>
        <w:pStyle w:val="BodyText"/>
        <w:spacing w:line="480" w:lineRule="auto"/>
      </w:pPr>
    </w:p>
    <w:p w14:paraId="7F61E3FC" w14:textId="4B562C36" w:rsidR="004370DA" w:rsidRDefault="00000000" w:rsidP="00AD67C5">
      <w:pPr>
        <w:pStyle w:val="BodyText"/>
        <w:spacing w:line="480" w:lineRule="auto"/>
      </w:pPr>
      <w:r>
        <w:t xml:space="preserve">Comparing Emergenet-inferred strains (ENT) with WHO recommendations, we find that residues correctly matched by ENT but missed by WHO—relative to a dominant circulating strain (DOM)—are predominantly localized within the RBD, accounting for over </w:t>
      </w:r>
      <m:oMath>
        <m:r>
          <w:rPr>
            <w:rFonts w:ascii="Cambria Math" w:hAnsi="Cambria Math"/>
          </w:rPr>
          <m:t>57</m:t>
        </m:r>
        <m:r>
          <m:rPr>
            <m:sty m:val="p"/>
          </m:rPr>
          <w:rPr>
            <w:rFonts w:ascii="Cambria Math" w:hAnsi="Cambria Math"/>
          </w:rPr>
          <m:t>%</m:t>
        </m:r>
      </m:oMath>
      <w:r>
        <w:t xml:space="preserve"> of such </w:t>
      </w:r>
      <w:r>
        <w:lastRenderedPageBreak/>
        <w:t>differences on average (Fig. </w:t>
      </w:r>
      <w:r w:rsidR="00154FA1">
        <w:t xml:space="preserve">S4 </w:t>
      </w:r>
      <w:r>
        <w:t xml:space="preserve">a). When WHO recommendations deviate, substitutions often involve residues with markedly different side-chain properties, hydropathy, or chemistry </w:t>
      </w:r>
      <w:proofErr w:type="gramStart"/>
      <w:r>
        <w:t>( Fig.</w:t>
      </w:r>
      <w:proofErr w:type="gramEnd"/>
      <w:r>
        <w:t> </w:t>
      </w:r>
      <w:r w:rsidR="00154FA1">
        <w:t xml:space="preserve">S4 </w:t>
      </w:r>
      <w:r>
        <w:t>b–f), implying altered recognition characteristics (Carugo and Pongor 2001; Righetto et al. 2014). Given that circulating strains are typically only a few edits from the DOM (Fig. </w:t>
      </w:r>
      <w:r w:rsidR="00154FA1">
        <w:t>S5</w:t>
      </w:r>
      <w:r>
        <w:t>), these findings suggest that ENT-based vaccination may elicit antibodies recognizing a broader fraction of circulating strains.</w:t>
      </w:r>
    </w:p>
    <w:p w14:paraId="69743893" w14:textId="77777777" w:rsidR="004370DA" w:rsidRDefault="00000000" w:rsidP="00AD67C5">
      <w:pPr>
        <w:pStyle w:val="Heading4"/>
        <w:spacing w:line="480" w:lineRule="auto"/>
      </w:pPr>
      <w:bookmarkStart w:id="10" w:name="Xceb495d7e48bbcbd04545c41209392ef50d226e"/>
      <w:bookmarkEnd w:id="9"/>
      <w:r>
        <w:t>Emergence Risk Estimation and Validation Against IRAT</w:t>
      </w:r>
    </w:p>
    <w:p w14:paraId="2AAB4D2D" w14:textId="08903C7B" w:rsidR="004370DA" w:rsidRDefault="00000000" w:rsidP="00AD67C5">
      <w:pPr>
        <w:spacing w:line="480" w:lineRule="auto"/>
      </w:pPr>
      <w:r>
        <w:t xml:space="preserve">Using CDC-published IRAT scores for 23 strains, we observe strong out-of-sample agreement with Emergenet-derived emergence scores (total least squares correlation </w:t>
      </w:r>
      <m:oMath>
        <m:r>
          <w:rPr>
            <w:rFonts w:ascii="Cambria Math" w:hAnsi="Cambria Math"/>
          </w:rPr>
          <m:t>0.721</m:t>
        </m:r>
      </m:oMath>
      <w:r>
        <w:t xml:space="preserve">, </w:t>
      </w:r>
      <m:oMath>
        <m:r>
          <w:rPr>
            <w:rFonts w:ascii="Cambria Math" w:hAnsi="Cambria Math"/>
          </w:rPr>
          <m:t>p</m:t>
        </m:r>
        <m:r>
          <m:rPr>
            <m:sty m:val="p"/>
          </m:rPr>
          <w:rPr>
            <w:rFonts w:ascii="Cambria Math" w:hAnsi="Cambria Math"/>
          </w:rPr>
          <m:t>=</m:t>
        </m:r>
        <m:r>
          <w:rPr>
            <w:rFonts w:ascii="Cambria Math" w:hAnsi="Cambria Math"/>
          </w:rPr>
          <m:t>0.00010</m:t>
        </m:r>
      </m:oMath>
      <w:r>
        <w:t>; Fig. </w:t>
      </w:r>
      <w:r w:rsidR="00154FA1">
        <w:t>3</w:t>
      </w:r>
      <w:r>
        <w:t>). Comparable correlations are obtained against IRAT’s Mean Low Acceptable Emergence (</w:t>
      </w:r>
      <m:oMath>
        <m:r>
          <w:rPr>
            <w:rFonts w:ascii="Cambria Math" w:hAnsi="Cambria Math"/>
          </w:rPr>
          <m:t>0.685</m:t>
        </m:r>
      </m:oMath>
      <w:r>
        <w:t xml:space="preserve">, </w:t>
      </w:r>
      <m:oMath>
        <m:r>
          <w:rPr>
            <w:rFonts w:ascii="Cambria Math" w:hAnsi="Cambria Math"/>
          </w:rPr>
          <m:t>p</m:t>
        </m:r>
        <m:r>
          <m:rPr>
            <m:sty m:val="p"/>
          </m:rPr>
          <w:rPr>
            <w:rFonts w:ascii="Cambria Math" w:hAnsi="Cambria Math"/>
          </w:rPr>
          <m:t>=</m:t>
        </m:r>
        <m:r>
          <w:rPr>
            <w:rFonts w:ascii="Cambria Math" w:hAnsi="Cambria Math"/>
          </w:rPr>
          <m:t>0.00061</m:t>
        </m:r>
      </m:oMath>
      <w:r>
        <w:t>) and Mean High Acceptable Emergence (</w:t>
      </w:r>
      <m:oMath>
        <m:r>
          <w:rPr>
            <w:rFonts w:ascii="Cambria Math" w:hAnsi="Cambria Math"/>
          </w:rPr>
          <m:t>0.733</m:t>
        </m:r>
      </m:oMath>
      <w:r>
        <w:t xml:space="preserve">, </w:t>
      </w:r>
      <m:oMath>
        <m:r>
          <w:rPr>
            <w:rFonts w:ascii="Cambria Math" w:hAnsi="Cambria Math"/>
          </w:rPr>
          <m:t>p</m:t>
        </m:r>
        <m:r>
          <m:rPr>
            <m:sty m:val="p"/>
          </m:rPr>
          <w:rPr>
            <w:rFonts w:ascii="Cambria Math" w:hAnsi="Cambria Math"/>
          </w:rPr>
          <m:t>=</m:t>
        </m:r>
        <m:r>
          <w:rPr>
            <w:rFonts w:ascii="Cambria Math" w:hAnsi="Cambria Math"/>
          </w:rPr>
          <m:t>0.00016</m:t>
        </m:r>
      </m:oMath>
      <w:r>
        <w:t>) bounds. Emergenet inference requires approximately 30 seconds per strain on a 28-core processor, compared to weeks for IRAT experimental assays and SME evaluation (Table </w:t>
      </w:r>
      <w:r w:rsidR="00831A1A">
        <w:t>S12</w:t>
      </w:r>
      <w:r>
        <w:t>).</w:t>
      </w:r>
    </w:p>
    <w:p w14:paraId="08BC6ECC" w14:textId="14C3AF40" w:rsidR="004370DA" w:rsidRDefault="00000000" w:rsidP="00AD67C5">
      <w:pPr>
        <w:pStyle w:val="BodyText"/>
        <w:spacing w:line="480" w:lineRule="auto"/>
      </w:pPr>
      <w:r>
        <w:t>Because high-risk classification does not imply guaranteed emergence, validation relies on the credibility of IRAT itself as an operational proxy. In addition to its expert-driven design, several high-risk strains corroborate with documented emergence events (Table </w:t>
      </w:r>
      <w:r w:rsidR="00831A1A">
        <w:t>S13</w:t>
      </w:r>
      <w:r>
        <w:t>), including A/swine/Shandong/1207/2016, A/Ohio/13/2017, A/Hong Kong/125/2017, and A/California/62/2018, the latter isolated in human hosts (Public Health 2018).</w:t>
      </w:r>
    </w:p>
    <w:p w14:paraId="1D2F8C28" w14:textId="77777777" w:rsidR="00A54A58" w:rsidRDefault="00A54A58" w:rsidP="00AD67C5">
      <w:pPr>
        <w:pStyle w:val="BodyText"/>
        <w:spacing w:line="480" w:lineRule="auto"/>
      </w:pPr>
    </w:p>
    <w:p w14:paraId="3FF34B78" w14:textId="229F710B" w:rsidR="004370DA" w:rsidRDefault="00000000" w:rsidP="00AD67C5">
      <w:pPr>
        <w:pStyle w:val="BodyText"/>
        <w:spacing w:line="480" w:lineRule="auto"/>
      </w:pPr>
      <w:r>
        <w:t>To assess sensitivity to incomplete biosurveillance, we evaluated emergence scores using random 75% subsamples of human strains matched by subtype (Table </w:t>
      </w:r>
      <w:r w:rsidR="00831A1A">
        <w:t>S14</w:t>
      </w:r>
      <w:r>
        <w:t>). The resulting standard errors are at least an order of magnitude smaller than the estimates themselves, indicating score stability under realistic sampling constraints.</w:t>
      </w:r>
    </w:p>
    <w:p w14:paraId="312B266F" w14:textId="77777777" w:rsidR="00A54A58" w:rsidRDefault="00A54A58" w:rsidP="00AD67C5">
      <w:pPr>
        <w:pStyle w:val="BodyText"/>
        <w:spacing w:line="480" w:lineRule="auto"/>
      </w:pPr>
    </w:p>
    <w:p w14:paraId="73A31FBE" w14:textId="151528F7" w:rsidR="004370DA" w:rsidRDefault="00000000" w:rsidP="00AD67C5">
      <w:pPr>
        <w:pStyle w:val="BodyText"/>
        <w:spacing w:line="480" w:lineRule="auto"/>
      </w:pPr>
      <w:r>
        <w:t>As an additional validation, we analyzed 15 animal-origin influenza variants isolated in humans post-2015 and designated by the CDC as candidate vaccine viruses (World Health Organization 2023) (Table </w:t>
      </w:r>
      <w:r w:rsidR="00831A1A">
        <w:t>S15</w:t>
      </w:r>
      <w:r>
        <w:t>). Approximately 30% of these variants fall within the top 5% tail of emergence scores among all animal strains collected post-2020 (Fig. </w:t>
      </w:r>
      <w:r w:rsidR="00154FA1">
        <w:t xml:space="preserve">S6 </w:t>
      </w:r>
      <w:r>
        <w:t xml:space="preserve">a). Specifically, </w:t>
      </w:r>
      <m:oMath>
        <m:r>
          <w:rPr>
            <w:rFonts w:ascii="Cambria Math" w:hAnsi="Cambria Math"/>
          </w:rPr>
          <m:t>26.7</m:t>
        </m:r>
        <m:r>
          <m:rPr>
            <m:sty m:val="p"/>
          </m:rPr>
          <w:rPr>
            <w:rFonts w:ascii="Cambria Math" w:hAnsi="Cambria Math"/>
          </w:rPr>
          <m:t>%</m:t>
        </m:r>
      </m:oMath>
      <w:r>
        <w:t xml:space="preserve"> of variants exceed an emergence score of </w:t>
      </w:r>
      <m:oMath>
        <m:r>
          <w:rPr>
            <w:rFonts w:ascii="Cambria Math" w:hAnsi="Cambria Math"/>
          </w:rPr>
          <m:t>7.0</m:t>
        </m:r>
      </m:oMath>
      <w:r>
        <w:t xml:space="preserve">, compared to </w:t>
      </w:r>
      <m:oMath>
        <m:r>
          <w:rPr>
            <w:rFonts w:ascii="Cambria Math" w:hAnsi="Cambria Math"/>
          </w:rPr>
          <m:t>6.4</m:t>
        </m:r>
        <m:r>
          <m:rPr>
            <m:sty m:val="p"/>
          </m:rPr>
          <w:rPr>
            <w:rFonts w:ascii="Cambria Math" w:hAnsi="Cambria Math"/>
          </w:rPr>
          <m:t>%</m:t>
        </m:r>
      </m:oMath>
      <w:r>
        <w:t xml:space="preserve"> of animal reservoir strains, with 4 of 15 variants exceeding this threshold (Table </w:t>
      </w:r>
      <w:r w:rsidR="00831A1A">
        <w:t>S16</w:t>
      </w:r>
      <w:r>
        <w:t>). Risk trajectories generally increase leading up to human isolation (Fig. </w:t>
      </w:r>
      <w:r w:rsidR="00154FA1">
        <w:t>S7</w:t>
      </w:r>
      <w:r>
        <w:t>).</w:t>
      </w:r>
    </w:p>
    <w:p w14:paraId="5405C478" w14:textId="76BFFC0B" w:rsidR="004370DA" w:rsidRDefault="00000000" w:rsidP="00AD67C5">
      <w:pPr>
        <w:pStyle w:val="BodyText"/>
        <w:spacing w:line="480" w:lineRule="auto"/>
      </w:pPr>
      <w:r>
        <w:t xml:space="preserve">Finally, we estimated emergence scores for all 6,354 animal influenza strains collected globally between January 2020 and January 2024. Using subtype-specific HA and NA Emergenet models, 413 strains exceeded a score of </w:t>
      </w:r>
      <m:oMath>
        <m:r>
          <w:rPr>
            <w:rFonts w:ascii="Cambria Math" w:hAnsi="Cambria Math"/>
          </w:rPr>
          <m:t>7</m:t>
        </m:r>
      </m:oMath>
      <w:r>
        <w:t xml:space="preserve"> (top 15</w:t>
      </w:r>
      <m:oMath>
        <m:sSup>
          <m:sSupPr>
            <m:ctrlPr>
              <w:rPr>
                <w:rFonts w:ascii="Cambria Math" w:hAnsi="Cambria Math"/>
              </w:rPr>
            </m:ctrlPr>
          </m:sSupPr>
          <m:e>
            <m:r>
              <w:rPr>
                <w:rFonts w:ascii="Cambria Math" w:hAnsi="Cambria Math"/>
              </w:rPr>
              <m:t>​</m:t>
            </m:r>
          </m:e>
          <m:sup>
            <m:r>
              <w:rPr>
                <w:rFonts w:ascii="Cambria Math" w:hAnsi="Cambria Math"/>
              </w:rPr>
              <m:t>th</m:t>
            </m:r>
          </m:sup>
        </m:sSup>
      </m:oMath>
      <w:r>
        <w:t xml:space="preserve"> percentile), and 190 exceeded </w:t>
      </w:r>
      <m:oMath>
        <m:r>
          <w:rPr>
            <w:rFonts w:ascii="Cambria Math" w:hAnsi="Cambria Math"/>
          </w:rPr>
          <m:t>7.3</m:t>
        </m:r>
      </m:oMath>
      <w:r>
        <w:t xml:space="preserve"> (top 10</w:t>
      </w:r>
      <m:oMath>
        <m:sSup>
          <m:sSupPr>
            <m:ctrlPr>
              <w:rPr>
                <w:rFonts w:ascii="Cambria Math" w:hAnsi="Cambria Math"/>
              </w:rPr>
            </m:ctrlPr>
          </m:sSupPr>
          <m:e>
            <m:r>
              <w:rPr>
                <w:rFonts w:ascii="Cambria Math" w:hAnsi="Cambria Math"/>
              </w:rPr>
              <m:t>​</m:t>
            </m:r>
          </m:e>
          <m:sup>
            <m:r>
              <w:rPr>
                <w:rFonts w:ascii="Cambria Math" w:hAnsi="Cambria Math"/>
              </w:rPr>
              <m:t>th</m:t>
            </m:r>
          </m:sup>
        </m:sSup>
      </m:oMath>
      <w:r>
        <w:t xml:space="preserve"> percentile; Fig. </w:t>
      </w:r>
      <w:r w:rsidR="00154FA1">
        <w:t xml:space="preserve">S6 </w:t>
      </w:r>
      <w:proofErr w:type="gramStart"/>
      <w:r>
        <w:t>a</w:t>
      </w:r>
      <w:r w:rsidR="00154FA1">
        <w:t xml:space="preserve"> and</w:t>
      </w:r>
      <w:proofErr w:type="gramEnd"/>
      <w:r w:rsidR="00154FA1">
        <w:t xml:space="preserve"> Table S17</w:t>
      </w:r>
      <w:r>
        <w:t xml:space="preserve">). To identify distinct high-risk lineages, we constructed HA phylogenies for strains with scores </w:t>
      </w:r>
      <m:oMath>
        <m:r>
          <m:rPr>
            <m:sty m:val="p"/>
          </m:rPr>
          <w:rPr>
            <w:rFonts w:ascii="Cambria Math" w:hAnsi="Cambria Math"/>
          </w:rPr>
          <m:t>&gt;</m:t>
        </m:r>
        <m:r>
          <w:rPr>
            <w:rFonts w:ascii="Cambria Math" w:hAnsi="Cambria Math"/>
          </w:rPr>
          <m:t>6.25</m:t>
        </m:r>
      </m:oMath>
      <w:r>
        <w:t xml:space="preserve"> and collapsed clusters within 15 edits, retaining only the highest-risk representative per group (Fig. </w:t>
      </w:r>
      <w:r w:rsidR="00154FA1">
        <w:t>4</w:t>
      </w:r>
      <w:r>
        <w:t xml:space="preserve">). This yields 80 distinct strains, including 12 with scores </w:t>
      </w:r>
      <m:oMath>
        <m:r>
          <m:rPr>
            <m:sty m:val="p"/>
          </m:rPr>
          <w:rPr>
            <w:rFonts w:ascii="Cambria Math" w:hAnsi="Cambria Math"/>
          </w:rPr>
          <m:t>&gt;</m:t>
        </m:r>
        <m:r>
          <w:rPr>
            <w:rFonts w:ascii="Cambria Math" w:hAnsi="Cambria Math"/>
          </w:rPr>
          <m:t>7</m:t>
        </m:r>
      </m:oMath>
      <w:r>
        <w:t xml:space="preserve"> and 10 exceeding </w:t>
      </w:r>
      <m:oMath>
        <m:r>
          <w:rPr>
            <w:rFonts w:ascii="Cambria Math" w:hAnsi="Cambria Math"/>
          </w:rPr>
          <m:t>7.3</m:t>
        </m:r>
      </m:oMath>
      <w:r>
        <w:t xml:space="preserve"> (top entries in Table </w:t>
      </w:r>
      <w:r w:rsidR="00831A1A">
        <w:t>S18, See also</w:t>
      </w:r>
      <w:r>
        <w:t xml:space="preserve"> Fig. </w:t>
      </w:r>
      <w:r w:rsidR="00154FA1">
        <w:t xml:space="preserve">S6 </w:t>
      </w:r>
      <w:r>
        <w:t>b).</w:t>
      </w:r>
    </w:p>
    <w:p w14:paraId="7C4F0096" w14:textId="77777777" w:rsidR="004370DA" w:rsidRDefault="00000000" w:rsidP="00AD67C5">
      <w:pPr>
        <w:pStyle w:val="BodyText"/>
        <w:spacing w:line="480" w:lineRule="auto"/>
      </w:pPr>
      <w:r>
        <w:t>High-risk strains span subtypes H7N9(1), H1N2(2), H3N2(2), H1N1(2), and H5N1(3), with the most prominent including A/Hong Kong/125/2017(H7N9), A/California/62/2018(H1N2), A/swine/Missouri/A02524408/2023(H3N2), A/swine/</w:t>
      </w:r>
      <w:proofErr w:type="spellStart"/>
      <w:r>
        <w:t>Tver_region</w:t>
      </w:r>
      <w:proofErr w:type="spellEnd"/>
      <w:r>
        <w:t>/RII-81-1S/2023(H1N1), A/swine/</w:t>
      </w:r>
      <w:proofErr w:type="spellStart"/>
      <w:r>
        <w:t>North_Carolina</w:t>
      </w:r>
      <w:proofErr w:type="spellEnd"/>
      <w:r>
        <w:t>/A02479173/2020(H1N1), and A/</w:t>
      </w:r>
      <w:proofErr w:type="spellStart"/>
      <w:r>
        <w:t>Common_Buzzard</w:t>
      </w:r>
      <w:proofErr w:type="spellEnd"/>
      <w:r>
        <w:t>/England/125155/2023(H5N1).</w:t>
      </w:r>
    </w:p>
    <w:p w14:paraId="2199678A" w14:textId="77777777" w:rsidR="00A54A58" w:rsidRDefault="00A54A58" w:rsidP="00AD67C5">
      <w:pPr>
        <w:pStyle w:val="BodyText"/>
        <w:spacing w:line="480" w:lineRule="auto"/>
      </w:pPr>
    </w:p>
    <w:p w14:paraId="6924A16D" w14:textId="77777777" w:rsidR="00E7495A" w:rsidRDefault="00E7495A" w:rsidP="00E7495A">
      <w:pPr>
        <w:pStyle w:val="BodyText"/>
        <w:spacing w:line="480" w:lineRule="auto"/>
      </w:pPr>
      <w:r>
        <w:lastRenderedPageBreak/>
        <w:t>Visual comparison of HA sequences from the 2021–2022 season shows that high-risk strains are, on average, closer in edit distance to dominant human strains, yet substantial substitutions occur inside and outside the RBD in both high- and low-risk groups, underscoring that edit distance alone is insufficient without integration via the E-risk score (Fig. S8–S11).</w:t>
      </w:r>
    </w:p>
    <w:p w14:paraId="195D129B" w14:textId="77777777" w:rsidR="00E7495A" w:rsidRDefault="00E7495A" w:rsidP="00E7495A">
      <w:pPr>
        <w:pStyle w:val="BodyText"/>
        <w:spacing w:line="480" w:lineRule="auto"/>
      </w:pPr>
    </w:p>
    <w:p w14:paraId="22F997F0" w14:textId="5C468B5B" w:rsidR="00E7495A" w:rsidRDefault="00E7495A" w:rsidP="00E7495A">
      <w:pPr>
        <w:pStyle w:val="BodyText"/>
        <w:spacing w:line="480" w:lineRule="auto"/>
      </w:pPr>
      <w:r>
        <w:t xml:space="preserve">Model performance increases with sequence diversity, consistent with faster-mutating organisms being better captured by </w:t>
      </w:r>
      <w:proofErr w:type="spellStart"/>
      <w:r>
        <w:t>Emergenet</w:t>
      </w:r>
      <w:proofErr w:type="spellEnd"/>
      <w:r>
        <w:t xml:space="preserve"> for a fixed sample size, as confirmed by multi-regression analysis (Table S19, Fig. S12).</w:t>
      </w:r>
    </w:p>
    <w:p w14:paraId="2A3618EE" w14:textId="77777777" w:rsidR="004370DA" w:rsidRDefault="00000000" w:rsidP="00AD67C5">
      <w:pPr>
        <w:pStyle w:val="Heading1"/>
      </w:pPr>
      <w:bookmarkStart w:id="11" w:name="discussion"/>
      <w:bookmarkEnd w:id="8"/>
      <w:bookmarkEnd w:id="10"/>
      <w:r>
        <w:t>Discussion</w:t>
      </w:r>
    </w:p>
    <w:p w14:paraId="449422A2" w14:textId="2B33672F" w:rsidR="00E7495A" w:rsidRDefault="00E7495A" w:rsidP="00E7495A">
      <w:pPr>
        <w:spacing w:line="480" w:lineRule="auto"/>
      </w:pPr>
      <w:r>
        <w:t xml:space="preserve">Our results suggest that </w:t>
      </w:r>
      <w:r>
        <w:t xml:space="preserve">Influenza evolution can be viewed as constrained movement through a structured sequence space, where only a small subset of mutational combinations </w:t>
      </w:r>
      <w:proofErr w:type="gramStart"/>
      <w:r>
        <w:t>are</w:t>
      </w:r>
      <w:proofErr w:type="gramEnd"/>
      <w:r>
        <w:t xml:space="preserve"> biologically viable and therefore observable; public sequence databases implicitly encode these fitness constraints, which </w:t>
      </w:r>
      <w:proofErr w:type="spellStart"/>
      <w:r>
        <w:t>Emergenet</w:t>
      </w:r>
      <w:proofErr w:type="spellEnd"/>
      <w:r>
        <w:t xml:space="preserve"> recovers and renders </w:t>
      </w:r>
      <w:proofErr w:type="spellStart"/>
      <w:r>
        <w:t>queryable</w:t>
      </w:r>
      <w:proofErr w:type="spellEnd"/>
      <w:r>
        <w:t xml:space="preserve"> as a data-driven digital twin without explicit mechanistic assumptions.</w:t>
      </w:r>
    </w:p>
    <w:p w14:paraId="1F46F2F1" w14:textId="283F3C73" w:rsidR="00E7495A" w:rsidRDefault="00E7495A" w:rsidP="00E7495A">
      <w:pPr>
        <w:spacing w:line="480" w:lineRule="auto"/>
      </w:pPr>
      <w:r>
        <w:t>Because influenza selection pressures are non-stationary</w:t>
      </w:r>
      <w:r>
        <w:t xml:space="preserve">, </w:t>
      </w:r>
      <w:r>
        <w:t>shaped by shifting circulation patterns and host immunity, including cytotoxic T-cell escape (</w:t>
      </w:r>
      <w:proofErr w:type="spellStart"/>
      <w:r>
        <w:t>Woolthuis</w:t>
      </w:r>
      <w:proofErr w:type="spellEnd"/>
      <w:r>
        <w:t xml:space="preserve"> et al. 2016; Fan et al. 2012; </w:t>
      </w:r>
      <w:proofErr w:type="spellStart"/>
      <w:r>
        <w:t>Sandt</w:t>
      </w:r>
      <w:proofErr w:type="spellEnd"/>
      <w:r>
        <w:t xml:space="preserve"> et al. 2016; Van de </w:t>
      </w:r>
      <w:proofErr w:type="spellStart"/>
      <w:r>
        <w:t>Sandt</w:t>
      </w:r>
      <w:proofErr w:type="spellEnd"/>
      <w:r>
        <w:t xml:space="preserve">, </w:t>
      </w:r>
      <w:proofErr w:type="spellStart"/>
      <w:r>
        <w:t>Kreijtz</w:t>
      </w:r>
      <w:proofErr w:type="spellEnd"/>
      <w:r>
        <w:t xml:space="preserve">, and </w:t>
      </w:r>
      <w:proofErr w:type="spellStart"/>
      <w:r>
        <w:t>Rimmelzwaan</w:t>
      </w:r>
      <w:proofErr w:type="spellEnd"/>
      <w:r>
        <w:t xml:space="preserve"> 2012)</w:t>
      </w:r>
      <w:r>
        <w:t xml:space="preserve">, </w:t>
      </w:r>
      <w:r>
        <w:t>retraining on recent circulation windows yields a time-indexed model aligned with contemporary ecological and immunological context.</w:t>
      </w:r>
    </w:p>
    <w:p w14:paraId="3B7A8B38" w14:textId="77777777" w:rsidR="00E7495A" w:rsidRDefault="00E7495A" w:rsidP="00E7495A">
      <w:pPr>
        <w:spacing w:line="480" w:lineRule="auto"/>
      </w:pPr>
    </w:p>
    <w:p w14:paraId="797F499F" w14:textId="77777777" w:rsidR="00E7495A" w:rsidRDefault="00E7495A" w:rsidP="00E7495A">
      <w:pPr>
        <w:spacing w:line="480" w:lineRule="auto"/>
      </w:pPr>
    </w:p>
    <w:p w14:paraId="39AAE0BC" w14:textId="77777777" w:rsidR="00E7495A" w:rsidRDefault="00E7495A" w:rsidP="00E7495A">
      <w:pPr>
        <w:pStyle w:val="BodyText"/>
        <w:spacing w:line="480" w:lineRule="auto"/>
      </w:pPr>
      <w:r>
        <w:lastRenderedPageBreak/>
        <w:t xml:space="preserve">Seasonal forecasting provides a stringent validation that the inferred constraints capture population-level evolutionary dynamics: using sequence data alone, </w:t>
      </w:r>
      <w:proofErr w:type="spellStart"/>
      <w:r>
        <w:t>Emergenet</w:t>
      </w:r>
      <w:proofErr w:type="spellEnd"/>
      <w:r>
        <w:t xml:space="preserve"> consistently outperforms WHO/CDC recommendations for H1N1 and H3N2 over two decades, despite the limited scalability of antigenic assays relative to sequencing (Wood et al. 2012</w:t>
      </w:r>
      <w:proofErr w:type="gramStart"/>
      <w:r>
        <w:t>), and</w:t>
      </w:r>
      <w:proofErr w:type="gramEnd"/>
      <w:r>
        <w:t xml:space="preserve"> approaches the performance of methods incorporating antigenic novelty (Huddleston et al. 2020).</w:t>
      </w:r>
    </w:p>
    <w:p w14:paraId="7CDF5FD2" w14:textId="77777777" w:rsidR="00E7495A" w:rsidRDefault="00E7495A" w:rsidP="00E7495A">
      <w:pPr>
        <w:pStyle w:val="BodyText"/>
        <w:spacing w:line="480" w:lineRule="auto"/>
      </w:pPr>
      <w:r>
        <w:t xml:space="preserve">This success reflects a shift in perspective rather than a contradiction of established theory—clade competition and antigenic novelty manifest as coordinated genomic changes—and learning these empirical regularities enables representative strain selection, with a two-cluster strategy capturing the multi-modal structure of within-season populations without explicit phylogeny </w:t>
      </w:r>
      <w:proofErr w:type="spellStart"/>
      <w:r>
        <w:t>reconstruction.</w:t>
      </w:r>
      <w:proofErr w:type="spellEnd"/>
    </w:p>
    <w:p w14:paraId="79C0594E" w14:textId="77777777" w:rsidR="00E7495A" w:rsidRDefault="00E7495A" w:rsidP="00E7495A">
      <w:pPr>
        <w:pStyle w:val="BodyText"/>
        <w:spacing w:line="480" w:lineRule="auto"/>
      </w:pPr>
      <w:r>
        <w:t xml:space="preserve">The emergence-risk analysis extends </w:t>
      </w:r>
      <w:proofErr w:type="spellStart"/>
      <w:r>
        <w:t>Emergenet</w:t>
      </w:r>
      <w:proofErr w:type="spellEnd"/>
      <w:r>
        <w:t xml:space="preserve"> from within-human evolution to cross-host assessment, with strong out-of-sample correlation between </w:t>
      </w:r>
      <w:proofErr w:type="spellStart"/>
      <w:r>
        <w:t>Emergenet</w:t>
      </w:r>
      <w:proofErr w:type="spellEnd"/>
      <w:r>
        <w:t>-derived scores and CDC IRAT scores indicating that sequence-based digital twins recover information comparable to expert- and assay-driven evaluations.</w:t>
      </w:r>
    </w:p>
    <w:p w14:paraId="21E4F2A6" w14:textId="77777777" w:rsidR="00E7495A" w:rsidRDefault="00E7495A" w:rsidP="00E7495A">
      <w:pPr>
        <w:pStyle w:val="BodyText"/>
        <w:spacing w:line="480" w:lineRule="auto"/>
      </w:pPr>
    </w:p>
    <w:p w14:paraId="3FF4D1F6" w14:textId="2E27AEB3" w:rsidR="00E7495A" w:rsidRDefault="00E7495A" w:rsidP="00E7495A">
      <w:pPr>
        <w:pStyle w:val="BodyText"/>
        <w:spacing w:line="480" w:lineRule="auto"/>
      </w:pPr>
      <w:r>
        <w:t>While not a replacement for experimental assessment, agreement with IRAT—the primary operational proxy for emergence risk—shows that constraints learned from human circulation encode zoonotic proximity and enable surveillance-scale prioritization by reducing per-strain assessment from weeks to seconds.</w:t>
      </w:r>
    </w:p>
    <w:p w14:paraId="323C842E" w14:textId="77777777" w:rsidR="00E7495A" w:rsidRDefault="00E7495A" w:rsidP="00E7495A">
      <w:pPr>
        <w:pStyle w:val="BodyText"/>
        <w:spacing w:line="480" w:lineRule="auto"/>
      </w:pPr>
    </w:p>
    <w:p w14:paraId="015D830B" w14:textId="44BDB757" w:rsidR="00A54A58" w:rsidRDefault="00000000" w:rsidP="00AD67C5">
      <w:pPr>
        <w:pStyle w:val="BodyText"/>
        <w:spacing w:line="480" w:lineRule="auto"/>
      </w:pPr>
      <w:r>
        <w:t xml:space="preserve">We highlight </w:t>
      </w:r>
      <w:r w:rsidR="005C7378">
        <w:t>that</w:t>
      </w:r>
      <w:r>
        <w:t xml:space="preserve"> </w:t>
      </w:r>
      <w:r w:rsidR="005C7378">
        <w:t>s</w:t>
      </w:r>
      <w:r w:rsidR="00E7495A">
        <w:t xml:space="preserve">imple similarity heuristics are insufficient for emergence assessment: although RBD edit distance correlates with learned distances in some settings, small sets of loci </w:t>
      </w:r>
      <w:r w:rsidR="00E7495A">
        <w:lastRenderedPageBreak/>
        <w:t>fail to generalize across strains due to epistasis and compensatory mutations distributing functional effects across residues.</w:t>
      </w:r>
      <w:r w:rsidR="00E7495A">
        <w:t xml:space="preserve"> </w:t>
      </w:r>
      <w:r w:rsidR="00E7495A">
        <w:t>SHAP attribution shows that influential sites are non-uniformly distributed, with a small subset</w:t>
      </w:r>
      <w:r w:rsidR="00E7495A">
        <w:t xml:space="preserve"> </w:t>
      </w:r>
      <w:r w:rsidR="00E7495A">
        <w:t>enriched in the RBD</w:t>
      </w:r>
      <w:r w:rsidR="00E7495A">
        <w:t xml:space="preserve">, </w:t>
      </w:r>
      <w:r w:rsidR="00E7495A">
        <w:t>accounting for most phenotypic effect, underscoring the need to integrate distributed dependencies rather than test individual positions in isolation.</w:t>
      </w:r>
    </w:p>
    <w:p w14:paraId="3DF4C00A" w14:textId="4F5AC0A8" w:rsidR="00E7495A" w:rsidRDefault="005C7378" w:rsidP="005C7378">
      <w:pPr>
        <w:pStyle w:val="BodyText"/>
        <w:spacing w:line="480" w:lineRule="auto"/>
      </w:pPr>
      <w:r>
        <w:t>Our r</w:t>
      </w:r>
      <w:r>
        <w:t>obustness analyses show that despite sparse and uneven bio</w:t>
      </w:r>
      <w:r>
        <w:t>-</w:t>
      </w:r>
      <w:r>
        <w:t>surveillance, the dominant evolutionary geometry is stably recovered: within-cluster distances remain smaller than between-cluster distances across retraining, and subsampling yields small standard errors.</w:t>
      </w:r>
      <w:r>
        <w:t xml:space="preserve"> Additional c</w:t>
      </w:r>
      <w:r>
        <w:t>onsistency checks using variant viruses isolated in humans show enrichment in the high-risk tail and increasing risk prior to human isolation, supporting interpretation of the score as a measure of zoonotic proximity rather than generic sequence similarity.</w:t>
      </w:r>
    </w:p>
    <w:p w14:paraId="7AA29033" w14:textId="77777777" w:rsidR="00A54A58" w:rsidRDefault="00A54A58" w:rsidP="00AD67C5">
      <w:pPr>
        <w:pStyle w:val="BodyText"/>
        <w:spacing w:line="480" w:lineRule="auto"/>
      </w:pPr>
    </w:p>
    <w:p w14:paraId="776D67C0" w14:textId="77777777" w:rsidR="004370DA" w:rsidRDefault="00000000" w:rsidP="00AD67C5">
      <w:pPr>
        <w:pStyle w:val="BodyText"/>
        <w:spacing w:line="480" w:lineRule="auto"/>
      </w:pPr>
      <w:r>
        <w:t>Finally, at a global scale, ranking 6,354 animal strains collected since 2020 demonstrates feasibility for practical triage. Although many strains exceed risk thresholds, substantial redundancy exists among near-duplicates. Collapsing these into distinct lineages underscores a key deployment principle: surveillance pipelines should separate identification of high-risk candidates from consolidation into tractable sets for follow-up. The resulting distribution of hosts and subtypes including strong representation from swine, recognized mixing vessels (Ma, Kahn, and Richt 2009; Nelson and Worobey 2018; Reid and Taubenberger 2003; Baumann et al. 2015), and avian strains such as H5N1, consistent with ongoing spillover concerns (Disease Control and Prevention 2024), aligns with established epidemiologic understanding. While such alignment does not establish predictive validity, it argues against pathological or implausible rankings.</w:t>
      </w:r>
    </w:p>
    <w:p w14:paraId="0F6773FF" w14:textId="297BDADA" w:rsidR="004370DA" w:rsidRDefault="00000000" w:rsidP="00AD67C5">
      <w:pPr>
        <w:pStyle w:val="BodyText"/>
        <w:spacing w:line="480" w:lineRule="auto"/>
      </w:pPr>
      <w:r>
        <w:lastRenderedPageBreak/>
        <w:t>We have important limitations. The framework does not provide a mechanistic causal model of host adaptation, nor does it estimate absolute probabilities of emergence. Risk remains conditional on ecological opportunity, exposure, and factors not encoded in sequence data. The claim is operational: given an animal strain and a recent human circulation background, the digital twin quantifies proximity to the human-adapted region of sequence space under empirically learned constraints. This quantity is informative for prioritization and is best interpreted as a surveillance signal guiding downstream experimental and epidemiologic investigation.</w:t>
      </w:r>
      <w:r w:rsidR="005C7378">
        <w:t xml:space="preserve"> </w:t>
      </w:r>
      <w:r>
        <w:t>Furthermore, we require sufficient sequence diversity and is currently limited to analogous proteins,</w:t>
      </w:r>
      <w:r w:rsidR="00831A1A">
        <w:t xml:space="preserve"> and</w:t>
      </w:r>
      <w:r>
        <w:t xml:space="preserve"> dataset diversity </w:t>
      </w:r>
      <w:r w:rsidR="00831A1A">
        <w:t>was shown to be a key</w:t>
      </w:r>
      <w:r>
        <w:t xml:space="preserve"> determinant of model performance, limiting applicability to completely novel or slowly evolving pathogens.</w:t>
      </w:r>
    </w:p>
    <w:p w14:paraId="0ED9BFE0" w14:textId="293C1682" w:rsidR="004370DA" w:rsidRDefault="005C7378" w:rsidP="005C7378">
      <w:pPr>
        <w:pStyle w:val="Heading1"/>
      </w:pPr>
      <w:bookmarkStart w:id="12" w:name="conclusion"/>
      <w:r>
        <w:t>Conclusion</w:t>
      </w:r>
    </w:p>
    <w:p w14:paraId="52A2BDBB" w14:textId="5640B985" w:rsidR="004370DA" w:rsidRDefault="00000000" w:rsidP="00AD67C5">
      <w:pPr>
        <w:spacing w:line="480" w:lineRule="auto"/>
      </w:pPr>
      <w:r>
        <w:t xml:space="preserve">Existing tools for quantifying genomic similarity (Posada and Crandall 1998; Goldberger and Peng 2005; Huelsenbeck and Crandall 1997; Neher, Russell, and </w:t>
      </w:r>
      <w:proofErr w:type="spellStart"/>
      <w:r>
        <w:t>Shraiman</w:t>
      </w:r>
      <w:proofErr w:type="spellEnd"/>
      <w:r>
        <w:t xml:space="preserve"> 2014; Smith et al. 2009) do not, by themselves, imply a high likelihood of cross-host transition. The Emergenet addresses this gap by learning a biologically meaningful comparison metric directly from population data, without assuming substitution models or genealogical structure. While environmental effects and selection cannot be inferred from a single sequence, large-scale observational data can be leveraged to recover predictive constraints on viral evolution. These findings are consistent with recent demonstrations of mutation predictability across organisms (Mollentze, Babayan, and Streicker 2021; Maher et al. 2022).</w:t>
      </w:r>
    </w:p>
    <w:p w14:paraId="1E49B672" w14:textId="4E3F63BD" w:rsidR="00154FA1" w:rsidRDefault="00000000" w:rsidP="00E7495A">
      <w:pPr>
        <w:pStyle w:val="BodyText"/>
        <w:spacing w:line="480" w:lineRule="auto"/>
      </w:pPr>
      <w:r>
        <w:t xml:space="preserve">Thus, despite limitations, our results position the Emergenet for improving seasonal vaccine selection and, more importantly, enable preemptive prioritization of animal strains before the first human infection of a future pandemic. Beyond precision public health, such proactive </w:t>
      </w:r>
      <w:r>
        <w:lastRenderedPageBreak/>
        <w:t>strategies may also support public trust by shifting response from reactive crisis management to anticipatory risk mitigation.</w:t>
      </w:r>
      <w:bookmarkStart w:id="13" w:name="availability-of-data-and-materials"/>
      <w:bookmarkStart w:id="14" w:name="ref-agor2018models"/>
      <w:bookmarkStart w:id="15" w:name="refs"/>
      <w:bookmarkEnd w:id="11"/>
      <w:bookmarkEnd w:id="12"/>
    </w:p>
    <w:p w14:paraId="3C289129" w14:textId="7F2E3A3B" w:rsidR="005C7378" w:rsidRDefault="005C7378" w:rsidP="00E7495A">
      <w:pPr>
        <w:pStyle w:val="BodyText"/>
        <w:spacing w:line="480" w:lineRule="auto"/>
      </w:pPr>
      <w:r w:rsidRPr="005C7378">
        <w:t>For the military, this capability directly supports force health protection and operational readiness by enabling early identification of emerging influenza threats that could disrupt deployments, training pipelines, and global logistics. A sequence-only, scalable surveillance signal allows proactive countermeasure planning, targeted monitoring of high-risk regions and hosts, and faster decision-making under uncertainty—shifting biodefense posture from reactive response to anticipatory risk management.</w:t>
      </w:r>
    </w:p>
    <w:p w14:paraId="5D814F6A" w14:textId="7069F70A" w:rsidR="00154FA1" w:rsidRDefault="00154FA1" w:rsidP="00AD67C5">
      <w:pPr>
        <w:pStyle w:val="Heading1"/>
      </w:pPr>
      <w:r>
        <w:t>References</w:t>
      </w:r>
    </w:p>
    <w:p w14:paraId="2EB6617E" w14:textId="0CE8E40C" w:rsidR="004370DA" w:rsidRDefault="00000000" w:rsidP="00AD67C5">
      <w:pPr>
        <w:spacing w:before="360" w:after="360" w:line="480" w:lineRule="auto"/>
      </w:pPr>
      <w:proofErr w:type="spellStart"/>
      <w:r>
        <w:t>Agor</w:t>
      </w:r>
      <w:proofErr w:type="spellEnd"/>
      <w:r>
        <w:t xml:space="preserve">, Joseph K, and Osman Y Özaltın. 2018. “Models for Predicting the Evolution of Influenza to Inform Vaccine Strain Selection.” </w:t>
      </w:r>
      <w:r>
        <w:rPr>
          <w:i/>
          <w:iCs/>
        </w:rPr>
        <w:t>Human Vaccines &amp; Immunotherapeutics</w:t>
      </w:r>
      <w:r>
        <w:t xml:space="preserve"> 14 (3): 678–83.</w:t>
      </w:r>
    </w:p>
    <w:p w14:paraId="25C6F4F1" w14:textId="77777777" w:rsidR="004370DA" w:rsidRDefault="00000000" w:rsidP="00AD67C5">
      <w:pPr>
        <w:spacing w:before="360" w:after="360" w:line="480" w:lineRule="auto"/>
      </w:pPr>
      <w:bookmarkStart w:id="16" w:name="ref-ahlquist2002rna"/>
      <w:bookmarkEnd w:id="14"/>
      <w:r>
        <w:t xml:space="preserve">Ahlquist, Paul. 2002. “RNA-Dependent RNA Polymerases, Viruses, and RNA Silencing.” </w:t>
      </w:r>
      <w:r>
        <w:rPr>
          <w:i/>
          <w:iCs/>
        </w:rPr>
        <w:t>Science</w:t>
      </w:r>
      <w:r>
        <w:t xml:space="preserve"> 296 (5571): 1270–73.</w:t>
      </w:r>
    </w:p>
    <w:p w14:paraId="5CAF970B" w14:textId="77777777" w:rsidR="004370DA" w:rsidRDefault="00000000" w:rsidP="00AD67C5">
      <w:pPr>
        <w:spacing w:before="360" w:after="360" w:line="480" w:lineRule="auto"/>
      </w:pPr>
      <w:bookmarkStart w:id="17" w:name="ref-Baumann"/>
      <w:bookmarkEnd w:id="16"/>
      <w:r>
        <w:t xml:space="preserve">Baumann, Jan, Nancy Mounogou Kouassi, Emanuela Foni, Hans-Dieter Klenk, and Mikhail Matrosovich. 2015. “H1N1 Swine Influenza Viruses Differ from Avian Precursors by a Higher pH Optimum of Membrane Fusion.” </w:t>
      </w:r>
      <w:r>
        <w:rPr>
          <w:i/>
          <w:iCs/>
        </w:rPr>
        <w:t>Journal of Virology</w:t>
      </w:r>
      <w:r>
        <w:t xml:space="preserve">. </w:t>
      </w:r>
      <w:hyperlink r:id="rId8">
        <w:r w:rsidR="004370DA">
          <w:t>https://doi.org/10.1128/JVI.02332-15</w:t>
        </w:r>
      </w:hyperlink>
      <w:r>
        <w:t>.</w:t>
      </w:r>
    </w:p>
    <w:p w14:paraId="291664BC" w14:textId="77777777" w:rsidR="004370DA" w:rsidRDefault="00000000" w:rsidP="00AD67C5">
      <w:pPr>
        <w:spacing w:before="360" w:after="360" w:line="480" w:lineRule="auto"/>
      </w:pPr>
      <w:bookmarkStart w:id="18" w:name="ref-bogner2006global"/>
      <w:bookmarkEnd w:id="17"/>
      <w:r>
        <w:t xml:space="preserve">Bogner, Peter, Ilaria Capua, David J Lipman, and Nancy J Cox. 2006. “A Global Initiative on Sharing Avian Flu Data.” </w:t>
      </w:r>
      <w:r>
        <w:rPr>
          <w:i/>
          <w:iCs/>
        </w:rPr>
        <w:t>Nature</w:t>
      </w:r>
      <w:r>
        <w:t xml:space="preserve"> 442 (7106): 981–81.</w:t>
      </w:r>
    </w:p>
    <w:p w14:paraId="5B2338CB" w14:textId="77777777" w:rsidR="004370DA" w:rsidRDefault="00000000" w:rsidP="00AD67C5">
      <w:pPr>
        <w:spacing w:before="360" w:after="360" w:line="480" w:lineRule="auto"/>
      </w:pPr>
      <w:bookmarkStart w:id="19" w:name="ref-boni2008vaccination"/>
      <w:bookmarkEnd w:id="18"/>
      <w:r>
        <w:t xml:space="preserve">Boni, Maciej F. 2008. “Vaccination and Antigenic Drift in Influenza.” </w:t>
      </w:r>
      <w:r>
        <w:rPr>
          <w:i/>
          <w:iCs/>
        </w:rPr>
        <w:t>Vaccine</w:t>
      </w:r>
      <w:r>
        <w:t xml:space="preserve"> 26: C8–14.</w:t>
      </w:r>
    </w:p>
    <w:p w14:paraId="71469BEF" w14:textId="77777777" w:rsidR="004370DA" w:rsidRDefault="00000000" w:rsidP="00AD67C5">
      <w:pPr>
        <w:spacing w:before="360" w:after="360" w:line="480" w:lineRule="auto"/>
      </w:pPr>
      <w:bookmarkStart w:id="20" w:name="ref-carugo2001normalized"/>
      <w:bookmarkEnd w:id="19"/>
      <w:r>
        <w:lastRenderedPageBreak/>
        <w:t xml:space="preserve">Carugo, Oliviero, and Sándor Pongor. 2001. “A Normalized Root-Mean-Spuare Distance for Comparing Protein Three-Dimensional Structures.” </w:t>
      </w:r>
      <w:r>
        <w:rPr>
          <w:i/>
          <w:iCs/>
        </w:rPr>
        <w:t>Protein Science</w:t>
      </w:r>
      <w:r>
        <w:t xml:space="preserve"> 10 (7): 1470–73.</w:t>
      </w:r>
    </w:p>
    <w:p w14:paraId="3CD91802" w14:textId="77777777" w:rsidR="004370DA" w:rsidRDefault="00000000" w:rsidP="00AD67C5">
      <w:pPr>
        <w:spacing w:before="360" w:after="360" w:line="480" w:lineRule="auto"/>
      </w:pPr>
      <w:bookmarkStart w:id="21" w:name="ref-caton1982antigenic"/>
      <w:bookmarkEnd w:id="20"/>
      <w:r>
        <w:t xml:space="preserve">Caton, AJ, GG Brownlee, JW Yewdell, and W Gerhard. 1982. “The Antigenic Structure of the Influenza Virus a/PR/8/34 Hemagglutinin (H1 Subtype).” </w:t>
      </w:r>
      <w:r>
        <w:rPr>
          <w:i/>
          <w:iCs/>
        </w:rPr>
        <w:t>Cell</w:t>
      </w:r>
      <w:r>
        <w:t xml:space="preserve"> 31 (2): 417–27.</w:t>
      </w:r>
    </w:p>
    <w:p w14:paraId="6F7AEC0D" w14:textId="77777777" w:rsidR="004370DA" w:rsidRDefault="00000000" w:rsidP="00AD67C5">
      <w:pPr>
        <w:spacing w:before="360" w:after="360" w:line="480" w:lineRule="auto"/>
      </w:pPr>
      <w:bookmarkStart w:id="22" w:name="ref-Influenz24:online"/>
      <w:bookmarkEnd w:id="21"/>
      <w:r>
        <w:t xml:space="preserve">CDC. 2020. “Influenza Risk Assessment Tool (IRAT).” </w:t>
      </w:r>
      <w:hyperlink r:id="rId9">
        <w:r w:rsidR="004370DA">
          <w:t>https://www.cdc.gov/flu/pandemic-resources/national-strategy/risk-assessment.htm</w:t>
        </w:r>
      </w:hyperlink>
      <w:r>
        <w:t>.</w:t>
      </w:r>
    </w:p>
    <w:p w14:paraId="59BE9B11" w14:textId="77777777" w:rsidR="004370DA" w:rsidRDefault="00000000" w:rsidP="00AD67C5">
      <w:pPr>
        <w:spacing w:before="360" w:after="360" w:line="480" w:lineRule="auto"/>
      </w:pPr>
      <w:bookmarkStart w:id="23" w:name="ref-chen2006avian"/>
      <w:bookmarkEnd w:id="22"/>
      <w:r>
        <w:t xml:space="preserve">Chen, Rubing, and Edward C Holmes. 2006. “Avian Influenza Virus Exhibits Rapid Evolutionary Dynamics.” </w:t>
      </w:r>
      <w:r>
        <w:rPr>
          <w:i/>
          <w:iCs/>
        </w:rPr>
        <w:t>Molecular Biology and Evolution</w:t>
      </w:r>
      <w:r>
        <w:t xml:space="preserve"> 23 (12): 2336–41.</w:t>
      </w:r>
    </w:p>
    <w:p w14:paraId="004FCE0C" w14:textId="77777777" w:rsidR="004370DA" w:rsidRDefault="00000000" w:rsidP="00AD67C5">
      <w:pPr>
        <w:spacing w:before="360" w:after="360" w:line="480" w:lineRule="auto"/>
      </w:pPr>
      <w:bookmarkStart w:id="24" w:name="ref-cover"/>
      <w:bookmarkEnd w:id="23"/>
      <w:r>
        <w:t xml:space="preserve">Cover, Thomas M., and Joy A. Thomas. 2006. </w:t>
      </w:r>
      <w:r>
        <w:rPr>
          <w:i/>
          <w:iCs/>
        </w:rPr>
        <w:t>Elements of Information Theory (Wiley Series in Telecommunications and Signal Processing)</w:t>
      </w:r>
      <w:r>
        <w:t>. New York, NY, USA: Wiley-Interscience.</w:t>
      </w:r>
    </w:p>
    <w:p w14:paraId="10A040EF" w14:textId="77777777" w:rsidR="004370DA" w:rsidRDefault="00000000" w:rsidP="00AD67C5">
      <w:pPr>
        <w:spacing w:before="360" w:after="360" w:line="480" w:lineRule="auto"/>
      </w:pPr>
      <w:bookmarkStart w:id="25" w:name="ref-CDC_H5N1_Human_Case"/>
      <w:bookmarkEnd w:id="24"/>
      <w:r>
        <w:t xml:space="preserve">Disease Control, Centers for, and Prevention. 2024. “CDC Reports Human Case of H5N1.” </w:t>
      </w:r>
      <w:hyperlink r:id="rId10">
        <w:r w:rsidR="004370DA">
          <w:t>https://www.cdc.gov/media/releases/2024/s0522-human-case-h5.html</w:t>
        </w:r>
      </w:hyperlink>
      <w:r>
        <w:t>.</w:t>
      </w:r>
    </w:p>
    <w:p w14:paraId="6EE7C87F" w14:textId="77777777" w:rsidR="004370DA" w:rsidRDefault="00000000" w:rsidP="00AD67C5">
      <w:pPr>
        <w:spacing w:before="360" w:after="360" w:line="480" w:lineRule="auto"/>
      </w:pPr>
      <w:bookmarkStart w:id="26" w:name="ref-dos2016influenza"/>
      <w:bookmarkEnd w:id="25"/>
      <w:r>
        <w:t xml:space="preserve">Dos Santos, Gaël, Elisabeth Neumeier, and Rafik Bekkat-Berkani. 2016. “Influenza: Can We Cope Better with the Unpredictable?” </w:t>
      </w:r>
      <w:r>
        <w:rPr>
          <w:i/>
          <w:iCs/>
        </w:rPr>
        <w:t>Human Vaccines &amp; Immunotherapeutics</w:t>
      </w:r>
      <w:r>
        <w:t xml:space="preserve"> 12 (3): 699–708.</w:t>
      </w:r>
    </w:p>
    <w:p w14:paraId="4D0396C5" w14:textId="77777777" w:rsidR="004370DA" w:rsidRDefault="00000000" w:rsidP="00AD67C5">
      <w:pPr>
        <w:spacing w:before="360" w:after="360" w:line="480" w:lineRule="auto"/>
      </w:pPr>
      <w:bookmarkStart w:id="27" w:name="ref-eng2014predicting"/>
      <w:bookmarkEnd w:id="26"/>
      <w:r>
        <w:t xml:space="preserve">Eng, Christine LP, Joo Chuan Tong, and Tin Wee Tan. 2014. “Predicting Host Tropism of Influenza a Virus Proteins Using Random Forest.” </w:t>
      </w:r>
      <w:r>
        <w:rPr>
          <w:i/>
          <w:iCs/>
        </w:rPr>
        <w:t>BMC Medical Genomics</w:t>
      </w:r>
      <w:r>
        <w:t xml:space="preserve"> 7 (3): 1–11.</w:t>
      </w:r>
    </w:p>
    <w:p w14:paraId="1DBBDF5B" w14:textId="77777777" w:rsidR="004370DA" w:rsidRDefault="00000000" w:rsidP="00AD67C5">
      <w:pPr>
        <w:spacing w:before="360" w:after="360" w:line="480" w:lineRule="auto"/>
      </w:pPr>
      <w:bookmarkStart w:id="28" w:name="ref-fan2012role"/>
      <w:bookmarkEnd w:id="27"/>
      <w:r>
        <w:lastRenderedPageBreak/>
        <w:t xml:space="preserve">Fan, Kewei, Yinping Jia, Song Wang, Hua Li, Defeng Wu, Guoshun Wang, and Ji-Long Chen. 2012. “Role of Itk Signalling in the Interaction Between Influenza a Virus and t-Cells.” </w:t>
      </w:r>
      <w:r>
        <w:rPr>
          <w:i/>
          <w:iCs/>
        </w:rPr>
        <w:t>Journal of General Virology</w:t>
      </w:r>
      <w:r>
        <w:t xml:space="preserve"> 93 (5): 987–97.</w:t>
      </w:r>
    </w:p>
    <w:p w14:paraId="4B746D17" w14:textId="77777777" w:rsidR="004370DA" w:rsidRDefault="00000000" w:rsidP="00AD67C5">
      <w:pPr>
        <w:spacing w:before="360" w:after="360" w:line="480" w:lineRule="auto"/>
      </w:pPr>
      <w:bookmarkStart w:id="29" w:name="ref-gamblin2010influenza"/>
      <w:bookmarkEnd w:id="28"/>
      <w:r>
        <w:t xml:space="preserve">Gamblin, Steven J, and John J Skehel. 2010. “Influenza Hemagglutinin and Neuraminidase Membrane Glycoproteins.” </w:t>
      </w:r>
      <w:r>
        <w:rPr>
          <w:i/>
          <w:iCs/>
        </w:rPr>
        <w:t>Journal of Biological Chemistry</w:t>
      </w:r>
      <w:r>
        <w:t xml:space="preserve"> 285 (37): 28403–9.</w:t>
      </w:r>
    </w:p>
    <w:p w14:paraId="4C89ECB0" w14:textId="77777777" w:rsidR="004370DA" w:rsidRDefault="00000000" w:rsidP="00AD67C5">
      <w:pPr>
        <w:spacing w:before="360" w:after="360" w:line="480" w:lineRule="auto"/>
      </w:pPr>
      <w:bookmarkStart w:id="30" w:name="ref-goldberger2005genomic"/>
      <w:bookmarkEnd w:id="29"/>
      <w:r>
        <w:t xml:space="preserve">Goldberger, Ary L, and C-K Peng. 2005. “Genomic Classification Using an Information-Based Similarity Index: Application to the SARS Coronavirus.” </w:t>
      </w:r>
      <w:r>
        <w:rPr>
          <w:i/>
          <w:iCs/>
        </w:rPr>
        <w:t>Journal of Computational Biology</w:t>
      </w:r>
      <w:r>
        <w:t xml:space="preserve"> 12 (8): 1103–16.</w:t>
      </w:r>
    </w:p>
    <w:p w14:paraId="6249F3E7" w14:textId="77777777" w:rsidR="004370DA" w:rsidRDefault="00000000" w:rsidP="00AD67C5">
      <w:pPr>
        <w:spacing w:before="360" w:after="360" w:line="480" w:lineRule="auto"/>
      </w:pPr>
      <w:bookmarkStart w:id="31" w:name="ref-grange2021ranking"/>
      <w:bookmarkEnd w:id="30"/>
      <w:r>
        <w:t xml:space="preserve">Grange, Zoë L, Tracey Goldstein, Christine K Johnson, Simon Anthony, Kirsten Gilardi, Peter Daszak, Kevin J Olival, et al. 2021. “Ranking the Risk of Animal-to-Human Spillover for Newly Discovered Viruses.” </w:t>
      </w:r>
      <w:r>
        <w:rPr>
          <w:i/>
          <w:iCs/>
        </w:rPr>
        <w:t>Proceedings of the National Academy of Sciences</w:t>
      </w:r>
      <w:r>
        <w:t xml:space="preserve"> 118 (15): e2002324118.</w:t>
      </w:r>
    </w:p>
    <w:p w14:paraId="19F319DB" w14:textId="77777777" w:rsidR="004370DA" w:rsidRDefault="00000000" w:rsidP="00AD67C5">
      <w:pPr>
        <w:spacing w:before="360" w:after="360" w:line="480" w:lineRule="auto"/>
      </w:pPr>
      <w:bookmarkStart w:id="32" w:name="ref-hatcher2017virus"/>
      <w:bookmarkEnd w:id="31"/>
      <w:r>
        <w:t xml:space="preserve">Hatcher, Eneida L, Sergey A Zhdanov, Yiming Bao, Olga Blinkova, Eric P Nawrocki, Yuri Ostapchuck, Alejandro A Schäffer, and J Rodney Brister. 2017. “Virus Variation Resource–Improved Response to Emergent Viral Outbreaks.” </w:t>
      </w:r>
      <w:r>
        <w:rPr>
          <w:i/>
          <w:iCs/>
        </w:rPr>
        <w:t>Nucleic Acids Research</w:t>
      </w:r>
      <w:r>
        <w:t xml:space="preserve"> 45 (D1): D482–90.</w:t>
      </w:r>
    </w:p>
    <w:p w14:paraId="1E33AB6C" w14:textId="77777777" w:rsidR="004370DA" w:rsidRDefault="00000000" w:rsidP="00AD67C5">
      <w:pPr>
        <w:spacing w:before="360" w:after="360" w:line="480" w:lineRule="auto"/>
      </w:pPr>
      <w:bookmarkStart w:id="33" w:name="ref-Hothorn06unbiasedrecursive"/>
      <w:bookmarkEnd w:id="32"/>
      <w:r>
        <w:t xml:space="preserve">Hothorn, Torsten, Kurt Hornik, and Achim Zeileis. 2006. “Unbiased Recursive Partitioning: A Conditional Inference Framework.” </w:t>
      </w:r>
      <w:r>
        <w:rPr>
          <w:i/>
          <w:iCs/>
        </w:rPr>
        <w:t>JOURNAL OF COMPUTATIONAL AND GRAPHICAL STATISTICS</w:t>
      </w:r>
      <w:r>
        <w:t xml:space="preserve"> 15 (3): 651–74.</w:t>
      </w:r>
    </w:p>
    <w:p w14:paraId="3F43FEF0" w14:textId="77777777" w:rsidR="004370DA" w:rsidRDefault="00000000" w:rsidP="00AD67C5">
      <w:pPr>
        <w:spacing w:before="360" w:after="360" w:line="480" w:lineRule="auto"/>
      </w:pPr>
      <w:bookmarkStart w:id="34" w:name="ref-huddleston2020integrating"/>
      <w:bookmarkEnd w:id="33"/>
      <w:r>
        <w:t xml:space="preserve">Huddleston, John, John R Barnes, Thomas Rowe, Xiyan Xu, Rebecca Kondor, David E Wentworth, Lynne Whittaker, et al. 2020. “Integrating Genotypes and Phenotypes Improves Long-Term Forecasts of Seasonal Influenza a/H3N2 Evolution.” </w:t>
      </w:r>
      <w:r>
        <w:rPr>
          <w:i/>
          <w:iCs/>
        </w:rPr>
        <w:t>Elife</w:t>
      </w:r>
      <w:r>
        <w:t xml:space="preserve"> 9: e60067.</w:t>
      </w:r>
    </w:p>
    <w:p w14:paraId="2E981993" w14:textId="77777777" w:rsidR="004370DA" w:rsidRDefault="00000000" w:rsidP="00AD67C5">
      <w:pPr>
        <w:spacing w:before="360" w:after="360" w:line="480" w:lineRule="auto"/>
      </w:pPr>
      <w:bookmarkStart w:id="35" w:name="ref-huelsenbeck1997phylogeny"/>
      <w:bookmarkEnd w:id="34"/>
      <w:r>
        <w:lastRenderedPageBreak/>
        <w:t xml:space="preserve">Huelsenbeck, John P, and Keith A Crandall. 1997. “Phylogeny Estimation and Hypothesis Testing Using Maximum Likelihood.” </w:t>
      </w:r>
      <w:r>
        <w:rPr>
          <w:i/>
          <w:iCs/>
        </w:rPr>
        <w:t>Annual Review of Ecology and Systematics</w:t>
      </w:r>
      <w:r>
        <w:t xml:space="preserve"> 28 (1): 437–66.</w:t>
      </w:r>
    </w:p>
    <w:p w14:paraId="1C19F4D2" w14:textId="77777777" w:rsidR="004370DA" w:rsidRDefault="00000000" w:rsidP="00AD67C5">
      <w:pPr>
        <w:spacing w:before="360" w:after="360" w:line="480" w:lineRule="auto"/>
      </w:pPr>
      <w:bookmarkStart w:id="36" w:name="ref-koelle2006epochal"/>
      <w:bookmarkEnd w:id="35"/>
      <w:r>
        <w:t xml:space="preserve">Koelle, Katia, Sarah Cobey, Bryan Grenfell, and Mercedes Pascual. 2006. “Epochal Evolution Shapes the Phylodynamics of Interpandemic Influenza a (H3N2) in Humans.” </w:t>
      </w:r>
      <w:r>
        <w:rPr>
          <w:i/>
          <w:iCs/>
        </w:rPr>
        <w:t>Science</w:t>
      </w:r>
      <w:r>
        <w:t xml:space="preserve"> 314 (5807): 1898–1903.</w:t>
      </w:r>
    </w:p>
    <w:p w14:paraId="2AD1DCA7" w14:textId="77777777" w:rsidR="004370DA" w:rsidRDefault="00000000" w:rsidP="00AD67C5">
      <w:pPr>
        <w:spacing w:before="360" w:after="360" w:line="480" w:lineRule="auto"/>
      </w:pPr>
      <w:bookmarkStart w:id="37" w:name="ref-lou2012intelligible"/>
      <w:bookmarkEnd w:id="36"/>
      <w:r>
        <w:t xml:space="preserve">Lou, Yin, Rich Caruana, and Johannes Gehrke. 2012. “Intelligible Models for Classification and Regression.” In </w:t>
      </w:r>
      <w:r>
        <w:rPr>
          <w:i/>
          <w:iCs/>
        </w:rPr>
        <w:t>Proceedings of the 18th ACM SIGKDD International Conference on Knowledge Discovery and Data Mining</w:t>
      </w:r>
      <w:r>
        <w:t>, 150–58. New York, NY, USA: Association for Computing Machinery.</w:t>
      </w:r>
    </w:p>
    <w:p w14:paraId="500ACDA1" w14:textId="77777777" w:rsidR="004370DA" w:rsidRDefault="00000000" w:rsidP="00AD67C5">
      <w:pPr>
        <w:spacing w:before="360" w:after="360" w:line="480" w:lineRule="auto"/>
      </w:pPr>
      <w:bookmarkStart w:id="38" w:name="ref-lundberg2017unified"/>
      <w:bookmarkEnd w:id="37"/>
      <w:r>
        <w:t xml:space="preserve">Lundberg, Scott M, and Su-In Lee. 2017. “A Unified Approach to Interpreting Model Predictions.” In </w:t>
      </w:r>
      <w:r>
        <w:rPr>
          <w:i/>
          <w:iCs/>
        </w:rPr>
        <w:t>Advances in Neural Information Processing Systems</w:t>
      </w:r>
      <w:r>
        <w:t>, 30:4765–74.</w:t>
      </w:r>
    </w:p>
    <w:p w14:paraId="497F86F5" w14:textId="77777777" w:rsidR="004370DA" w:rsidRDefault="00000000" w:rsidP="00AD67C5">
      <w:pPr>
        <w:spacing w:before="360" w:after="360" w:line="480" w:lineRule="auto"/>
      </w:pPr>
      <w:bookmarkStart w:id="39" w:name="ref-ma2009pig"/>
      <w:bookmarkEnd w:id="38"/>
      <w:r>
        <w:t xml:space="preserve">Ma, Wenjun, Robert E Kahn, and Juergen A Richt. 2009. “The Pig as a Mixing Vessel for Influenza Viruses: Human and Veterinary Implications.” </w:t>
      </w:r>
      <w:r>
        <w:rPr>
          <w:i/>
          <w:iCs/>
        </w:rPr>
        <w:t>Journal of Molecular and Genetic Medicine: An International Journal of Biomedical Research</w:t>
      </w:r>
      <w:r>
        <w:t xml:space="preserve"> 3 (1): 158.</w:t>
      </w:r>
    </w:p>
    <w:p w14:paraId="3C694D4E" w14:textId="77777777" w:rsidR="004370DA" w:rsidRDefault="00000000" w:rsidP="00AD67C5">
      <w:pPr>
        <w:spacing w:before="360" w:after="360" w:line="480" w:lineRule="auto"/>
      </w:pPr>
      <w:bookmarkStart w:id="40" w:name="ref-maher2021predicting"/>
      <w:bookmarkEnd w:id="39"/>
      <w:r>
        <w:t xml:space="preserve">Maher, M. Cyrus, Istvan Bartha, Steven Weaver, Julia di Iulio, Elena Ferri, Leah Soriaga, Florian A. Lempp, et al. 2022. “Predicting the Mutational Drivers of Future SARS-CoV-2 Variants of Concern.” </w:t>
      </w:r>
      <w:r>
        <w:rPr>
          <w:i/>
          <w:iCs/>
        </w:rPr>
        <w:t>Science Translational Medicine</w:t>
      </w:r>
      <w:r>
        <w:t xml:space="preserve"> 14 (633): eabk3445. </w:t>
      </w:r>
      <w:hyperlink r:id="rId11">
        <w:r w:rsidR="004370DA">
          <w:t>https://doi.org/10.1126/scitranslmed.abk3445</w:t>
        </w:r>
      </w:hyperlink>
      <w:r>
        <w:t>.</w:t>
      </w:r>
    </w:p>
    <w:p w14:paraId="361A315E" w14:textId="77777777" w:rsidR="004370DA" w:rsidRDefault="00000000" w:rsidP="00AD67C5">
      <w:pPr>
        <w:spacing w:before="360" w:after="360" w:line="480" w:lineRule="auto"/>
      </w:pPr>
      <w:bookmarkStart w:id="41" w:name="ref-mollentze2021identifying"/>
      <w:bookmarkEnd w:id="40"/>
      <w:proofErr w:type="spellStart"/>
      <w:r>
        <w:lastRenderedPageBreak/>
        <w:t>Mollentze</w:t>
      </w:r>
      <w:proofErr w:type="spellEnd"/>
      <w:r>
        <w:t xml:space="preserve">, Nardus, Simon A Babayan, and Daniel G Streicker. 2021. “Identifying and Prioritizing Potential Human-Infecting Viruses from Their Genome Sequences.” </w:t>
      </w:r>
      <w:r>
        <w:rPr>
          <w:i/>
          <w:iCs/>
        </w:rPr>
        <w:t>PLoS Biology</w:t>
      </w:r>
      <w:r>
        <w:t xml:space="preserve"> 19 (9): e3001390.</w:t>
      </w:r>
    </w:p>
    <w:p w14:paraId="25E4ACF4" w14:textId="77777777" w:rsidR="004370DA" w:rsidRDefault="00000000" w:rsidP="00AD67C5">
      <w:pPr>
        <w:spacing w:before="360" w:after="360" w:line="480" w:lineRule="auto"/>
      </w:pPr>
      <w:bookmarkStart w:id="42" w:name="ref-neher2014predicting"/>
      <w:bookmarkEnd w:id="41"/>
      <w:r>
        <w:t xml:space="preserve">Neher, Richard A, Colin A Russell, and Boris I Shraiman. 2014. “Predicting Evolution from the Shape of Genealogical Trees.” </w:t>
      </w:r>
      <w:r>
        <w:rPr>
          <w:i/>
          <w:iCs/>
        </w:rPr>
        <w:t>Elife</w:t>
      </w:r>
      <w:r>
        <w:t xml:space="preserve"> 3: e03568.</w:t>
      </w:r>
    </w:p>
    <w:p w14:paraId="50CBE342" w14:textId="77777777" w:rsidR="004370DA" w:rsidRDefault="00000000" w:rsidP="00AD67C5">
      <w:pPr>
        <w:spacing w:before="360" w:after="360" w:line="480" w:lineRule="auto"/>
      </w:pPr>
      <w:bookmarkStart w:id="43" w:name="ref-nelson2018origins"/>
      <w:bookmarkEnd w:id="42"/>
      <w:r>
        <w:t xml:space="preserve">Nelson, Martha I, and Michael Worobey. 2018. “Origins of the 1918 Pandemic: Revisiting the Swine ‘Mixing Vessel’ Hypothesis.” </w:t>
      </w:r>
      <w:r>
        <w:rPr>
          <w:i/>
          <w:iCs/>
        </w:rPr>
        <w:t>American Journal of Epidemiology</w:t>
      </w:r>
      <w:r>
        <w:t xml:space="preserve"> 187 (12): 2498–2502.</w:t>
      </w:r>
    </w:p>
    <w:p w14:paraId="38DA33EB" w14:textId="77777777" w:rsidR="004370DA" w:rsidRDefault="00000000" w:rsidP="00AD67C5">
      <w:pPr>
        <w:spacing w:before="360" w:after="360" w:line="480" w:lineRule="auto"/>
      </w:pPr>
      <w:bookmarkStart w:id="44" w:name="ref-posada1998modeltest"/>
      <w:bookmarkEnd w:id="43"/>
      <w:r>
        <w:t xml:space="preserve">Posada, David, and Keith A. Crandall. 1998. “Modeltest: Testing the Model of DNA Substitution.” </w:t>
      </w:r>
      <w:r>
        <w:rPr>
          <w:i/>
          <w:iCs/>
        </w:rPr>
        <w:t>Bioinformatics (Oxford, England)</w:t>
      </w:r>
      <w:r>
        <w:t xml:space="preserve"> 14 (9): 817–18.</w:t>
      </w:r>
    </w:p>
    <w:p w14:paraId="26068927" w14:textId="77777777" w:rsidR="004370DA" w:rsidRDefault="00000000" w:rsidP="00AD67C5">
      <w:pPr>
        <w:spacing w:before="360" w:after="360" w:line="480" w:lineRule="auto"/>
      </w:pPr>
      <w:bookmarkStart w:id="45" w:name="ref-cdph_immunization_2017"/>
      <w:bookmarkEnd w:id="44"/>
      <w:r>
        <w:t xml:space="preserve">Public Health, California Department of. 2018. “Annual Immunization Report 2017-2018.” </w:t>
      </w:r>
      <w:hyperlink r:id="rId12">
        <w:r w:rsidR="004370DA">
          <w:t>https://www.cdph.ca.gov/Programs/CID/DCDC/CDPH%20Document%20Library/Immunization/Annual2017-18.pdf</w:t>
        </w:r>
      </w:hyperlink>
      <w:r>
        <w:t>.</w:t>
      </w:r>
    </w:p>
    <w:p w14:paraId="63C85B48" w14:textId="77777777" w:rsidR="004370DA" w:rsidRDefault="00000000" w:rsidP="00AD67C5">
      <w:pPr>
        <w:spacing w:before="360" w:after="360" w:line="480" w:lineRule="auto"/>
      </w:pPr>
      <w:bookmarkStart w:id="46" w:name="ref-pulliam2009ability"/>
      <w:bookmarkEnd w:id="45"/>
      <w:r>
        <w:t xml:space="preserve">Pulliam, Juliet RC, and Jonathan Dushoff. 2009. “Ability to Replicate in the Cytoplasm Predicts Zoonotic Transmission of Livestock Viruses.” </w:t>
      </w:r>
      <w:r>
        <w:rPr>
          <w:i/>
          <w:iCs/>
        </w:rPr>
        <w:t>The Journal of Infectious Diseases</w:t>
      </w:r>
      <w:r>
        <w:t xml:space="preserve"> 199 (4): 565–68.</w:t>
      </w:r>
    </w:p>
    <w:p w14:paraId="1862C940" w14:textId="77777777" w:rsidR="004370DA" w:rsidRDefault="00000000" w:rsidP="00AD67C5">
      <w:pPr>
        <w:spacing w:before="360" w:after="360" w:line="480" w:lineRule="auto"/>
      </w:pPr>
      <w:bookmarkStart w:id="47" w:name="ref-reid2003origin"/>
      <w:bookmarkEnd w:id="46"/>
      <w:r>
        <w:t xml:space="preserve">Reid, Ann H, and Jeffery K Taubenberger. 2003. “The Origin of the 1918 Pandemic Influenza Virus: A Continuing Enigma.” </w:t>
      </w:r>
      <w:r>
        <w:rPr>
          <w:i/>
          <w:iCs/>
        </w:rPr>
        <w:t>Journal of General Virology</w:t>
      </w:r>
      <w:r>
        <w:t xml:space="preserve"> 84 (9): 2285–92.</w:t>
      </w:r>
    </w:p>
    <w:p w14:paraId="20CF6BE7" w14:textId="77777777" w:rsidR="004370DA" w:rsidRDefault="00000000" w:rsidP="00AD67C5">
      <w:pPr>
        <w:spacing w:before="360" w:after="360" w:line="480" w:lineRule="auto"/>
      </w:pPr>
      <w:bookmarkStart w:id="48" w:name="ref-righetto2014comparative"/>
      <w:bookmarkEnd w:id="47"/>
      <w:r>
        <w:lastRenderedPageBreak/>
        <w:t xml:space="preserve">Righetto, Irene, Adelaide Milani, Giovanni Cattoli, and Francesco Filippini. 2014. “Comparative Structural Analysis of Haemagglutinin Proteins from Type a Influenza Viruses: Conserved and Variable Features.” </w:t>
      </w:r>
      <w:r>
        <w:rPr>
          <w:i/>
          <w:iCs/>
        </w:rPr>
        <w:t>BMC Bioinformatics</w:t>
      </w:r>
      <w:r>
        <w:t xml:space="preserve"> 15 (1): 363.</w:t>
      </w:r>
    </w:p>
    <w:p w14:paraId="506B339D" w14:textId="77777777" w:rsidR="004370DA" w:rsidRDefault="00000000" w:rsidP="00AD67C5">
      <w:pPr>
        <w:spacing w:before="360" w:after="360" w:line="480" w:lineRule="auto"/>
      </w:pPr>
      <w:bookmarkStart w:id="49" w:name="ref-van2016differential"/>
      <w:bookmarkEnd w:id="48"/>
      <w:r>
        <w:t xml:space="preserve">Sandt, Carolien E van de, Joost HCM Kreijtz, Martina M Geelhoed-Mieras, Nella J Nieuwkoop, Monique I Spronken, David AMC van de Vijver, Ron AM Fouchier, Albert DME Osterhaus, and Guus F Rimmelzwaan. 2016. “Differential Recognition of Influenza a Viruses by M158–66 Epitope-Specific CD8+ t Cells Is Determined by Extraepitopic Amino Acid Residues.” </w:t>
      </w:r>
      <w:r>
        <w:rPr>
          <w:i/>
          <w:iCs/>
        </w:rPr>
        <w:t>Journal of Virology</w:t>
      </w:r>
      <w:r>
        <w:t xml:space="preserve"> 90 (2): 1009–22.</w:t>
      </w:r>
    </w:p>
    <w:p w14:paraId="3BA7FECE" w14:textId="77777777" w:rsidR="004370DA" w:rsidRDefault="00000000" w:rsidP="00AD67C5">
      <w:pPr>
        <w:spacing w:before="360" w:after="360" w:line="480" w:lineRule="auto"/>
      </w:pPr>
      <w:bookmarkStart w:id="50" w:name="ref-shao2017evolution"/>
      <w:bookmarkEnd w:id="49"/>
      <w:r>
        <w:t xml:space="preserve">Shao, Wenhan, Xinxin Li, Mohsan Ullah Goraya, Song Wang, and Ji-Long Chen. 2017. “Evolution of Influenza a Virus by Mutation and Re-Assortment.” </w:t>
      </w:r>
      <w:r>
        <w:rPr>
          <w:i/>
          <w:iCs/>
        </w:rPr>
        <w:t>International Journal of Molecular Sciences</w:t>
      </w:r>
      <w:r>
        <w:t xml:space="preserve"> 18 (8): 1650.</w:t>
      </w:r>
    </w:p>
    <w:p w14:paraId="36E6E679" w14:textId="77777777" w:rsidR="004370DA" w:rsidRDefault="00000000" w:rsidP="00AD67C5">
      <w:pPr>
        <w:spacing w:before="360" w:after="360" w:line="480" w:lineRule="auto"/>
      </w:pPr>
      <w:bookmarkStart w:id="51" w:name="ref-mubiome"/>
      <w:bookmarkEnd w:id="50"/>
      <w:r>
        <w:t xml:space="preserve">Sizemore, Nicholas, Kaitlyn Oliphant, Ruolin Zheng, Camilia R Martin, Erika C Claud, and Ishanu Chattopadhyay. 2024. “A Digital Twin of the Infant Microbiome to Predict Neurodevelopmental Deficits.” </w:t>
      </w:r>
      <w:r>
        <w:rPr>
          <w:i/>
          <w:iCs/>
        </w:rPr>
        <w:t>Science Advances</w:t>
      </w:r>
      <w:r>
        <w:t xml:space="preserve"> 10 (15): eadj0400.</w:t>
      </w:r>
    </w:p>
    <w:p w14:paraId="53248E4A" w14:textId="77777777" w:rsidR="004370DA" w:rsidRDefault="00000000" w:rsidP="00AD67C5">
      <w:pPr>
        <w:spacing w:before="360" w:after="360" w:line="480" w:lineRule="auto"/>
      </w:pPr>
      <w:bookmarkStart w:id="52" w:name="ref-Smith2009"/>
      <w:bookmarkEnd w:id="51"/>
      <w:r>
        <w:t xml:space="preserve">Smith, Gavin J. D., Dhanasekaran Vijaykrishna, Justin Bahl, Samantha J. Lycett, Michael Worobey, Oliver G. Pybus, Siu Kit Ma, et al. 2009. “Origins and evolutionary genomics of the 2009 swine-origin H1N1 influenza A epidemic.” </w:t>
      </w:r>
      <w:r>
        <w:rPr>
          <w:i/>
          <w:iCs/>
        </w:rPr>
        <w:t>Nature</w:t>
      </w:r>
      <w:r>
        <w:t xml:space="preserve"> 459 (7250): 1122–25. </w:t>
      </w:r>
      <w:hyperlink r:id="rId13">
        <w:r w:rsidR="004370DA">
          <w:t>https://doi.org/10.1038/nature08182</w:t>
        </w:r>
      </w:hyperlink>
      <w:r>
        <w:t>.</w:t>
      </w:r>
    </w:p>
    <w:p w14:paraId="3C73A106" w14:textId="77777777" w:rsidR="004370DA" w:rsidRDefault="00000000" w:rsidP="00AD67C5">
      <w:pPr>
        <w:spacing w:before="360" w:after="360" w:line="480" w:lineRule="auto"/>
      </w:pPr>
      <w:bookmarkStart w:id="53" w:name="ref-tricco2013comparing"/>
      <w:bookmarkEnd w:id="52"/>
      <w:r>
        <w:t xml:space="preserve">Tricco, Andrea C, Ayman Chit, Charlene Soobiah, David Hallett, Genevieve Meier, Maggie H Chen, Mariam Tashkandi, Chris T Bauch, and Mark Loeb. 2013. “Comparing Influenza Vaccine </w:t>
      </w:r>
      <w:r>
        <w:lastRenderedPageBreak/>
        <w:t xml:space="preserve">Efficacy Against Mismatched and Matched Strains: A Systematic Review and Meta-Analysis.” </w:t>
      </w:r>
      <w:r>
        <w:rPr>
          <w:i/>
          <w:iCs/>
        </w:rPr>
        <w:t>BMC Medicine</w:t>
      </w:r>
      <w:r>
        <w:t xml:space="preserve"> 11 (1): 153.</w:t>
      </w:r>
    </w:p>
    <w:p w14:paraId="3AF52B7C" w14:textId="77777777" w:rsidR="004370DA" w:rsidRDefault="00000000" w:rsidP="00AD67C5">
      <w:pPr>
        <w:spacing w:before="360" w:after="360" w:line="480" w:lineRule="auto"/>
      </w:pPr>
      <w:bookmarkStart w:id="54" w:name="ref-van2012evasion"/>
      <w:bookmarkEnd w:id="53"/>
      <w:r>
        <w:t xml:space="preserve">Van de Sandt, Carolien E, Joost HCM Kreijtz, and Guus F Rimmelzwaan. 2012. “Evasion of Influenza a Viruses from Innate and Adaptive Immune Responses.” </w:t>
      </w:r>
      <w:r>
        <w:rPr>
          <w:i/>
          <w:iCs/>
        </w:rPr>
        <w:t>Viruses</w:t>
      </w:r>
      <w:r>
        <w:t xml:space="preserve"> 4 (9): 1438–76.</w:t>
      </w:r>
    </w:p>
    <w:p w14:paraId="6A9218C0" w14:textId="77777777" w:rsidR="004370DA" w:rsidRDefault="00000000" w:rsidP="00AD67C5">
      <w:pPr>
        <w:spacing w:before="360" w:after="360" w:line="480" w:lineRule="auto"/>
      </w:pPr>
      <w:bookmarkStart w:id="55" w:name="ref-vergara2014ns"/>
      <w:bookmarkEnd w:id="54"/>
      <w:r>
        <w:t xml:space="preserve">Vergara-Alert, Júlia, Núria Busquets, Maria Ballester, Aida J Chaves, Raquel Rivas, Roser Dolz, Zhongfang Wang, et al. 2014. “The NS Segment of H5N1 Avian Influenza Viruses (AIV) Enhances the Virulence of an H7N1 AIV in Chickens.” </w:t>
      </w:r>
      <w:r>
        <w:rPr>
          <w:i/>
          <w:iCs/>
        </w:rPr>
        <w:t>Veterinary Research</w:t>
      </w:r>
      <w:r>
        <w:t xml:space="preserve"> 45 (1): 1–11.</w:t>
      </w:r>
    </w:p>
    <w:p w14:paraId="01CC5C63" w14:textId="77777777" w:rsidR="004370DA" w:rsidRDefault="00000000" w:rsidP="00AD67C5">
      <w:pPr>
        <w:spacing w:before="360" w:after="360" w:line="480" w:lineRule="auto"/>
      </w:pPr>
      <w:bookmarkStart w:id="56" w:name="ref-wille2021accurately"/>
      <w:bookmarkEnd w:id="55"/>
      <w:r>
        <w:t xml:space="preserve">Wille, Michelle, Jemma L Geoghegan, and Edward C Holmes. 2021. “How Accurately Can We Assess Zoonotic Risk?” </w:t>
      </w:r>
      <w:r>
        <w:rPr>
          <w:i/>
          <w:iCs/>
        </w:rPr>
        <w:t>PLoS Biology</w:t>
      </w:r>
      <w:r>
        <w:t xml:space="preserve"> 19 (4): e3001135.</w:t>
      </w:r>
    </w:p>
    <w:p w14:paraId="18010541" w14:textId="77777777" w:rsidR="004370DA" w:rsidRDefault="00000000" w:rsidP="00AD67C5">
      <w:pPr>
        <w:spacing w:before="360" w:after="360" w:line="480" w:lineRule="auto"/>
      </w:pPr>
      <w:bookmarkStart w:id="57" w:name="ref-wood2012reproducibility"/>
      <w:bookmarkEnd w:id="56"/>
      <w:r>
        <w:t xml:space="preserve">Wood, John M, Diane Major, Alan Heath, Robert W Newman, Katja Höschler, Iain Stephenson, Tristan Clark, Jacqueline M Katz, and Maria C Zambon. 2012. “Reproducibility of Serology Assays for Pandemic Influenza H1N1: Collaborative Study to Evaluate a Candidate WHO International Standard.” </w:t>
      </w:r>
      <w:r>
        <w:rPr>
          <w:i/>
          <w:iCs/>
        </w:rPr>
        <w:t>Vaccine</w:t>
      </w:r>
      <w:r>
        <w:t xml:space="preserve"> 30 (2): 210–17.</w:t>
      </w:r>
    </w:p>
    <w:p w14:paraId="7A33466F" w14:textId="77777777" w:rsidR="004370DA" w:rsidRDefault="00000000" w:rsidP="00AD67C5">
      <w:pPr>
        <w:spacing w:before="360" w:after="360" w:line="480" w:lineRule="auto"/>
      </w:pPr>
      <w:bookmarkStart w:id="58" w:name="ref-woolthuis2016long"/>
      <w:bookmarkEnd w:id="57"/>
      <w:r>
        <w:t xml:space="preserve">Woolthuis, Rutger G, Christiaan H van Dorp, Can Keşmir, Rob J de Boer, and Michiel van Boven. 2016. “Long-Term Adaptation of the Influenza a Virus by Escaping Cytotoxic t-Cell Recognition.” </w:t>
      </w:r>
      <w:r>
        <w:rPr>
          <w:i/>
          <w:iCs/>
        </w:rPr>
        <w:t>Scientific Reports</w:t>
      </w:r>
      <w:r>
        <w:t xml:space="preserve"> 6 (1): 1–8.</w:t>
      </w:r>
    </w:p>
    <w:p w14:paraId="1C220D88" w14:textId="77777777" w:rsidR="004370DA" w:rsidRDefault="00000000" w:rsidP="00AD67C5">
      <w:pPr>
        <w:spacing w:before="360" w:after="360" w:line="480" w:lineRule="auto"/>
      </w:pPr>
      <w:bookmarkStart w:id="59" w:name="ref-who_influenza_2023"/>
      <w:bookmarkEnd w:id="58"/>
      <w:r>
        <w:t xml:space="preserve">World Health Organization. 2023. “Summary of Influenza a (H1) Candidate Vaccine Viruses for Pandemic Preparedness.” </w:t>
      </w:r>
      <w:hyperlink r:id="rId14">
        <w:r w:rsidR="004370DA">
          <w:t>https://cdn.who.int/media/docs/default-source/influenza/cvvs/cvv-zoonotic---southern-hemisphere-2023/summary_a_h1v_cvv_20220928.pdf?sfvrsn=c9567a3c_5</w:t>
        </w:r>
      </w:hyperlink>
      <w:r>
        <w:t>.</w:t>
      </w:r>
    </w:p>
    <w:p w14:paraId="79DAC1D4" w14:textId="77777777" w:rsidR="00154FA1" w:rsidRDefault="00154FA1" w:rsidP="00AD67C5">
      <w:pPr>
        <w:spacing w:before="360" w:after="360" w:line="480" w:lineRule="auto"/>
      </w:pPr>
    </w:p>
    <w:p w14:paraId="38F17D7C" w14:textId="7B5F45A7" w:rsidR="00154FA1" w:rsidRDefault="00154FA1" w:rsidP="00AD67C5">
      <w:pPr>
        <w:pStyle w:val="Heading1"/>
      </w:pPr>
      <w:r>
        <w:t>figure captions</w:t>
      </w:r>
    </w:p>
    <w:p w14:paraId="38556727" w14:textId="77777777" w:rsidR="00704347" w:rsidRDefault="00704347" w:rsidP="00AD67C5">
      <w:pPr>
        <w:shd w:val="clear" w:color="auto" w:fill="FFFFFF"/>
        <w:spacing w:line="480" w:lineRule="auto"/>
        <w:rPr>
          <w:rFonts w:ascii="Arial" w:hAnsi="Arial" w:cs="Arial"/>
          <w:color w:val="222222"/>
        </w:rPr>
      </w:pPr>
      <w:r>
        <w:rPr>
          <w:rFonts w:ascii="Arial" w:hAnsi="Arial" w:cs="Arial"/>
          <w:color w:val="222222"/>
        </w:rPr>
        <w:t xml:space="preserve">Fig. 1. </w:t>
      </w:r>
      <w:proofErr w:type="spellStart"/>
      <w:r>
        <w:rPr>
          <w:rFonts w:ascii="Arial" w:hAnsi="Arial" w:cs="Arial"/>
          <w:color w:val="222222"/>
        </w:rPr>
        <w:t>Emergenet</w:t>
      </w:r>
      <w:proofErr w:type="spellEnd"/>
      <w:r>
        <w:rPr>
          <w:rFonts w:ascii="Arial" w:hAnsi="Arial" w:cs="Arial"/>
          <w:color w:val="222222"/>
        </w:rPr>
        <w:t xml:space="preserve"> inference and applications. Panel a Variations of genomes for identical subtypes of Influenza A are analyzed to infer a recursive forest of conditional inference trees 25 – the </w:t>
      </w:r>
      <w:proofErr w:type="spellStart"/>
      <w:r>
        <w:rPr>
          <w:rFonts w:ascii="Arial" w:hAnsi="Arial" w:cs="Arial"/>
          <w:color w:val="222222"/>
        </w:rPr>
        <w:t>Emergenet</w:t>
      </w:r>
      <w:proofErr w:type="spellEnd"/>
      <w:r>
        <w:rPr>
          <w:rFonts w:ascii="Arial" w:hAnsi="Arial" w:cs="Arial"/>
          <w:color w:val="222222"/>
        </w:rPr>
        <w:t xml:space="preserve">– which maximally captures the emergent dependencies between an a priori unspecified number of mutations. With these inferred dependencies we can estimate the numerical odds of specific mutations, and by extension, the numerical value of the probability of one strain giving rise to another in the wild, under complex selection pressures from the background. Panel b Snapshot of decision trees from the </w:t>
      </w:r>
      <w:proofErr w:type="spellStart"/>
      <w:r>
        <w:rPr>
          <w:rFonts w:ascii="Arial" w:hAnsi="Arial" w:cs="Arial"/>
          <w:color w:val="222222"/>
        </w:rPr>
        <w:t>Emergenet</w:t>
      </w:r>
      <w:proofErr w:type="spellEnd"/>
      <w:r>
        <w:rPr>
          <w:rFonts w:ascii="Arial" w:hAnsi="Arial" w:cs="Arial"/>
          <w:color w:val="222222"/>
        </w:rPr>
        <w:t xml:space="preserve"> inferred for H1N1 HA sequences collected in 2020-2021, which reveals a cyclic dependency. In general, every internal node of a component tree can be “expanded” into its own tree, underscoring the recursive structure of the </w:t>
      </w:r>
      <w:proofErr w:type="spellStart"/>
      <w:r>
        <w:rPr>
          <w:rFonts w:ascii="Arial" w:hAnsi="Arial" w:cs="Arial"/>
          <w:color w:val="222222"/>
        </w:rPr>
        <w:t>Emergenet</w:t>
      </w:r>
      <w:proofErr w:type="spellEnd"/>
      <w:r>
        <w:rPr>
          <w:rFonts w:ascii="Arial" w:hAnsi="Arial" w:cs="Arial"/>
          <w:color w:val="222222"/>
        </w:rPr>
        <w:t xml:space="preserve">. Panel c First application: forecast dominant strain(s) for the next flu season, using only sequences collected up to six months prior and the inferred </w:t>
      </w:r>
      <w:proofErr w:type="spellStart"/>
      <w:r>
        <w:rPr>
          <w:rFonts w:ascii="Arial" w:hAnsi="Arial" w:cs="Arial"/>
          <w:color w:val="222222"/>
        </w:rPr>
        <w:t>Emergenet</w:t>
      </w:r>
      <w:proofErr w:type="spellEnd"/>
      <w:r>
        <w:rPr>
          <w:rFonts w:ascii="Arial" w:hAnsi="Arial" w:cs="Arial"/>
          <w:color w:val="222222"/>
        </w:rPr>
        <w:t>, using data from the past year. Panel d Second application: estimation of the pandemic risk posed by individual animal strains that are still not known to circulate in humans.</w:t>
      </w:r>
      <w:r>
        <w:rPr>
          <w:rFonts w:ascii="Arial" w:hAnsi="Arial" w:cs="Arial"/>
          <w:color w:val="222222"/>
        </w:rPr>
        <w:br/>
      </w:r>
      <w:r>
        <w:rPr>
          <w:rFonts w:ascii="Arial" w:hAnsi="Arial" w:cs="Arial"/>
          <w:color w:val="222222"/>
        </w:rPr>
        <w:br/>
        <w:t xml:space="preserve">Fig. 2. Seasonal predictions for Influenza A. Relative out-performance of </w:t>
      </w:r>
      <w:proofErr w:type="spellStart"/>
      <w:r>
        <w:rPr>
          <w:rFonts w:ascii="Arial" w:hAnsi="Arial" w:cs="Arial"/>
          <w:color w:val="222222"/>
        </w:rPr>
        <w:t>Emergenet</w:t>
      </w:r>
      <w:proofErr w:type="spellEnd"/>
      <w:r>
        <w:rPr>
          <w:rFonts w:ascii="Arial" w:hAnsi="Arial" w:cs="Arial"/>
          <w:color w:val="222222"/>
        </w:rPr>
        <w:t xml:space="preserve"> predictions against WHO recommendations for H1N1 and H3N2 subtypes for Hemagglutinin (HA) over </w:t>
      </w:r>
      <w:proofErr w:type="gramStart"/>
      <w:r>
        <w:rPr>
          <w:rFonts w:ascii="Arial" w:hAnsi="Arial" w:cs="Arial"/>
          <w:color w:val="222222"/>
        </w:rPr>
        <w:t>the both</w:t>
      </w:r>
      <w:proofErr w:type="gramEnd"/>
      <w:r>
        <w:rPr>
          <w:rFonts w:ascii="Arial" w:hAnsi="Arial" w:cs="Arial"/>
          <w:color w:val="222222"/>
        </w:rPr>
        <w:t xml:space="preserve"> hemispheres. The negative bars (red) indicate the reduced average Hamming distance between the predicted sequence and the sequence population that season. Providing two recommendations shows a significant </w:t>
      </w:r>
      <w:r>
        <w:rPr>
          <w:rFonts w:ascii="Arial" w:hAnsi="Arial" w:cs="Arial"/>
          <w:color w:val="222222"/>
        </w:rPr>
        <w:lastRenderedPageBreak/>
        <w:t>improvement over providing a single recommendation. Note that the recommendations for the north are given in February, while that for the south are given in September, keeping in mind that the southern flu season begins a few months earlier (e.g. for the 2022-2023 flu season, northern data is labelled ‘2022’).</w:t>
      </w:r>
      <w:r>
        <w:rPr>
          <w:rFonts w:ascii="Arial" w:hAnsi="Arial" w:cs="Arial"/>
          <w:color w:val="222222"/>
        </w:rPr>
        <w:br/>
      </w:r>
      <w:r>
        <w:rPr>
          <w:rFonts w:ascii="Arial" w:hAnsi="Arial" w:cs="Arial"/>
          <w:color w:val="222222"/>
        </w:rPr>
        <w:br/>
        <w:t xml:space="preserve">Fig. 3. </w:t>
      </w:r>
      <w:proofErr w:type="spellStart"/>
      <w:r>
        <w:rPr>
          <w:rFonts w:ascii="Arial" w:hAnsi="Arial" w:cs="Arial"/>
          <w:color w:val="222222"/>
        </w:rPr>
        <w:t>Emergenet</w:t>
      </w:r>
      <w:proofErr w:type="spellEnd"/>
      <w:r>
        <w:rPr>
          <w:rFonts w:ascii="Arial" w:hAnsi="Arial" w:cs="Arial"/>
          <w:color w:val="222222"/>
        </w:rPr>
        <w:t xml:space="preserve"> based estimation of IRAT scores for animal strains. Panel a We find an approximate linear relationship between the negative logarithm of the geometric mean of the smallest E-distance for HA and NA sequence of a target strain from circulating human strains in the year of estimation and the CDC published IRAT emergence scores. Panel b Identifying risky Influenza A strains amongst those collected 2020-2023 using our approach.</w:t>
      </w:r>
      <w:r>
        <w:rPr>
          <w:rFonts w:ascii="Arial" w:hAnsi="Arial" w:cs="Arial"/>
          <w:color w:val="222222"/>
        </w:rPr>
        <w:br/>
      </w:r>
      <w:r>
        <w:rPr>
          <w:rFonts w:ascii="Arial" w:hAnsi="Arial" w:cs="Arial"/>
          <w:color w:val="222222"/>
        </w:rPr>
        <w:br/>
        <w:t xml:space="preserve">Fig. 4. Phylogeny constructed with edit distances, with all Influenza A strains collected post 2020, with estimated IRAT emergence risk &gt; 6:0. Strains with CDC-computed IRAT scores are also included (shown with </w:t>
      </w:r>
      <w:r>
        <w:rPr>
          <w:rFonts w:ascii="Cambria Math" w:hAnsi="Cambria Math" w:cs="Cambria Math"/>
          <w:color w:val="222222"/>
        </w:rPr>
        <w:t>⋆</w:t>
      </w:r>
      <w:r>
        <w:rPr>
          <w:rFonts w:ascii="Arial" w:hAnsi="Arial" w:cs="Arial"/>
          <w:color w:val="222222"/>
        </w:rPr>
        <w:t xml:space="preserve">). Leaves have been collapsed which differ by less than 20 edits in the HA, displaying the </w:t>
      </w:r>
      <w:proofErr w:type="gramStart"/>
      <w:r>
        <w:rPr>
          <w:rFonts w:ascii="Arial" w:hAnsi="Arial" w:cs="Arial"/>
          <w:color w:val="222222"/>
        </w:rPr>
        <w:t>most risky</w:t>
      </w:r>
      <w:proofErr w:type="gramEnd"/>
      <w:r>
        <w:rPr>
          <w:rFonts w:ascii="Arial" w:hAnsi="Arial" w:cs="Arial"/>
          <w:color w:val="222222"/>
        </w:rPr>
        <w:t xml:space="preserve"> strains in the collapsed group, which comes from diverse animal hosts, and geographic regions. Top strains are indicated by arrowheads.</w:t>
      </w:r>
    </w:p>
    <w:bookmarkEnd w:id="13"/>
    <w:bookmarkEnd w:id="15"/>
    <w:bookmarkEnd w:id="59"/>
    <w:p w14:paraId="16DA68B2" w14:textId="77777777" w:rsidR="00154FA1" w:rsidRDefault="00154FA1" w:rsidP="00AD67C5">
      <w:pPr>
        <w:spacing w:before="120" w:after="120" w:line="480" w:lineRule="auto"/>
      </w:pPr>
    </w:p>
    <w:sectPr w:rsidR="00154FA1" w:rsidSect="00034616">
      <w:footerReference w:type="even" r:id="rId15"/>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C583ECB" w14:textId="77777777" w:rsidR="00830E39" w:rsidRDefault="00830E39">
      <w:r>
        <w:separator/>
      </w:r>
    </w:p>
  </w:endnote>
  <w:endnote w:type="continuationSeparator" w:id="0">
    <w:p w14:paraId="1B3CEF4E" w14:textId="77777777" w:rsidR="00830E39" w:rsidRDefault="00830E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876433445"/>
      <w:docPartObj>
        <w:docPartGallery w:val="Page Numbers (Bottom of Page)"/>
        <w:docPartUnique/>
      </w:docPartObj>
    </w:sdtPr>
    <w:sdtContent>
      <w:p w14:paraId="5F18CFE8" w14:textId="790B44D6" w:rsidR="00154FA1" w:rsidRDefault="00154FA1" w:rsidP="00AD67C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D862A7D" w14:textId="77777777" w:rsidR="00154FA1" w:rsidRDefault="00154FA1" w:rsidP="00154FA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335114775"/>
      <w:docPartObj>
        <w:docPartGallery w:val="Page Numbers (Bottom of Page)"/>
        <w:docPartUnique/>
      </w:docPartObj>
    </w:sdtPr>
    <w:sdtContent>
      <w:p w14:paraId="7ADFCA8F" w14:textId="60BD7579" w:rsidR="00154FA1" w:rsidRDefault="00154FA1" w:rsidP="00AD67C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CEA7D8F" w14:textId="77777777" w:rsidR="00154FA1" w:rsidRDefault="00154FA1" w:rsidP="00154FA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5BCE3D" w14:textId="77777777" w:rsidR="00830E39" w:rsidRDefault="00830E39">
      <w:r>
        <w:separator/>
      </w:r>
    </w:p>
  </w:footnote>
  <w:footnote w:type="continuationSeparator" w:id="0">
    <w:p w14:paraId="6C869789" w14:textId="77777777" w:rsidR="00830E39" w:rsidRDefault="00830E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FDDEFC6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707681068">
    <w:abstractNumId w:val="8"/>
  </w:num>
  <w:num w:numId="2" w16cid:durableId="731268192">
    <w:abstractNumId w:val="6"/>
  </w:num>
  <w:num w:numId="3" w16cid:durableId="1568957826">
    <w:abstractNumId w:val="5"/>
  </w:num>
  <w:num w:numId="4" w16cid:durableId="1376008385">
    <w:abstractNumId w:val="4"/>
  </w:num>
  <w:num w:numId="5" w16cid:durableId="72093923">
    <w:abstractNumId w:val="7"/>
  </w:num>
  <w:num w:numId="6" w16cid:durableId="110369900">
    <w:abstractNumId w:val="3"/>
  </w:num>
  <w:num w:numId="7" w16cid:durableId="41901735">
    <w:abstractNumId w:val="2"/>
  </w:num>
  <w:num w:numId="8" w16cid:durableId="20788850">
    <w:abstractNumId w:val="1"/>
  </w:num>
  <w:num w:numId="9" w16cid:durableId="463012368">
    <w:abstractNumId w:val="0"/>
  </w:num>
  <w:num w:numId="10" w16cid:durableId="76789118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0DA"/>
    <w:rsid w:val="00041C04"/>
    <w:rsid w:val="00154FA1"/>
    <w:rsid w:val="002202D7"/>
    <w:rsid w:val="004370DA"/>
    <w:rsid w:val="00496AE6"/>
    <w:rsid w:val="005C7378"/>
    <w:rsid w:val="005E40A4"/>
    <w:rsid w:val="00671374"/>
    <w:rsid w:val="00704347"/>
    <w:rsid w:val="00721691"/>
    <w:rsid w:val="00830E39"/>
    <w:rsid w:val="00831A1A"/>
    <w:rsid w:val="00856F16"/>
    <w:rsid w:val="00A435D7"/>
    <w:rsid w:val="00A54A58"/>
    <w:rsid w:val="00AD67C5"/>
    <w:rsid w:val="00E7495A"/>
    <w:rsid w:val="00EE6B9A"/>
    <w:rsid w:val="00F544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1C5EF"/>
  <w15:docId w15:val="{CF1A7844-5C59-8948-9A68-4F52853DC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4347"/>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FC693F"/>
    <w:pPr>
      <w:keepNext/>
      <w:keepLines/>
      <w:spacing w:before="240" w:after="120" w:line="480" w:lineRule="auto"/>
      <w:jc w:val="center"/>
      <w:outlineLvl w:val="0"/>
    </w:pPr>
    <w:rPr>
      <w:rFonts w:asciiTheme="majorHAnsi" w:eastAsiaTheme="majorEastAsia" w:hAnsiTheme="majorHAnsi" w:cstheme="majorBidi"/>
      <w:b/>
      <w:bCs/>
      <w:cap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40" w:after="120" w:line="480" w:lineRule="auto"/>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120" w:after="60" w:line="480" w:lineRule="auto"/>
      <w:outlineLvl w:val="2"/>
    </w:pPr>
    <w:rPr>
      <w:rFonts w:asciiTheme="majorHAnsi" w:eastAsiaTheme="majorEastAsia" w:hAnsiTheme="majorHAnsi" w:cstheme="majorBidi"/>
      <w:b/>
      <w:bCs/>
      <w:i/>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120" w:after="120"/>
    </w:pPr>
    <w:rPr>
      <w:bCs/>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MReferences">
    <w:name w:val="MM_References"/>
    <w:pPr>
      <w:spacing w:after="0" w:line="480" w:lineRule="auto"/>
      <w:ind w:left="360" w:hanging="360"/>
    </w:pPr>
    <w:rPr>
      <w:rFonts w:ascii="Times New Roman" w:eastAsia="Times New Roman" w:hAnsi="Times New Roman" w:cs="Times New Roman"/>
      <w:sz w:val="24"/>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character" w:styleId="PageNumber">
    <w:name w:val="page number"/>
    <w:basedOn w:val="DefaultParagraphFont"/>
    <w:uiPriority w:val="99"/>
    <w:semiHidden/>
    <w:unhideWhenUsed/>
    <w:rsid w:val="00154F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6302899">
      <w:bodyDiv w:val="1"/>
      <w:marLeft w:val="0"/>
      <w:marRight w:val="0"/>
      <w:marTop w:val="0"/>
      <w:marBottom w:val="0"/>
      <w:divBdr>
        <w:top w:val="none" w:sz="0" w:space="0" w:color="auto"/>
        <w:left w:val="none" w:sz="0" w:space="0" w:color="auto"/>
        <w:bottom w:val="none" w:sz="0" w:space="0" w:color="auto"/>
        <w:right w:val="none" w:sz="0" w:space="0" w:color="auto"/>
      </w:divBdr>
    </w:div>
    <w:div w:id="443306145">
      <w:bodyDiv w:val="1"/>
      <w:marLeft w:val="0"/>
      <w:marRight w:val="0"/>
      <w:marTop w:val="0"/>
      <w:marBottom w:val="0"/>
      <w:divBdr>
        <w:top w:val="none" w:sz="0" w:space="0" w:color="auto"/>
        <w:left w:val="none" w:sz="0" w:space="0" w:color="auto"/>
        <w:bottom w:val="none" w:sz="0" w:space="0" w:color="auto"/>
        <w:right w:val="none" w:sz="0" w:space="0" w:color="auto"/>
      </w:divBdr>
    </w:div>
    <w:div w:id="531306937">
      <w:bodyDiv w:val="1"/>
      <w:marLeft w:val="0"/>
      <w:marRight w:val="0"/>
      <w:marTop w:val="0"/>
      <w:marBottom w:val="0"/>
      <w:divBdr>
        <w:top w:val="none" w:sz="0" w:space="0" w:color="auto"/>
        <w:left w:val="none" w:sz="0" w:space="0" w:color="auto"/>
        <w:bottom w:val="none" w:sz="0" w:space="0" w:color="auto"/>
        <w:right w:val="none" w:sz="0" w:space="0" w:color="auto"/>
      </w:divBdr>
    </w:div>
    <w:div w:id="705570848">
      <w:bodyDiv w:val="1"/>
      <w:marLeft w:val="0"/>
      <w:marRight w:val="0"/>
      <w:marTop w:val="0"/>
      <w:marBottom w:val="0"/>
      <w:divBdr>
        <w:top w:val="none" w:sz="0" w:space="0" w:color="auto"/>
        <w:left w:val="none" w:sz="0" w:space="0" w:color="auto"/>
        <w:bottom w:val="none" w:sz="0" w:space="0" w:color="auto"/>
        <w:right w:val="none" w:sz="0" w:space="0" w:color="auto"/>
      </w:divBdr>
    </w:div>
    <w:div w:id="949052306">
      <w:bodyDiv w:val="1"/>
      <w:marLeft w:val="0"/>
      <w:marRight w:val="0"/>
      <w:marTop w:val="0"/>
      <w:marBottom w:val="0"/>
      <w:divBdr>
        <w:top w:val="none" w:sz="0" w:space="0" w:color="auto"/>
        <w:left w:val="none" w:sz="0" w:space="0" w:color="auto"/>
        <w:bottom w:val="none" w:sz="0" w:space="0" w:color="auto"/>
        <w:right w:val="none" w:sz="0" w:space="0" w:color="auto"/>
      </w:divBdr>
    </w:div>
    <w:div w:id="1079137209">
      <w:bodyDiv w:val="1"/>
      <w:marLeft w:val="0"/>
      <w:marRight w:val="0"/>
      <w:marTop w:val="0"/>
      <w:marBottom w:val="0"/>
      <w:divBdr>
        <w:top w:val="none" w:sz="0" w:space="0" w:color="auto"/>
        <w:left w:val="none" w:sz="0" w:space="0" w:color="auto"/>
        <w:bottom w:val="none" w:sz="0" w:space="0" w:color="auto"/>
        <w:right w:val="none" w:sz="0" w:space="0" w:color="auto"/>
      </w:divBdr>
    </w:div>
    <w:div w:id="1324040286">
      <w:bodyDiv w:val="1"/>
      <w:marLeft w:val="0"/>
      <w:marRight w:val="0"/>
      <w:marTop w:val="0"/>
      <w:marBottom w:val="0"/>
      <w:divBdr>
        <w:top w:val="none" w:sz="0" w:space="0" w:color="auto"/>
        <w:left w:val="none" w:sz="0" w:space="0" w:color="auto"/>
        <w:bottom w:val="none" w:sz="0" w:space="0" w:color="auto"/>
        <w:right w:val="none" w:sz="0" w:space="0" w:color="auto"/>
      </w:divBdr>
    </w:div>
    <w:div w:id="1452823937">
      <w:bodyDiv w:val="1"/>
      <w:marLeft w:val="0"/>
      <w:marRight w:val="0"/>
      <w:marTop w:val="0"/>
      <w:marBottom w:val="0"/>
      <w:divBdr>
        <w:top w:val="none" w:sz="0" w:space="0" w:color="auto"/>
        <w:left w:val="none" w:sz="0" w:space="0" w:color="auto"/>
        <w:bottom w:val="none" w:sz="0" w:space="0" w:color="auto"/>
        <w:right w:val="none" w:sz="0" w:space="0" w:color="auto"/>
      </w:divBdr>
      <w:divsChild>
        <w:div w:id="1984119401">
          <w:marLeft w:val="0"/>
          <w:marRight w:val="0"/>
          <w:marTop w:val="0"/>
          <w:marBottom w:val="0"/>
          <w:divBdr>
            <w:top w:val="none" w:sz="0" w:space="0" w:color="auto"/>
            <w:left w:val="none" w:sz="0" w:space="0" w:color="auto"/>
            <w:bottom w:val="none" w:sz="0" w:space="0" w:color="auto"/>
            <w:right w:val="none" w:sz="0" w:space="0" w:color="auto"/>
          </w:divBdr>
          <w:divsChild>
            <w:div w:id="1180005697">
              <w:marLeft w:val="0"/>
              <w:marRight w:val="0"/>
              <w:marTop w:val="0"/>
              <w:marBottom w:val="0"/>
              <w:divBdr>
                <w:top w:val="none" w:sz="0" w:space="0" w:color="auto"/>
                <w:left w:val="none" w:sz="0" w:space="0" w:color="auto"/>
                <w:bottom w:val="none" w:sz="0" w:space="0" w:color="auto"/>
                <w:right w:val="none" w:sz="0" w:space="0" w:color="auto"/>
              </w:divBdr>
              <w:divsChild>
                <w:div w:id="96608093">
                  <w:marLeft w:val="0"/>
                  <w:marRight w:val="0"/>
                  <w:marTop w:val="120"/>
                  <w:marBottom w:val="0"/>
                  <w:divBdr>
                    <w:top w:val="none" w:sz="0" w:space="0" w:color="auto"/>
                    <w:left w:val="none" w:sz="0" w:space="0" w:color="auto"/>
                    <w:bottom w:val="none" w:sz="0" w:space="0" w:color="auto"/>
                    <w:right w:val="none" w:sz="0" w:space="0" w:color="auto"/>
                  </w:divBdr>
                  <w:divsChild>
                    <w:div w:id="1647081734">
                      <w:marLeft w:val="0"/>
                      <w:marRight w:val="0"/>
                      <w:marTop w:val="0"/>
                      <w:marBottom w:val="0"/>
                      <w:divBdr>
                        <w:top w:val="none" w:sz="0" w:space="0" w:color="auto"/>
                        <w:left w:val="none" w:sz="0" w:space="0" w:color="auto"/>
                        <w:bottom w:val="none" w:sz="0" w:space="0" w:color="auto"/>
                        <w:right w:val="none" w:sz="0" w:space="0" w:color="auto"/>
                      </w:divBdr>
                      <w:divsChild>
                        <w:div w:id="612785771">
                          <w:marLeft w:val="0"/>
                          <w:marRight w:val="0"/>
                          <w:marTop w:val="0"/>
                          <w:marBottom w:val="0"/>
                          <w:divBdr>
                            <w:top w:val="none" w:sz="0" w:space="0" w:color="auto"/>
                            <w:left w:val="none" w:sz="0" w:space="0" w:color="auto"/>
                            <w:bottom w:val="none" w:sz="0" w:space="0" w:color="auto"/>
                            <w:right w:val="none" w:sz="0" w:space="0" w:color="auto"/>
                          </w:divBdr>
                          <w:divsChild>
                            <w:div w:id="208510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8170944">
      <w:bodyDiv w:val="1"/>
      <w:marLeft w:val="0"/>
      <w:marRight w:val="0"/>
      <w:marTop w:val="0"/>
      <w:marBottom w:val="0"/>
      <w:divBdr>
        <w:top w:val="none" w:sz="0" w:space="0" w:color="auto"/>
        <w:left w:val="none" w:sz="0" w:space="0" w:color="auto"/>
        <w:bottom w:val="none" w:sz="0" w:space="0" w:color="auto"/>
        <w:right w:val="none" w:sz="0" w:space="0" w:color="auto"/>
      </w:divBdr>
    </w:div>
    <w:div w:id="177447409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28/JVI.02332-15" TargetMode="External"/><Relationship Id="rId13" Type="http://schemas.openxmlformats.org/officeDocument/2006/relationships/hyperlink" Target="https://doi.org/10.1038/nature08182"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cdph.ca.gov/Programs/CID/DCDC/CDPH%20Document%20Library/Immunization/Annual2017-18.pdf"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26/scitranslmed.abk3445"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cdc.gov/media/releases/2024/s0522-human-case-h5.html" TargetMode="External"/><Relationship Id="rId4" Type="http://schemas.openxmlformats.org/officeDocument/2006/relationships/settings" Target="settings.xml"/><Relationship Id="rId9" Type="http://schemas.openxmlformats.org/officeDocument/2006/relationships/hyperlink" Target="https://www.cdc.gov/flu/pandemic-resources/national-strategy/risk-assessment.htm" TargetMode="External"/><Relationship Id="rId14" Type="http://schemas.openxmlformats.org/officeDocument/2006/relationships/hyperlink" Target="https://cdn.who.int/media/docs/default-source/influenza/cvvs/cvv-zoonotic---southern-hemisphere-2023/summary_a_h1v_cvv_20220928.pdf?sfvrsn=c9567a3c_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062151-DB50-9F43-AD39-0964667495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559</TotalTime>
  <Pages>25</Pages>
  <Words>6173</Words>
  <Characters>35188</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41279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Chattopadhyay, Ishanu</dc:creator>
  <cp:keywords/>
  <cp:lastModifiedBy>Chattopadhyay, Ishanu</cp:lastModifiedBy>
  <cp:revision>10</cp:revision>
  <dcterms:created xsi:type="dcterms:W3CDTF">2025-12-19T14:38:00Z</dcterms:created>
  <dcterms:modified xsi:type="dcterms:W3CDTF">2025-12-20T02:15:00Z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ies>
</file>