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Microsoft YaHei" w:cs="Microsoft YaHei" w:eastAsia="Microsoft YaHei" w:hAnsi="Microsoft YaHei"/>
          <w:b/>
          <w:bCs/>
          <w:color w:val="0B3A66"/>
          <w:sz w:val="52"/>
          <w:szCs w:val="52"/>
        </w:rPr>
        <w:t xml:space="preserve">储能电价分析与充放电策略测算工具</w:t>
      </w:r>
    </w:p>
    <w:p>
      <w:pPr>
        <w:spacing w:after="160"/>
        <w:jc w:val="center"/>
      </w:pPr>
      <w:r>
        <w:rPr>
          <w:rFonts w:ascii="Microsoft YaHei" w:cs="Microsoft YaHei" w:eastAsia="Microsoft YaHei" w:hAnsi="Microsoft YaHei"/>
          <w:color w:val="0E6FB8"/>
          <w:sz w:val="32"/>
          <w:szCs w:val="32"/>
        </w:rPr>
        <w:t xml:space="preserve">工具介绍 与 使用说明</w:t>
      </w:r>
    </w:p>
    <w:p>
      <w:pPr>
        <w:spacing w:after="2600"/>
        <w:jc w:val="center"/>
      </w:pPr>
      <w:r>
        <w:rPr>
          <w:rFonts w:ascii="Microsoft YaHei" w:cs="Microsoft YaHei" w:eastAsia="Microsoft YaHei" w:hAnsi="Microsoft YaHei"/>
          <w:color w:val="51677D"/>
          <w:sz w:val="22"/>
          <w:szCs w:val="22"/>
        </w:rPr>
        <w:t xml:space="preserve">适用于电力现货市场独立储能电站 · 峰谷套利分析 · 收益测算</w:t>
      </w:r>
    </w:p>
    <w:p>
      <w:pPr>
        <w:jc w:val="center"/>
      </w:pPr>
      <w:r>
        <w:rPr>
          <w:rFonts w:ascii="Microsoft YaHei" w:cs="Microsoft YaHei" w:eastAsia="Microsoft YaHei" w:hAnsi="Microsoft YaHei"/>
          <w:color w:val="51677D"/>
          <w:sz w:val="21"/>
          <w:szCs w:val="21"/>
        </w:rPr>
        <w:t xml:space="preserve">版本 V1.0</w:t>
      </w:r>
    </w:p>
    <w:p>
      <w:r>
        <w:br w:type="page"/>
      </w:r>
    </w:p>
    <w:p>
      <w:pPr>
        <w:pStyle w:val="Heading1"/>
        <w:spacing w:after="160" w:before="360"/>
      </w:pPr>
      <w:r>
        <w:rPr>
          <w:rFonts w:ascii="Microsoft YaHei" w:cs="Microsoft YaHei" w:eastAsia="Microsoft YaHei" w:hAnsi="Microsoft YaHei"/>
          <w:b/>
          <w:bCs/>
          <w:color w:val="0B3A66"/>
          <w:sz w:val="32"/>
          <w:szCs w:val="32"/>
        </w:rPr>
        <w:t xml:space="preserve">一、工具介绍</w:t>
      </w:r>
    </w:p>
    <w:p>
      <w:pPr>
        <w:spacing w:after="120" w:line="320"/>
      </w:pPr>
      <w:r>
        <w:rPr>
          <w:rFonts w:ascii="Microsoft YaHei" w:cs="Microsoft YaHei" w:eastAsia="Microsoft YaHei" w:hAnsi="Microsoft YaHei"/>
          <w:b w:val="false"/>
          <w:bCs w:val="false"/>
          <w:color w:val="15314F"/>
          <w:sz w:val="21"/>
          <w:szCs w:val="21"/>
        </w:rPr>
        <w:t xml:space="preserve">本工具是一套面向电力现货市场的储能电站峰谷套利分析与收益测算软件。输入一段时间的节点电价数据(96时点、15分钟颗粒度),工具即可自动分析每日峰谷价格特征,按照贴近实际运行的充放电策略规则,逐日求解最优充放电方案,并测算出这段时间的套利收益。</w:t>
      </w:r>
    </w:p>
    <w:p>
      <w:pPr>
        <w:spacing w:after="120" w:line="320"/>
      </w:pPr>
      <w:r>
        <w:rPr>
          <w:rFonts w:ascii="Microsoft YaHei" w:cs="Microsoft YaHei" w:eastAsia="Microsoft YaHei" w:hAnsi="Microsoft YaHei"/>
          <w:b w:val="false"/>
          <w:bCs w:val="false"/>
          <w:color w:val="15314F"/>
          <w:sz w:val="21"/>
          <w:szCs w:val="21"/>
        </w:rPr>
        <w:t xml:space="preserve">工具在本地电脑运行,数据不出本机;界面为网页形式,通过浏览器操作,无需编程基础。</w:t>
      </w:r>
    </w:p>
    <w:p>
      <w:pPr>
        <w:pStyle w:val="Heading2"/>
        <w:spacing w:after="120" w:before="260"/>
      </w:pPr>
      <w:r>
        <w:rPr>
          <w:rFonts w:ascii="Microsoft YaHei" w:cs="Microsoft YaHei" w:eastAsia="Microsoft YaHei" w:hAnsi="Microsoft YaHei"/>
          <w:b/>
          <w:bCs/>
          <w:color w:val="0E6FB8"/>
          <w:sz w:val="26"/>
          <w:szCs w:val="26"/>
        </w:rPr>
        <w:t xml:space="preserve">1.1 适用对象</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独立储能电站 / 共享储能电站的投资测算与运营分析人员</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电力交易员:辅助制定日前市场充放电申报策略</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项目开发人员:用历史电价快速评估某省市场的储能套利空间</w:t>
      </w:r>
    </w:p>
    <w:p>
      <w:pPr>
        <w:pStyle w:val="Heading2"/>
        <w:spacing w:after="120" w:before="260"/>
      </w:pPr>
      <w:r>
        <w:rPr>
          <w:rFonts w:ascii="Microsoft YaHei" w:cs="Microsoft YaHei" w:eastAsia="Microsoft YaHei" w:hAnsi="Microsoft YaHei"/>
          <w:b/>
          <w:bCs/>
          <w:color w:val="0E6FB8"/>
          <w:sz w:val="26"/>
          <w:szCs w:val="26"/>
        </w:rPr>
        <w:t xml:space="preserve">1.2 核心能力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能力</w:t>
            </w:r>
          </w:p>
        </w:tc>
        <w:tc>
          <w:tcPr>
            <w:tcW w:type="dxa" w:w="686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说明</w:t>
            </w:r>
          </w:p>
        </w:tc>
      </w:tr>
      <w:tr>
        <w:tc>
          <w:tcPr>
            <w:tcW w:type="dxa" w:w="25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电价分析</w:t>
            </w:r>
          </w:p>
        </w:tc>
        <w:tc>
          <w:tcPr>
            <w:tcW w:type="dxa" w:w="68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单日96时点曲线、区间峰谷均价趋势、环比(上月同区间)/同比(去年同区间)对比</w:t>
            </w:r>
          </w:p>
        </w:tc>
      </w:tr>
      <w:tr>
        <w:tc>
          <w:tcPr>
            <w:tcW w:type="dxa" w:w="25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策略求解</w:t>
            </w:r>
          </w:p>
        </w:tc>
        <w:tc>
          <w:tcPr>
            <w:tcW w:type="dxa" w:w="68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逐日数学优化(MILP),自动选出最优充放电时段组合,支持2小时/4小时两类系统</w:t>
            </w:r>
          </w:p>
        </w:tc>
      </w:tr>
      <w:tr>
        <w:tc>
          <w:tcPr>
            <w:tcW w:type="dxa" w:w="25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收益测算</w:t>
            </w:r>
          </w:p>
        </w:tc>
        <w:tc>
          <w:tcPr>
            <w:tcW w:type="dxa" w:w="68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按选定时间段测算净收益、套利价差、循环次数、利用率达标情况,结果可导出</w:t>
            </w:r>
          </w:p>
        </w:tc>
      </w:tr>
      <w:tr>
        <w:tc>
          <w:tcPr>
            <w:tcW w:type="dxa" w:w="25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规则贴合实际</w:t>
            </w:r>
          </w:p>
        </w:tc>
        <w:tc>
          <w:tcPr>
            <w:tcW w:type="dxa" w:w="68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充放时长严格对称、一充一放严格交替、电量状态跨天连续、价差门槛与循环预算约束</w:t>
            </w:r>
          </w:p>
        </w:tc>
      </w:tr>
    </w:tbl>
    <w:p>
      <w:pPr>
        <w:pStyle w:val="Heading2"/>
        <w:spacing w:after="120" w:before="260"/>
      </w:pPr>
      <w:r>
        <w:rPr>
          <w:rFonts w:ascii="Microsoft YaHei" w:cs="Microsoft YaHei" w:eastAsia="Microsoft YaHei" w:hAnsi="Microsoft YaHei"/>
          <w:b/>
          <w:bCs/>
          <w:color w:val="0E6FB8"/>
          <w:sz w:val="26"/>
          <w:szCs w:val="26"/>
        </w:rPr>
        <w:t xml:space="preserve">1.3 策略规则(与实际运行口径一致)</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系统时长 = 容量÷功率,自动识别:4小时系统每日一充一放(年目标330次);2小时系统每日两充两放(年目标660次),可手动调整。</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每个启用日,充电总时长与放电总时长严格相等(硬约束),不会出现时长不对称。</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每日多次循环时严格按“充1→放1→充2→放2”交替,每段恰好等于系统时长且连续,不允许连续两次充电。</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双重启用门槛:①当日最优时长窗口峰谷价差 ≥ 150元/MWh(可调);②按方案执行的净收益 &gt; 0。任一不满足则当日待机,并记录原因。</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第二循环规则(2小时系统):第二个循环的价差(放电均价−充电均价)低于200元/MWh(可调)时,自动放弃第二循环——默认当日只做一充一放,也可选择“只做低价充电留到次日”。</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电池电量(SOC)跨天连续传递,前一日收盘电量即次日开盘电量;往返效率按87%计;年循环目标为最低利用率要求(下限),盈利天数不足会提示缺口,不强行凑数。</w:t>
      </w:r>
    </w:p>
    <w:p>
      <w:r>
        <w:br w:type="page"/>
      </w:r>
    </w:p>
    <w:p>
      <w:pPr>
        <w:pStyle w:val="Heading1"/>
        <w:spacing w:after="160" w:before="360"/>
      </w:pPr>
      <w:r>
        <w:rPr>
          <w:rFonts w:ascii="Microsoft YaHei" w:cs="Microsoft YaHei" w:eastAsia="Microsoft YaHei" w:hAnsi="Microsoft YaHei"/>
          <w:b/>
          <w:bCs/>
          <w:color w:val="0B3A66"/>
          <w:sz w:val="32"/>
          <w:szCs w:val="32"/>
        </w:rPr>
        <w:t xml:space="preserve">二、安装(首次使用,约10分钟)</w:t>
      </w:r>
    </w:p>
    <w:p>
      <w:pPr>
        <w:pStyle w:val="Heading2"/>
        <w:spacing w:after="120" w:before="260"/>
      </w:pPr>
      <w:r>
        <w:rPr>
          <w:rFonts w:ascii="Microsoft YaHei" w:cs="Microsoft YaHei" w:eastAsia="Microsoft YaHei" w:hAnsi="Microsoft YaHei"/>
          <w:b/>
          <w:bCs/>
          <w:color w:val="0E6FB8"/>
          <w:sz w:val="26"/>
          <w:szCs w:val="26"/>
        </w:rPr>
        <w:t xml:space="preserve">2.1 文件包结构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文件/文件夹</w:t>
            </w:r>
          </w:p>
        </w:tc>
        <w:tc>
          <w:tcPr>
            <w:tcW w:type="dxa" w:w="646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用途</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scripts\</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程序脚本(请勿改动文件名)</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packages\</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依赖离线安装包(52个,适用Windows 64位+Python 3.12)</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data\</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电价Excel数据放这里(内含示例文件)</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output\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命令行回测结果自动保存到这里</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python-installer\</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Python安装程序下载说明</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1-Install-Online.bat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在线安装依赖(电脑能上网时用)</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2-Install-Offline.bat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离线安装依赖(内网/断网电脑用)</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3-Start-App.bat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启动网页版(日常使用入口)</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4-Run-Backtest.bat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命令行批量回测</w:t>
            </w:r>
          </w:p>
        </w:tc>
      </w:tr>
      <w:tr>
        <w:tc>
          <w:tcPr>
            <w:tcW w:type="dxa" w:w="29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9-Uninstall.bat</w:t>
            </w:r>
          </w:p>
        </w:tc>
        <w:tc>
          <w:tcPr>
            <w:tcW w:type="dxa" w:w="64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一键卸载</w:t>
            </w:r>
          </w:p>
        </w:tc>
      </w:tr>
    </w:tbl>
    <w:p>
      <w:pPr>
        <w:pStyle w:val="Heading2"/>
        <w:spacing w:after="120" w:before="260"/>
      </w:pPr>
      <w:r>
        <w:rPr>
          <w:rFonts w:ascii="Microsoft YaHei" w:cs="Microsoft YaHei" w:eastAsia="Microsoft YaHei" w:hAnsi="Microsoft YaHei"/>
          <w:b/>
          <w:bCs/>
          <w:color w:val="0E6FB8"/>
          <w:sz w:val="26"/>
          <w:szCs w:val="26"/>
        </w:rPr>
        <w:t xml:space="preserve">2.2 安装步骤</w:t>
      </w:r>
    </w:p>
    <w:p>
      <w:pPr>
        <w:pStyle w:val="ListParagraph"/>
        <w:numPr>
          <w:ilvl w:val="0"/>
          <w:numId w:val="3"/>
        </w:numPr>
        <w:spacing w:after="80" w:line="300"/>
      </w:pPr>
      <w:r>
        <w:rPr>
          <w:rFonts w:ascii="Microsoft YaHei" w:cs="Microsoft YaHei" w:eastAsia="Microsoft YaHei" w:hAnsi="Microsoft YaHei"/>
          <w:b/>
          <w:bCs/>
          <w:color w:val="15314F"/>
          <w:sz w:val="21"/>
          <w:szCs w:val="21"/>
        </w:rPr>
        <w:t xml:space="preserve">第一步 </w:t>
      </w:r>
      <w:r>
        <w:rPr>
          <w:rFonts w:ascii="Microsoft YaHei" w:cs="Microsoft YaHei" w:eastAsia="Microsoft YaHei" w:hAnsi="Microsoft YaHei"/>
          <w:color w:val="15314F"/>
          <w:sz w:val="21"/>
          <w:szCs w:val="21"/>
        </w:rPr>
        <w:t xml:space="preserve">安装Python:若电脑未装Python,按 python-installer\下载说明.txt 指引下载 Python 3.12(64位)并安装,安装时务必勾选“Add Python to PATH”。</w:t>
      </w:r>
    </w:p>
    <w:p>
      <w:pPr>
        <w:pStyle w:val="ListParagraph"/>
        <w:numPr>
          <w:ilvl w:val="0"/>
          <w:numId w:val="3"/>
        </w:numPr>
        <w:spacing w:after="80" w:line="300"/>
      </w:pPr>
      <w:r>
        <w:rPr>
          <w:rFonts w:ascii="Microsoft YaHei" w:cs="Microsoft YaHei" w:eastAsia="Microsoft YaHei" w:hAnsi="Microsoft YaHei"/>
          <w:b/>
          <w:bCs/>
          <w:color w:val="15314F"/>
          <w:sz w:val="21"/>
          <w:szCs w:val="21"/>
        </w:rPr>
        <w:t xml:space="preserve">第二步 </w:t>
      </w:r>
      <w:r>
        <w:rPr>
          <w:rFonts w:ascii="Microsoft YaHei" w:cs="Microsoft YaHei" w:eastAsia="Microsoft YaHei" w:hAnsi="Microsoft YaHei"/>
          <w:color w:val="15314F"/>
          <w:sz w:val="21"/>
          <w:szCs w:val="21"/>
        </w:rPr>
        <w:t xml:space="preserve">安装依赖:能上网的电脑双击 1-Install-Online.bat;内网/断网电脑双击 2-Install-Offline.bat(离线包按Python 3.12匹配,其他版本请走在线安装)。窗口显示 Install finished 即完成,只需做一次。</w:t>
      </w:r>
    </w:p>
    <w:p>
      <w:pPr>
        <w:pStyle w:val="ListParagraph"/>
        <w:numPr>
          <w:ilvl w:val="0"/>
          <w:numId w:val="3"/>
        </w:numPr>
        <w:spacing w:after="80" w:line="300"/>
      </w:pPr>
      <w:r>
        <w:rPr>
          <w:rFonts w:ascii="Microsoft YaHei" w:cs="Microsoft YaHei" w:eastAsia="Microsoft YaHei" w:hAnsi="Microsoft YaHei"/>
          <w:b/>
          <w:bCs/>
          <w:color w:val="15314F"/>
          <w:sz w:val="21"/>
          <w:szCs w:val="21"/>
        </w:rPr>
        <w:t xml:space="preserve">第三步 </w:t>
      </w:r>
      <w:r>
        <w:rPr>
          <w:rFonts w:ascii="Microsoft YaHei" w:cs="Microsoft YaHei" w:eastAsia="Microsoft YaHei" w:hAnsi="Microsoft YaHei"/>
          <w:color w:val="15314F"/>
          <w:sz w:val="21"/>
          <w:szCs w:val="21"/>
        </w:rPr>
        <w:t xml:space="preserve">启动:双击 3-Start-App.bat,浏览器自动打开操作界面。若浏览器未自动弹出,手动访问窗口中提示的地址(通常为 http://localhost:8501)。</w:t>
      </w:r>
    </w:p>
    <w:p>
      <w:pPr>
        <w:spacing w:after="120" w:line="320"/>
      </w:pPr>
      <w:r>
        <w:rPr>
          <w:rFonts w:ascii="Microsoft YaHei" w:cs="Microsoft YaHei" w:eastAsia="Microsoft YaHei" w:hAnsi="Microsoft YaHei"/>
          <w:b w:val="false"/>
          <w:bCs w:val="false"/>
          <w:color w:val="51677D"/>
          <w:sz w:val="21"/>
          <w:szCs w:val="21"/>
        </w:rPr>
        <w:t xml:space="preserve">提示:使用期间请保持黑色命令行窗口开启,关闭该窗口即退出程序。</w:t>
      </w:r>
    </w:p>
    <w:p>
      <w:pPr>
        <w:pStyle w:val="Heading2"/>
        <w:spacing w:after="120" w:before="260"/>
      </w:pPr>
      <w:r>
        <w:rPr>
          <w:rFonts w:ascii="Microsoft YaHei" w:cs="Microsoft YaHei" w:eastAsia="Microsoft YaHei" w:hAnsi="Microsoft YaHei"/>
          <w:b/>
          <w:bCs/>
          <w:color w:val="0E6FB8"/>
          <w:sz w:val="26"/>
          <w:szCs w:val="26"/>
        </w:rPr>
        <w:t xml:space="preserve">2.3 数据格式要求</w:t>
      </w:r>
    </w:p>
    <w:p>
      <w:pPr>
        <w:spacing w:after="120" w:line="320"/>
      </w:pPr>
      <w:r>
        <w:rPr>
          <w:rFonts w:ascii="Microsoft YaHei" w:cs="Microsoft YaHei" w:eastAsia="Microsoft YaHei" w:hAnsi="Microsoft YaHei"/>
          <w:b w:val="false"/>
          <w:bCs w:val="false"/>
          <w:color w:val="15314F"/>
          <w:sz w:val="21"/>
          <w:szCs w:val="21"/>
        </w:rPr>
        <w:t xml:space="preserve">Excel宽表,每行代表一天,列依次为:类型(日前价格/实时价格)、日期、00:00、00:15、……、23:45,共96个时间列(15分钟颗粒度)。可参照 data 文件夹内的示例文件整理格式。日前与实时价格可放在同一张表内,用“类型”列区分,软件中可切换分析。</w:t>
      </w:r>
    </w:p>
    <w:p>
      <w:r>
        <w:br w:type="page"/>
      </w:r>
    </w:p>
    <w:p>
      <w:pPr>
        <w:pStyle w:val="Heading1"/>
        <w:spacing w:after="160" w:before="360"/>
      </w:pPr>
      <w:r>
        <w:rPr>
          <w:rFonts w:ascii="Microsoft YaHei" w:cs="Microsoft YaHei" w:eastAsia="Microsoft YaHei" w:hAnsi="Microsoft YaHei"/>
          <w:b/>
          <w:bCs/>
          <w:color w:val="0B3A66"/>
          <w:sz w:val="32"/>
          <w:szCs w:val="32"/>
        </w:rPr>
        <w:t xml:space="preserve">三、界面与操作说明</w:t>
      </w:r>
    </w:p>
    <w:p>
      <w:pPr>
        <w:pStyle w:val="Heading2"/>
        <w:spacing w:after="120" w:before="260"/>
      </w:pPr>
      <w:r>
        <w:rPr>
          <w:rFonts w:ascii="Microsoft YaHei" w:cs="Microsoft YaHei" w:eastAsia="Microsoft YaHei" w:hAnsi="Microsoft YaHei"/>
          <w:b/>
          <w:bCs/>
          <w:color w:val="0E6FB8"/>
          <w:sz w:val="26"/>
          <w:szCs w:val="26"/>
        </w:rPr>
        <w:t xml:space="preserve">3.1 左侧参数栏(全局设置)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参数</w:t>
            </w:r>
          </w:p>
        </w:tc>
        <w:tc>
          <w:tcPr>
            <w:tcW w:type="dxa" w:w="626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说明</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上传Excel / 价格类型</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上传电价文件;若含多种价格类型,下拉切换</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额定功率 / 额定容量</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如 200MW / 800MWh;充放电时长自动=容量÷功率</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每日充放次数</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2小时系统自动为2次,4小时系统为1次,可手动改</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年最低利用率目标</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默认330次(4h)/660次(2h),用于达标对比</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启用门槛(价差)</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默认150元/MWh,当日最优窗口价差低于此值则待机</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第二循环最低价差</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默认200元/MWh(仅每日2次时显示),及价差不足时的处理方式</w:t>
            </w:r>
          </w:p>
        </w:tc>
      </w:tr>
      <w:tr>
        <w:tc>
          <w:tcPr>
            <w:tcW w:type="dxa" w:w="31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初始SOC</w:t>
            </w:r>
          </w:p>
        </w:tc>
        <w:tc>
          <w:tcPr>
            <w:tcW w:type="dxa" w:w="62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首日起始电量百分比,默认50%</w:t>
            </w:r>
          </w:p>
        </w:tc>
      </w:tr>
    </w:tbl>
    <w:p>
      <w:pPr>
        <w:spacing w:after="120" w:line="320"/>
      </w:pPr>
      <w:r>
        <w:rPr>
          <w:rFonts w:ascii="Microsoft YaHei" w:cs="Microsoft YaHei" w:eastAsia="Microsoft YaHei" w:hAnsi="Microsoft YaHei"/>
          <w:b w:val="false"/>
          <w:bCs w:val="false"/>
          <w:color w:val="51677D"/>
          <w:sz w:val="21"/>
          <w:szCs w:val="21"/>
        </w:rPr>
        <w:t xml:space="preserve">修改任一参数后,页面结果自动联动更新;收益测算页需重新点击“开始测算”。</w:t>
      </w:r>
    </w:p>
    <w:p>
      <w:pPr>
        <w:pStyle w:val="Heading2"/>
        <w:spacing w:after="120" w:before="260"/>
      </w:pPr>
      <w:r>
        <w:rPr>
          <w:rFonts w:ascii="Microsoft YaHei" w:cs="Microsoft YaHei" w:eastAsia="Microsoft YaHei" w:hAnsi="Microsoft YaHei"/>
          <w:b/>
          <w:bCs/>
          <w:color w:val="0E6FB8"/>
          <w:sz w:val="26"/>
          <w:szCs w:val="26"/>
        </w:rPr>
        <w:t xml:space="preserve">3.2 页面② 单日分析·区间峰谷均价</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上半部分:日历选择任意一天,右侧显示当日96时点电价曲线,绿色/红色色块为策略求解出的实际充电/放电时段(带序号),左侧显示门槛价差、执行套利价差与净收益,图下附充放窗口明细表。未过门槛的天会明确提示“当日按策略待机”。</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下半部分:选择起止日期(须大于一天),显示区间内每日最高均价(红线)/最低均价(绿线)趋势;下方三个指标为区间日均口径(每日均价求和÷天数);超过31天自动出现可拖拽缩放的滑块,便于查看一年以上的长数据。</w:t>
      </w:r>
    </w:p>
    <w:p>
      <w:pPr>
        <w:pStyle w:val="Heading2"/>
        <w:spacing w:after="120" w:before="260"/>
      </w:pPr>
      <w:r>
        <w:rPr>
          <w:rFonts w:ascii="Microsoft YaHei" w:cs="Microsoft YaHei" w:eastAsia="Microsoft YaHei" w:hAnsi="Microsoft YaHei"/>
          <w:b/>
          <w:bCs/>
          <w:color w:val="0E6FB8"/>
          <w:sz w:val="26"/>
          <w:szCs w:val="26"/>
        </w:rPr>
        <w:t xml:space="preserve">3.3 页面③ 环比/同比对比</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单日对比:选一天,叠加环比日(前一日)与同比日(上月同日)的96时点曲线,并对比各日价差。</w:t>
      </w:r>
    </w:p>
    <w:p>
      <w:pPr>
        <w:pStyle w:val="ListParagraph"/>
        <w:numPr>
          <w:ilvl w:val="0"/>
          <w:numId w:val="2"/>
        </w:numPr>
        <w:spacing w:after="80" w:line="300"/>
      </w:pPr>
      <w:r>
        <w:rPr>
          <w:rFonts w:ascii="Microsoft YaHei" w:cs="Microsoft YaHei" w:eastAsia="Microsoft YaHei" w:hAnsi="Microsoft YaHei"/>
          <w:color w:val="15314F"/>
          <w:sz w:val="21"/>
          <w:szCs w:val="21"/>
        </w:rPr>
        <w:t xml:space="preserve">区间对比:选起止日期后,实线为本期每日放电均价(红)/充电均价(绿);短划虚线为环比期(上月同日期区间),点状虚线为同比期(去年同日期区间);对应时期数据不足时自动取消该项并提示。下方表格给出区间加权平均充/放电均价与平均价差的本期/环比/同比对照及变化幅度。</w:t>
      </w:r>
    </w:p>
    <w:p>
      <w:pPr>
        <w:pStyle w:val="Heading2"/>
        <w:spacing w:after="120" w:before="260"/>
      </w:pPr>
      <w:r>
        <w:rPr>
          <w:rFonts w:ascii="Microsoft YaHei" w:cs="Microsoft YaHei" w:eastAsia="Microsoft YaHei" w:hAnsi="Microsoft YaHei"/>
          <w:b/>
          <w:bCs/>
          <w:color w:val="0E6FB8"/>
          <w:sz w:val="26"/>
          <w:szCs w:val="26"/>
        </w:rPr>
        <w:t xml:space="preserve">3.4 页面④ 充放电策略·收益测算</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选择测算起止日期(数据量大时建议先测一小段;页面会预估求解耗时)。</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点击“开始测算(逐日MILP求解)”,等待进度完成。</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查看结果:累计/日均净收益、启用天数与利用率目标对比、盈亏平衡价差、AI平均充/放电价与套利价差、逐日净收益柱状图(灰色为待机日)、累计收益曲线、月度汇总、待机日原因表。</w:t>
      </w:r>
    </w:p>
    <w:p>
      <w:pPr>
        <w:pStyle w:val="ListParagraph"/>
        <w:numPr>
          <w:ilvl w:val="0"/>
          <w:numId w:val="3"/>
        </w:numPr>
        <w:spacing w:after="80" w:line="300"/>
      </w:pPr>
      <w:r>
        <w:rPr>
          <w:rFonts w:ascii="Microsoft YaHei" w:cs="Microsoft YaHei" w:eastAsia="Microsoft YaHei" w:hAnsi="Microsoft YaHei"/>
          <w:color w:val="15314F"/>
          <w:sz w:val="21"/>
          <w:szCs w:val="21"/>
        </w:rPr>
        <w:t xml:space="preserve">任选一个启用日可查看当天曲线与充放电时段;三个结果表(逐日/月度/充放窗口)均可下载CSV。</w:t>
      </w:r>
    </w:p>
    <w:p>
      <w:pPr>
        <w:spacing w:after="120" w:line="320"/>
      </w:pPr>
      <w:r>
        <w:rPr>
          <w:rFonts w:ascii="Microsoft YaHei" w:cs="Microsoft YaHei" w:eastAsia="Microsoft YaHei" w:hAnsi="Microsoft YaHei"/>
          <w:b w:val="false"/>
          <w:bCs w:val="false"/>
          <w:color w:val="51677D"/>
          <w:sz w:val="21"/>
          <w:szCs w:val="21"/>
        </w:rPr>
        <w:t xml:space="preserve">同一参数与区间的测算结果自动缓存,重复查看无需重新求解。参考耗时:4小时系统约0.4秒/天,2小时系统约2.5秒/天。</w:t>
      </w:r>
    </w:p>
    <w:p>
      <w:r>
        <w:br w:type="page"/>
      </w:r>
    </w:p>
    <w:p>
      <w:pPr>
        <w:pStyle w:val="Heading1"/>
        <w:spacing w:after="160" w:before="360"/>
      </w:pPr>
      <w:r>
        <w:rPr>
          <w:rFonts w:ascii="Microsoft YaHei" w:cs="Microsoft YaHei" w:eastAsia="Microsoft YaHei" w:hAnsi="Microsoft YaHei"/>
          <w:b/>
          <w:bCs/>
          <w:color w:val="0B3A66"/>
          <w:sz w:val="32"/>
          <w:szCs w:val="32"/>
        </w:rPr>
        <w:t xml:space="preserve">四、关键指标口径速查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指标</w:t>
            </w:r>
          </w:p>
        </w:tc>
        <w:tc>
          <w:tcPr>
            <w:tcW w:type="dxa" w:w="6060"/>
            <w:shd w:fill="EAF2FA" w:val="clear"/>
            <w:tcMar>
              <w:top w:type="dxa" w:w="60"/>
              <w:left w:type="dxa" w:w="100"/>
              <w:bottom w:type="dxa" w:w="60"/>
              <w:right w:type="dxa" w:w="100"/>
            </w:tcMar>
          </w:tcPr>
          <w:p>
            <w:pPr>
              <w:spacing w:after="0" w:line="280"/>
            </w:pPr>
            <w:r>
              <w:rPr>
                <w:rFonts w:ascii="Microsoft YaHei" w:cs="Microsoft YaHei" w:eastAsia="Microsoft YaHei" w:hAnsi="Microsoft YaHei"/>
                <w:b/>
                <w:bCs/>
                <w:color w:val="0B3A66"/>
                <w:sz w:val="20"/>
                <w:szCs w:val="20"/>
              </w:rPr>
              <w:t xml:space="preserve">含义</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最优Nh窗口价差(门槛口径)</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当日均价最高的连续N小时窗口 − 均价最低的连续N小时窗口,用于启用门槛快筛</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套利价差(策略执行口径)</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方案实际选中的放电时点电量加权均价 − 充电时点电量加权均价,最贴近真实收益</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峰/谷段窗口均价差</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高于85分位的最长连续段均价 − 低于15分位的最长连续段均价,市场统计参考</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全天最高−最低</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单日96个时点的最高价−最低价,理论上限参考</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区间最高/最低均价</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区间内每日最高/最低均价求和÷天数(日均口径,非区间极值)</w:t>
            </w:r>
          </w:p>
        </w:tc>
      </w:tr>
      <w:tr>
        <w:tc>
          <w:tcPr>
            <w:tcW w:type="dxa" w:w="330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循环次数</w:t>
            </w:r>
          </w:p>
        </w:tc>
        <w:tc>
          <w:tcPr>
            <w:tcW w:type="dxa" w:w="6060"/>
            <w:tcMar>
              <w:top w:type="dxa" w:w="60"/>
              <w:left w:type="dxa" w:w="100"/>
              <w:bottom w:type="dxa" w:w="60"/>
              <w:right w:type="dxa" w:w="100"/>
            </w:tcMar>
          </w:tcPr>
          <w:p>
            <w:pPr>
              <w:spacing w:after="0" w:line="280"/>
            </w:pPr>
            <w:r>
              <w:rPr>
                <w:rFonts w:ascii="Microsoft YaHei" w:cs="Microsoft YaHei" w:eastAsia="Microsoft YaHei" w:hAnsi="Microsoft YaHei"/>
                <w:b w:val="false"/>
                <w:bCs w:val="false"/>
                <w:color w:val="15314F"/>
                <w:sz w:val="20"/>
                <w:szCs w:val="20"/>
              </w:rPr>
              <w:t xml:space="preserve">累计放电电量÷额定容量;受SOC可用带宽影响,2小时系统单日实际约1.3~1.9次</w:t>
            </w:r>
          </w:p>
        </w:tc>
      </w:tr>
    </w:tbl>
    <w:p>
      <w:pPr>
        <w:pStyle w:val="Heading1"/>
        <w:spacing w:after="160" w:before="360"/>
      </w:pPr>
      <w:r>
        <w:rPr>
          <w:rFonts w:ascii="Microsoft YaHei" w:cs="Microsoft YaHei" w:eastAsia="Microsoft YaHei" w:hAnsi="Microsoft YaHei"/>
          <w:b/>
          <w:bCs/>
          <w:color w:val="0B3A66"/>
          <w:sz w:val="32"/>
          <w:szCs w:val="32"/>
        </w:rPr>
        <w:t xml:space="preserve">五、常见问题</w:t>
      </w:r>
    </w:p>
    <w:p>
      <w:pPr>
        <w:spacing w:after="120" w:line="320"/>
      </w:pPr>
      <w:r>
        <w:rPr>
          <w:rFonts w:ascii="Microsoft YaHei" w:cs="Microsoft YaHei" w:eastAsia="Microsoft YaHei" w:hAnsi="Microsoft YaHei"/>
          <w:b/>
          <w:bCs/>
          <w:color w:val="15314F"/>
          <w:sz w:val="21"/>
          <w:szCs w:val="21"/>
        </w:rPr>
        <w:t xml:space="preserve">双击bat闪退? </w:t>
      </w:r>
      <w:r>
        <w:rPr>
          <w:rFonts w:ascii="Microsoft YaHei" w:cs="Microsoft YaHei" w:eastAsia="Microsoft YaHei" w:hAnsi="Microsoft YaHei"/>
          <w:color w:val="15314F"/>
          <w:sz w:val="21"/>
          <w:szCs w:val="21"/>
        </w:rPr>
        <w:t xml:space="preserve">多为Python未加入PATH。重装Python勾选“Add Python to PATH”,或改用命令 py -m streamlit run price_trading_app.py 启动。</w:t>
      </w:r>
    </w:p>
    <w:p>
      <w:pPr>
        <w:spacing w:after="120" w:line="320"/>
      </w:pPr>
      <w:r>
        <w:rPr>
          <w:rFonts w:ascii="Microsoft YaHei" w:cs="Microsoft YaHei" w:eastAsia="Microsoft YaHei" w:hAnsi="Microsoft YaHei"/>
          <w:b/>
          <w:bCs/>
          <w:color w:val="15314F"/>
          <w:sz w:val="21"/>
          <w:szCs w:val="21"/>
        </w:rPr>
        <w:t xml:space="preserve">离线安装失败? </w:t>
      </w:r>
      <w:r>
        <w:rPr>
          <w:rFonts w:ascii="Microsoft YaHei" w:cs="Microsoft YaHei" w:eastAsia="Microsoft YaHei" w:hAnsi="Microsoft YaHei"/>
          <w:color w:val="15314F"/>
          <w:sz w:val="21"/>
          <w:szCs w:val="21"/>
        </w:rPr>
        <w:t xml:space="preserve">离线包按Python 3.12(64位)打包,其他版本请用在线安装;在线慢可加清华镜像源 -i https://pypi.tuna.tsinghua.edu.cn/simple。</w:t>
      </w:r>
    </w:p>
    <w:p>
      <w:pPr>
        <w:spacing w:after="120" w:line="320"/>
      </w:pPr>
      <w:r>
        <w:rPr>
          <w:rFonts w:ascii="Microsoft YaHei" w:cs="Microsoft YaHei" w:eastAsia="Microsoft YaHei" w:hAnsi="Microsoft YaHei"/>
          <w:b/>
          <w:bCs/>
          <w:color w:val="15314F"/>
          <w:sz w:val="21"/>
          <w:szCs w:val="21"/>
        </w:rPr>
        <w:t xml:space="preserve">某天谷段价格为负正常吗? </w:t>
      </w:r>
      <w:r>
        <w:rPr>
          <w:rFonts w:ascii="Microsoft YaHei" w:cs="Microsoft YaHei" w:eastAsia="Microsoft YaHei" w:hAnsi="Microsoft YaHei"/>
          <w:color w:val="15314F"/>
          <w:sz w:val="21"/>
          <w:szCs w:val="21"/>
        </w:rPr>
        <w:t xml:space="preserve">正常。节假日等低负荷时段现货市场会出现负电价,属真实市场信号,策略会利用负价时段低价充电。</w:t>
      </w:r>
    </w:p>
    <w:p>
      <w:pPr>
        <w:spacing w:after="120" w:line="320"/>
      </w:pPr>
      <w:r>
        <w:rPr>
          <w:rFonts w:ascii="Microsoft YaHei" w:cs="Microsoft YaHei" w:eastAsia="Microsoft YaHei" w:hAnsi="Microsoft YaHei"/>
          <w:b/>
          <w:bCs/>
          <w:color w:val="15314F"/>
          <w:sz w:val="21"/>
          <w:szCs w:val="21"/>
        </w:rPr>
        <w:t xml:space="preserve">启用天数达不到年目标? </w:t>
      </w:r>
      <w:r>
        <w:rPr>
          <w:rFonts w:ascii="Microsoft YaHei" w:cs="Microsoft YaHei" w:eastAsia="Microsoft YaHei" w:hAnsi="Microsoft YaHei"/>
          <w:color w:val="15314F"/>
          <w:sz w:val="21"/>
          <w:szCs w:val="21"/>
        </w:rPr>
        <w:t xml:space="preserve">说明该时段价差水平不足以支撑目标利用率,系统会提示缺口。建议用更长历史数据复核,或与财务模型的利用率假设进行校对。</w:t>
      </w:r>
    </w:p>
    <w:p>
      <w:pPr>
        <w:spacing w:after="120" w:line="320"/>
      </w:pPr>
      <w:r>
        <w:rPr>
          <w:rFonts w:ascii="Microsoft YaHei" w:cs="Microsoft YaHei" w:eastAsia="Microsoft YaHei" w:hAnsi="Microsoft YaHei"/>
          <w:b/>
          <w:bCs/>
          <w:color w:val="15314F"/>
          <w:sz w:val="21"/>
          <w:szCs w:val="21"/>
        </w:rPr>
        <w:t xml:space="preserve">2小时系统循环数不足2次/天? </w:t>
      </w:r>
      <w:r>
        <w:rPr>
          <w:rFonts w:ascii="Microsoft YaHei" w:cs="Microsoft YaHei" w:eastAsia="Microsoft YaHei" w:hAnsi="Microsoft YaHei"/>
          <w:color w:val="15314F"/>
          <w:sz w:val="21"/>
          <w:szCs w:val="21"/>
        </w:rPr>
        <w:t xml:space="preserve">正常。SOC可用带宽(10%~90%)决定单循环最多约0.8个名义容量,叠加价差驱动的功率优化,实际约1.3~1.9次/天,请与财务模型口径对齐。</w:t>
      </w:r>
    </w:p>
    <w:p>
      <w:pPr>
        <w:spacing w:after="120" w:line="320"/>
      </w:pPr>
      <w:r>
        <w:rPr>
          <w:rFonts w:ascii="Microsoft YaHei" w:cs="Microsoft YaHei" w:eastAsia="Microsoft YaHei" w:hAnsi="Microsoft YaHei"/>
          <w:b/>
          <w:bCs/>
          <w:color w:val="15314F"/>
          <w:sz w:val="21"/>
          <w:szCs w:val="21"/>
        </w:rPr>
        <w:t xml:space="preserve">如何卸载? </w:t>
      </w:r>
      <w:r>
        <w:rPr>
          <w:rFonts w:ascii="Microsoft YaHei" w:cs="Microsoft YaHei" w:eastAsia="Microsoft YaHei" w:hAnsi="Microsoft YaHei"/>
          <w:color w:val="15314F"/>
          <w:sz w:val="21"/>
          <w:szCs w:val="21"/>
        </w:rPr>
        <w:t xml:space="preserve">双击 9-Uninstall.bat,按提示分两步确认:先选择卸载哪些依赖(电脑上有其他Python程序时,共用包建议保留),再确认是否删除整个文件夹(含数据与结果,不可恢复)。</w:t>
      </w:r>
    </w:p>
    <w:p>
      <w:pPr>
        <w:spacing w:after="120" w:line="320"/>
      </w:pPr>
      <w:r>
        <w:rPr>
          <w:rFonts w:ascii="Microsoft YaHei" w:cs="Microsoft YaHei" w:eastAsia="Microsoft YaHei" w:hAnsi="Microsoft YaHei"/>
          <w:b w:val="false"/>
          <w:bCs w:val="false"/>
          <w:color w:val="15314F"/>
          <w:sz w:val="21"/>
          <w:szCs w:val="21"/>
        </w:rPr>
        <w:t xml:space="preserve"/>
      </w:r>
    </w:p>
    <w:p>
      <w:pPr>
        <w:pBdr>
          <w:top w:val="single" w:color="DBE7F1" w:sz="4"/>
        </w:pBdr>
        <w:spacing w:before="160"/>
      </w:pPr>
      <w:r>
        <w:rPr>
          <w:rFonts w:ascii="Microsoft YaHei" w:cs="Microsoft YaHei" w:eastAsia="Microsoft YaHei" w:hAnsi="Microsoft YaHei"/>
          <w:color w:val="51677D"/>
          <w:sz w:val="20"/>
          <w:szCs w:val="20"/>
        </w:rPr>
        <w:t xml:space="preserve">使用中遇到报错,请截图命令行窗口的错误信息以便排查。</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2026-07-06T11:34:49.944Z</dcterms:created>
  <dcterms:modified xsi:type="dcterms:W3CDTF">2026-07-06T11:34:49.945Z</dcterms:modified>
</cp:coreProperties>
</file>

<file path=docProps/custom.xml><?xml version="1.0" encoding="utf-8"?>
<Properties xmlns="http://schemas.openxmlformats.org/officeDocument/2006/custom-properties" xmlns:vt="http://schemas.openxmlformats.org/officeDocument/2006/docPropsVTypes"/>
</file>