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jc w:val="center"/>
      </w:pPr>
      <w:r>
        <w:rPr>
          <w:rFonts w:ascii="Calibri" w:hAnsi="Calibri"/>
          <w:b/>
          <w:color w:val="0B2545"/>
          <w:sz w:val="64"/>
        </w:rPr>
        <w:t>CYBER TREE</w:t>
      </w:r>
    </w:p>
    <w:p>
      <w:pPr>
        <w:jc w:val="center"/>
      </w:pPr>
      <w:r>
        <w:rPr>
          <w:color w:val="2E74B5"/>
          <w:sz w:val="38"/>
        </w:rPr>
        <w:t>Complete Technical Analysis Report</w:t>
      </w:r>
    </w:p>
    <w:p/>
    <w:p>
      <w:pPr>
        <w:jc w:val="center"/>
      </w:pPr>
      <w:r>
        <w:rPr>
          <w:i/>
        </w:rPr>
        <w:t>Prepared automatically through source-code analysis</w:t>
        <w:br/>
      </w:r>
      <w:r>
        <w:t>Version 0.1.0 | 17 July 2026</w:t>
      </w:r>
    </w:p>
    <w:p/>
    <w:p>
      <w:pPr>
        <w:jc w:val="center"/>
      </w:pPr>
      <w:r>
        <w:rPr>
          <w:color w:val="5B6573"/>
          <w:sz w:val="18"/>
        </w:rPr>
        <w:t>Scope: repository snapshot analyzed locally; live production claims are identified as historical evidence, not revalidated in this report.</w:t>
      </w:r>
    </w:p>
    <w:p>
      <w:r>
        <w:br w:type="page"/>
      </w:r>
    </w:p>
    <w:p>
      <w:pPr>
        <w:pStyle w:val="Heading1"/>
      </w:pPr>
      <w:r>
        <w:t>Table of Contents</w:t>
      </w:r>
    </w:p>
    <w:p>
      <w:pPr>
        <w:spacing w:after="60"/>
      </w:pPr>
      <w:r>
        <w:t>1. Introduction</w:t>
      </w:r>
    </w:p>
    <w:p>
      <w:pPr>
        <w:spacing w:after="60"/>
      </w:pPr>
      <w:r>
        <w:t>2. System Analysis</w:t>
      </w:r>
    </w:p>
    <w:p>
      <w:pPr>
        <w:spacing w:after="60"/>
      </w:pPr>
      <w:r>
        <w:t>3. System Requirements</w:t>
      </w:r>
    </w:p>
    <w:p>
      <w:pPr>
        <w:spacing w:after="60"/>
      </w:pPr>
      <w:r>
        <w:t>4. Complete System Architecture</w:t>
      </w:r>
    </w:p>
    <w:p>
      <w:pPr>
        <w:spacing w:after="60"/>
      </w:pPr>
      <w:r>
        <w:t>5. Module Analysis</w:t>
      </w:r>
    </w:p>
    <w:p>
      <w:pPr>
        <w:spacing w:after="60"/>
      </w:pPr>
      <w:r>
        <w:t>6. Source Code Analysis</w:t>
      </w:r>
    </w:p>
    <w:p>
      <w:pPr>
        <w:spacing w:after="60"/>
      </w:pPr>
      <w:r>
        <w:t>7. Database Analysis</w:t>
      </w:r>
    </w:p>
    <w:p>
      <w:pPr>
        <w:spacing w:after="60"/>
      </w:pPr>
      <w:r>
        <w:t>8. API Analysis</w:t>
      </w:r>
    </w:p>
    <w:p>
      <w:pPr>
        <w:spacing w:after="60"/>
      </w:pPr>
      <w:r>
        <w:t>9. Cybersecurity Analysis</w:t>
      </w:r>
    </w:p>
    <w:p>
      <w:pPr>
        <w:spacing w:after="60"/>
      </w:pPr>
      <w:r>
        <w:t>10. AI and Automation Analysis</w:t>
      </w:r>
    </w:p>
    <w:p>
      <w:pPr>
        <w:spacing w:after="60"/>
      </w:pPr>
      <w:r>
        <w:t>11. Workflow Documentation</w:t>
      </w:r>
    </w:p>
    <w:p>
      <w:pPr>
        <w:spacing w:after="60"/>
      </w:pPr>
      <w:r>
        <w:t>12. UI / UX Analysis</w:t>
      </w:r>
    </w:p>
    <w:p>
      <w:pPr>
        <w:spacing w:after="60"/>
      </w:pPr>
      <w:r>
        <w:t>13. Deployment Analysis</w:t>
      </w:r>
    </w:p>
    <w:p>
      <w:pPr>
        <w:spacing w:after="60"/>
      </w:pPr>
      <w:r>
        <w:t>14. Performance Analysis</w:t>
      </w:r>
    </w:p>
    <w:p>
      <w:pPr>
        <w:spacing w:after="60"/>
      </w:pPr>
      <w:r>
        <w:t>15. Software Testing</w:t>
      </w:r>
    </w:p>
    <w:p>
      <w:pPr>
        <w:spacing w:after="60"/>
      </w:pPr>
      <w:r>
        <w:t>16. Code Quality Review</w:t>
      </w:r>
    </w:p>
    <w:p>
      <w:pPr>
        <w:spacing w:after="60"/>
      </w:pPr>
      <w:r>
        <w:t>17. Future Roadmap</w:t>
      </w:r>
    </w:p>
    <w:p>
      <w:pPr>
        <w:spacing w:after="60"/>
      </w:pPr>
      <w:r>
        <w:t>18. Conclusion</w:t>
      </w:r>
    </w:p>
    <w:p>
      <w:pPr>
        <w:spacing w:after="60"/>
      </w:pPr>
      <w:r>
        <w:t>19. Bibliography and References</w:t>
      </w:r>
    </w:p>
    <w:p>
      <w:pPr>
        <w:spacing w:after="60"/>
      </w:pPr>
      <w:r>
        <w:t>Appendix A. Complete Project Map</w:t>
      </w:r>
    </w:p>
    <w:p>
      <w:pPr>
        <w:spacing w:after="60"/>
      </w:pPr>
      <w:r>
        <w:t>Appendix B. Verification and Assumptions</w:t>
      </w:r>
    </w:p>
    <w:p>
      <w:r>
        <w:br w:type="page"/>
      </w:r>
    </w:p>
    <w:p>
      <w:pPr>
        <w:pStyle w:val="Heading1"/>
      </w:pPr>
      <w:r>
        <w:t>1. Introduction</w:t>
      </w:r>
    </w:p>
    <w:p>
      <w:pPr>
        <w:spacing w:after="160"/>
      </w:pPr>
      <w:r>
        <w:rPr>
          <w:i w:val="0"/>
        </w:rPr>
        <w:t>CyberTree is a cybersecurity threat-intelligence platform that converts external security reporting and curated vulnerability knowledge into a searchable graph. Its design combines scheduled Python acquisition and enrichment jobs with a Next.js dashboard and server-side API surface.</w:t>
      </w:r>
    </w:p>
    <w:p>
      <w:pPr>
        <w:spacing w:after="160"/>
      </w:pPr>
      <w:r>
        <w:rPr>
          <w:i w:val="0"/>
        </w:rPr>
        <w:t>The intended outcome is an always-on research workspace: raw feeds and public standards data become typed knowledge nodes, nodes are related and embedded, downstream jobs identify clusters, trends and hypotheses, and analysts explore or query the resulting knowledge base.</w:t>
      </w:r>
    </w:p>
    <w:p>
      <w:pPr>
        <w:spacing w:after="160"/>
      </w:pPr>
      <w:r>
        <w:rPr>
          <w:i w:val="0"/>
        </w:rPr>
        <w:t>The repository positions the platform for researchers, security analysts, students, and operators who need incident, vulnerability, actor, malware, technique, tool, weakness, news, and research context in one place. It is not a defensive control plane and does not perform endpoint monitoring, active scanning, incident response, or user/account administration.</w:t>
      </w:r>
    </w:p>
    <w:p>
      <w:pPr>
        <w:pStyle w:val="Heading2"/>
      </w:pPr>
      <w:r>
        <w:t>1.1 Objectives and scope</w:t>
      </w:r>
    </w:p>
    <w:p>
      <w:pPr>
        <w:spacing w:after="160"/>
      </w:pPr>
      <w:r>
        <w:rPr>
          <w:i w:val="0"/>
        </w:rPr>
        <w:t>Primary objectives are automated collection, node extraction and classification, relationship construction, semantic and full-text retrieval, visualization, trend and prediction reporting, health monitoring, and maintainable local development fallback.</w:t>
      </w:r>
    </w:p>
    <w:p>
      <w:pPr>
        <w:spacing w:after="160"/>
      </w:pPr>
      <w:r>
        <w:rPr>
          <w:i w:val="0"/>
        </w:rPr>
        <w:t>Scope includes a public read-oriented dashboard, Next.js API routes, Supabase/PostgreSQL with pgvector in production, a SQLite fallback for local use, ML artifacts, and GitHub Actions scheduling. The scope excludes an identity provider, RBAC, tenant separation, authenticated write APIs, a formal API specification, test suite, Docker image, and IaC.</w:t>
      </w:r>
    </w:p>
    <w:p>
      <w:pPr>
        <w:pStyle w:val="Heading2"/>
      </w:pPr>
      <w:r>
        <w:t>1.2 Key limitations</w:t>
      </w:r>
    </w:p>
    <w:p>
      <w:pPr>
        <w:spacing w:after="160"/>
      </w:pPr>
      <w:r>
        <w:rPr>
          <w:i w:val="0"/>
        </w:rPr>
        <w:t>The report found an architectural mismatch between the public-facing threat-intelligence goal and the security model: all dashboard/API reads are anonymous and the supplied Supabase setup explicitly disables RLS. This can be acceptable for a deliberately public dataset, but it is not appropriate for private intelligence, multi-tenancy, or analyst-only findings.</w:t>
      </w:r>
    </w:p>
    <w:p>
      <w:pPr>
        <w:spacing w:after="160"/>
      </w:pPr>
      <w:r>
        <w:rPr>
          <w:i w:val="0"/>
        </w:rPr>
        <w:t>Some repository documents contain historical audit data and completion logs. Those are useful evidence but may be stale; this report distinguishes current source behavior from those claims.</w:t>
      </w:r>
    </w:p>
    <w:p>
      <w:pPr>
        <w:pStyle w:val="Heading1"/>
      </w:pPr>
      <w:r>
        <w:t>2. System Analysis</w:t>
      </w:r>
    </w:p>
    <w:p>
      <w:pPr>
        <w:spacing w:after="160"/>
      </w:pPr>
      <w:r>
        <w:rPr>
          <w:i w:val="0"/>
        </w:rPr>
        <w:t>Existing approaches commonly split cyber intelligence between vendor feeds, vulnerability databases, ATT&amp;CK/CWE/CAPEC taxonomies, dashboards, and analyst notes. CyberTree addresses fragmentation by normalizing material into a graph and exposing both browse-first and retrieval-first experiences.</w:t>
      </w:r>
    </w:p>
    <w:p>
      <w:pPr>
        <w:spacing w:after="160"/>
      </w:pPr>
      <w:r>
        <w:rPr>
          <w:i w:val="0"/>
        </w:rPr>
        <w:t>Its proposed solution is technically feasible on the selected managed components: Vercel hosts the web application; Supabase supplies relational, JSON, full-text and vector features; GitHub Actions provides inexpensive schedule-driven execution. The model is operationally feasible for periodic intelligence enrichment but relies on third-party availability, rate limits, and credentials.</w:t>
      </w:r>
    </w:p>
    <w:p>
      <w:pPr>
        <w:spacing w:after="160"/>
      </w:pPr>
      <w:r>
        <w:rPr>
          <w:i w:val="0"/>
        </w:rPr>
        <w:t>Economic feasibility is favorable for a student/prototype system because it leans on managed/free tiers. Its main scalability constraint is not browser rendering but job time, embedding/model cost, external-feed rate limits, Supabase query volume, and the SQLite fallback’s full in-process scans.</w:t>
      </w:r>
    </w:p>
    <w:p>
      <w:pPr>
        <w:pStyle w:val="Heading1"/>
      </w:pPr>
      <w:r>
        <w:t>3. System Requirements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728"/>
            <w:shd w:fill="F2F4F7"/>
            <w:vAlign w:val="center"/>
            <w:tcMar>
              <w:top w:w="80" w:type="dxa"/>
              <w:start w:w="120" w:type="dxa"/>
              <w:bottom w:w="80" w:type="dxa"/>
              <w:end w:w="120" w:type="dxa"/>
            </w:tcMar>
          </w:tcPr>
          <w:p>
            <w:pPr>
              <w:spacing w:after="0" w:line="252" w:lineRule="auto"/>
            </w:pPr>
            <w:r/>
            <w:r>
              <w:rPr>
                <w:rFonts w:ascii="Calibri" w:hAnsi="Calibri"/>
                <w:b/>
                <w:sz w:val="18"/>
              </w:rPr>
              <w:t>Area</w:t>
            </w:r>
          </w:p>
        </w:tc>
        <w:tc>
          <w:tcPr>
            <w:tcW w:type="dxa" w:w="4320"/>
            <w:shd w:fill="F2F4F7"/>
            <w:vAlign w:val="center"/>
            <w:tcMar>
              <w:top w:w="80" w:type="dxa"/>
              <w:start w:w="120" w:type="dxa"/>
              <w:bottom w:w="80" w:type="dxa"/>
              <w:end w:w="120" w:type="dxa"/>
            </w:tcMar>
          </w:tcPr>
          <w:p>
            <w:pPr>
              <w:spacing w:after="0" w:line="252" w:lineRule="auto"/>
            </w:pPr>
            <w:r/>
            <w:r>
              <w:rPr>
                <w:rFonts w:ascii="Calibri" w:hAnsi="Calibri"/>
                <w:b/>
                <w:sz w:val="18"/>
              </w:rPr>
              <w:t>Verified requirement / dependency</w:t>
            </w:r>
          </w:p>
        </w:tc>
        <w:tc>
          <w:tcPr>
            <w:tcW w:type="dxa" w:w="3311"/>
            <w:shd w:fill="F2F4F7"/>
            <w:vAlign w:val="center"/>
            <w:tcMar>
              <w:top w:w="80" w:type="dxa"/>
              <w:start w:w="120" w:type="dxa"/>
              <w:bottom w:w="80" w:type="dxa"/>
              <w:end w:w="120" w:type="dxa"/>
            </w:tcMar>
          </w:tcPr>
          <w:p>
            <w:pPr>
              <w:spacing w:after="0" w:line="252" w:lineRule="auto"/>
            </w:pPr>
            <w:r/>
            <w:r>
              <w:rPr>
                <w:rFonts w:ascii="Calibri" w:hAnsi="Calibri"/>
                <w:b/>
                <w:sz w:val="18"/>
              </w:rPr>
              <w:t>Role</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sz w:val="17"/>
              </w:rPr>
              <w:t>Web runtime</w:t>
            </w:r>
          </w:p>
        </w:tc>
        <w:tc>
          <w:tcPr>
            <w:tcW w:type="dxa" w:w="4320"/>
            <w:vAlign w:val="center"/>
            <w:tcMar>
              <w:top w:w="80" w:type="dxa"/>
              <w:start w:w="120" w:type="dxa"/>
              <w:bottom w:w="80" w:type="dxa"/>
              <w:end w:w="120" w:type="dxa"/>
            </w:tcMar>
          </w:tcPr>
          <w:p>
            <w:pPr>
              <w:spacing w:after="0" w:line="252" w:lineRule="auto"/>
            </w:pPr>
            <w:r/>
            <w:r>
              <w:rPr>
                <w:rFonts w:ascii="Calibri" w:hAnsi="Calibri"/>
                <w:b w:val="0"/>
                <w:sz w:val="17"/>
              </w:rPr>
              <w:t>Node.js compatible with Next.js 16.2.9; React 19.2.4</w:t>
            </w:r>
          </w:p>
        </w:tc>
        <w:tc>
          <w:tcPr>
            <w:tcW w:type="dxa" w:w="3311"/>
            <w:vAlign w:val="center"/>
            <w:tcMar>
              <w:top w:w="80" w:type="dxa"/>
              <w:start w:w="120" w:type="dxa"/>
              <w:bottom w:w="80" w:type="dxa"/>
              <w:end w:w="120" w:type="dxa"/>
            </w:tcMar>
          </w:tcPr>
          <w:p>
            <w:pPr>
              <w:spacing w:after="0" w:line="252" w:lineRule="auto"/>
            </w:pPr>
            <w:r/>
            <w:r>
              <w:rPr>
                <w:rFonts w:ascii="Calibri" w:hAnsi="Calibri"/>
                <w:b w:val="0"/>
                <w:sz w:val="17"/>
              </w:rPr>
              <w:t>Dashboard and route handlers</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sz w:val="17"/>
              </w:rPr>
              <w:t>Python runtime</w:t>
            </w:r>
          </w:p>
        </w:tc>
        <w:tc>
          <w:tcPr>
            <w:tcW w:type="dxa" w:w="4320"/>
            <w:vAlign w:val="center"/>
            <w:tcMar>
              <w:top w:w="80" w:type="dxa"/>
              <w:start w:w="120" w:type="dxa"/>
              <w:bottom w:w="80" w:type="dxa"/>
              <w:end w:w="120" w:type="dxa"/>
            </w:tcMar>
          </w:tcPr>
          <w:p>
            <w:pPr>
              <w:spacing w:after="0" w:line="252" w:lineRule="auto"/>
            </w:pPr>
            <w:r/>
            <w:r>
              <w:rPr>
                <w:rFonts w:ascii="Calibri" w:hAnsi="Calibri"/>
                <w:b w:val="0"/>
                <w:sz w:val="17"/>
              </w:rPr>
              <w:t>Python 3.11 in GitHub Actions</w:t>
            </w:r>
          </w:p>
        </w:tc>
        <w:tc>
          <w:tcPr>
            <w:tcW w:type="dxa" w:w="3311"/>
            <w:vAlign w:val="center"/>
            <w:tcMar>
              <w:top w:w="80" w:type="dxa"/>
              <w:start w:w="120" w:type="dxa"/>
              <w:bottom w:w="80" w:type="dxa"/>
              <w:end w:w="120" w:type="dxa"/>
            </w:tcMar>
          </w:tcPr>
          <w:p>
            <w:pPr>
              <w:spacing w:after="0" w:line="252" w:lineRule="auto"/>
            </w:pPr>
            <w:r/>
            <w:r>
              <w:rPr>
                <w:rFonts w:ascii="Calibri" w:hAnsi="Calibri"/>
                <w:b w:val="0"/>
                <w:sz w:val="17"/>
              </w:rPr>
              <w:t>Scheduled collection and intelligence scripts</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sz w:val="17"/>
              </w:rPr>
              <w:t>Database</w:t>
            </w:r>
          </w:p>
        </w:tc>
        <w:tc>
          <w:tcPr>
            <w:tcW w:type="dxa" w:w="4320"/>
            <w:vAlign w:val="center"/>
            <w:tcMar>
              <w:top w:w="80" w:type="dxa"/>
              <w:start w:w="120" w:type="dxa"/>
              <w:bottom w:w="80" w:type="dxa"/>
              <w:end w:w="120" w:type="dxa"/>
            </w:tcMar>
          </w:tcPr>
          <w:p>
            <w:pPr>
              <w:spacing w:after="0" w:line="252" w:lineRule="auto"/>
            </w:pPr>
            <w:r/>
            <w:r>
              <w:rPr>
                <w:rFonts w:ascii="Calibri" w:hAnsi="Calibri"/>
                <w:b w:val="0"/>
                <w:sz w:val="17"/>
              </w:rPr>
              <w:t>Supabase PostgreSQL + pgvector + FTS; SQLite local fallback</w:t>
            </w:r>
          </w:p>
        </w:tc>
        <w:tc>
          <w:tcPr>
            <w:tcW w:type="dxa" w:w="3311"/>
            <w:vAlign w:val="center"/>
            <w:tcMar>
              <w:top w:w="80" w:type="dxa"/>
              <w:start w:w="120" w:type="dxa"/>
              <w:bottom w:w="80" w:type="dxa"/>
              <w:end w:w="120" w:type="dxa"/>
            </w:tcMar>
          </w:tcPr>
          <w:p>
            <w:pPr>
              <w:spacing w:after="0" w:line="252" w:lineRule="auto"/>
            </w:pPr>
            <w:r/>
            <w:r>
              <w:rPr>
                <w:rFonts w:ascii="Calibri" w:hAnsi="Calibri"/>
                <w:b w:val="0"/>
                <w:sz w:val="17"/>
              </w:rPr>
              <w:t>Primary persistence and local development</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sz w:val="17"/>
              </w:rPr>
              <w:t>Web packages</w:t>
            </w:r>
          </w:p>
        </w:tc>
        <w:tc>
          <w:tcPr>
            <w:tcW w:type="dxa" w:w="4320"/>
            <w:vAlign w:val="center"/>
            <w:tcMar>
              <w:top w:w="80" w:type="dxa"/>
              <w:start w:w="120" w:type="dxa"/>
              <w:bottom w:w="80" w:type="dxa"/>
              <w:end w:w="120" w:type="dxa"/>
            </w:tcMar>
          </w:tcPr>
          <w:p>
            <w:pPr>
              <w:spacing w:after="0" w:line="252" w:lineRule="auto"/>
            </w:pPr>
            <w:r/>
            <w:r>
              <w:rPr>
                <w:rFonts w:ascii="Calibri" w:hAnsi="Calibri"/>
                <w:b w:val="0"/>
                <w:sz w:val="17"/>
              </w:rPr>
              <w:t>@supabase/supabase-js, Recharts, Tailwind CSS 4</w:t>
            </w:r>
          </w:p>
        </w:tc>
        <w:tc>
          <w:tcPr>
            <w:tcW w:type="dxa" w:w="3311"/>
            <w:vAlign w:val="center"/>
            <w:tcMar>
              <w:top w:w="80" w:type="dxa"/>
              <w:start w:w="120" w:type="dxa"/>
              <w:bottom w:w="80" w:type="dxa"/>
              <w:end w:w="120" w:type="dxa"/>
            </w:tcMar>
          </w:tcPr>
          <w:p>
            <w:pPr>
              <w:spacing w:after="0" w:line="252" w:lineRule="auto"/>
            </w:pPr>
            <w:r/>
            <w:r>
              <w:rPr>
                <w:rFonts w:ascii="Calibri" w:hAnsi="Calibri"/>
                <w:b w:val="0"/>
                <w:sz w:val="17"/>
              </w:rPr>
              <w:t>DB access, charting, UI styling</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sz w:val="17"/>
              </w:rPr>
              <w:t>Python packages</w:t>
            </w:r>
          </w:p>
        </w:tc>
        <w:tc>
          <w:tcPr>
            <w:tcW w:type="dxa" w:w="4320"/>
            <w:vAlign w:val="center"/>
            <w:tcMar>
              <w:top w:w="80" w:type="dxa"/>
              <w:start w:w="120" w:type="dxa"/>
              <w:bottom w:w="80" w:type="dxa"/>
              <w:end w:w="120" w:type="dxa"/>
            </w:tcMar>
          </w:tcPr>
          <w:p>
            <w:pPr>
              <w:spacing w:after="0" w:line="252" w:lineRule="auto"/>
            </w:pPr>
            <w:r/>
            <w:r>
              <w:rPr>
                <w:rFonts w:ascii="Calibri" w:hAnsi="Calibri"/>
                <w:b w:val="0"/>
                <w:sz w:val="17"/>
              </w:rPr>
              <w:t>supabase, httpx, feedparser, python-dotenv, numpy, scikit-learn, pytest</w:t>
            </w:r>
          </w:p>
        </w:tc>
        <w:tc>
          <w:tcPr>
            <w:tcW w:type="dxa" w:w="3311"/>
            <w:vAlign w:val="center"/>
            <w:tcMar>
              <w:top w:w="80" w:type="dxa"/>
              <w:start w:w="120" w:type="dxa"/>
              <w:bottom w:w="80" w:type="dxa"/>
              <w:end w:w="120" w:type="dxa"/>
            </w:tcMar>
          </w:tcPr>
          <w:p>
            <w:pPr>
              <w:spacing w:after="0" w:line="252" w:lineRule="auto"/>
            </w:pPr>
            <w:r/>
            <w:r>
              <w:rPr>
                <w:rFonts w:ascii="Calibri" w:hAnsi="Calibri"/>
                <w:b w:val="0"/>
                <w:sz w:val="17"/>
              </w:rPr>
              <w:t>Network I/O, storage, ML and tooling</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sz w:val="17"/>
              </w:rPr>
              <w:t>Additional workflow installs</w:t>
            </w:r>
          </w:p>
        </w:tc>
        <w:tc>
          <w:tcPr>
            <w:tcW w:type="dxa" w:w="4320"/>
            <w:vAlign w:val="center"/>
            <w:tcMar>
              <w:top w:w="80" w:type="dxa"/>
              <w:start w:w="120" w:type="dxa"/>
              <w:bottom w:w="80" w:type="dxa"/>
              <w:end w:w="120" w:type="dxa"/>
            </w:tcMar>
          </w:tcPr>
          <w:p>
            <w:pPr>
              <w:spacing w:after="0" w:line="252" w:lineRule="auto"/>
            </w:pPr>
            <w:r/>
            <w:r>
              <w:rPr>
                <w:rFonts w:ascii="Calibri" w:hAnsi="Calibri"/>
                <w:b w:val="0"/>
                <w:sz w:val="17"/>
              </w:rPr>
              <w:t>sentence-transformers, torch</w:t>
            </w:r>
          </w:p>
        </w:tc>
        <w:tc>
          <w:tcPr>
            <w:tcW w:type="dxa" w:w="3311"/>
            <w:vAlign w:val="center"/>
            <w:tcMar>
              <w:top w:w="80" w:type="dxa"/>
              <w:start w:w="120" w:type="dxa"/>
              <w:bottom w:w="80" w:type="dxa"/>
              <w:end w:w="120" w:type="dxa"/>
            </w:tcMar>
          </w:tcPr>
          <w:p>
            <w:pPr>
              <w:spacing w:after="0" w:line="252" w:lineRule="auto"/>
            </w:pPr>
            <w:r/>
            <w:r>
              <w:rPr>
                <w:rFonts w:ascii="Calibri" w:hAnsi="Calibri"/>
                <w:b w:val="0"/>
                <w:sz w:val="17"/>
              </w:rPr>
              <w:t>Offline embedding / clustering workflow</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sz w:val="17"/>
              </w:rPr>
              <w:t>Hosting</w:t>
            </w:r>
          </w:p>
        </w:tc>
        <w:tc>
          <w:tcPr>
            <w:tcW w:type="dxa" w:w="4320"/>
            <w:vAlign w:val="center"/>
            <w:tcMar>
              <w:top w:w="80" w:type="dxa"/>
              <w:start w:w="120" w:type="dxa"/>
              <w:bottom w:w="80" w:type="dxa"/>
              <w:end w:w="120" w:type="dxa"/>
            </w:tcMar>
          </w:tcPr>
          <w:p>
            <w:pPr>
              <w:spacing w:after="0" w:line="252" w:lineRule="auto"/>
            </w:pPr>
            <w:r/>
            <w:r>
              <w:rPr>
                <w:rFonts w:ascii="Calibri" w:hAnsi="Calibri"/>
                <w:b w:val="0"/>
                <w:sz w:val="17"/>
              </w:rPr>
              <w:t>Vercel configuration uses `npm run build` and `.next`</w:t>
            </w:r>
          </w:p>
        </w:tc>
        <w:tc>
          <w:tcPr>
            <w:tcW w:type="dxa" w:w="3311"/>
            <w:vAlign w:val="center"/>
            <w:tcMar>
              <w:top w:w="80" w:type="dxa"/>
              <w:start w:w="120" w:type="dxa"/>
              <w:bottom w:w="80" w:type="dxa"/>
              <w:end w:w="120" w:type="dxa"/>
            </w:tcMar>
          </w:tcPr>
          <w:p>
            <w:pPr>
              <w:spacing w:after="0" w:line="252" w:lineRule="auto"/>
            </w:pPr>
            <w:r/>
            <w:r>
              <w:rPr>
                <w:rFonts w:ascii="Calibri" w:hAnsi="Calibri"/>
                <w:b w:val="0"/>
                <w:sz w:val="17"/>
              </w:rPr>
              <w:t>Next.js deployment</w:t>
            </w:r>
          </w:p>
        </w:tc>
      </w:tr>
    </w:tbl>
    <w:p>
      <w:pPr>
        <w:spacing w:after="60"/>
      </w:pPr>
    </w:p>
    <w:p>
      <w:pPr>
        <w:pStyle w:val="Heading2"/>
      </w:pPr>
      <w:r>
        <w:t>3.1 Environment variables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2448"/>
            <w:shd w:fill="F2F4F7"/>
            <w:vAlign w:val="center"/>
            <w:tcMar>
              <w:top w:w="80" w:type="dxa"/>
              <w:start w:w="120" w:type="dxa"/>
              <w:bottom w:w="80" w:type="dxa"/>
              <w:end w:w="120" w:type="dxa"/>
            </w:tcMar>
          </w:tcPr>
          <w:p>
            <w:pPr>
              <w:spacing w:after="0" w:line="252" w:lineRule="auto"/>
            </w:pPr>
            <w:r/>
            <w:r>
              <w:rPr>
                <w:rFonts w:ascii="Calibri" w:hAnsi="Calibri"/>
                <w:b/>
                <w:sz w:val="18"/>
              </w:rPr>
              <w:t>Variable</w:t>
            </w:r>
          </w:p>
        </w:tc>
        <w:tc>
          <w:tcPr>
            <w:tcW w:type="dxa" w:w="3744"/>
            <w:shd w:fill="F2F4F7"/>
            <w:vAlign w:val="center"/>
            <w:tcMar>
              <w:top w:w="80" w:type="dxa"/>
              <w:start w:w="120" w:type="dxa"/>
              <w:bottom w:w="80" w:type="dxa"/>
              <w:end w:w="120" w:type="dxa"/>
            </w:tcMar>
          </w:tcPr>
          <w:p>
            <w:pPr>
              <w:spacing w:after="0" w:line="252" w:lineRule="auto"/>
            </w:pPr>
            <w:r/>
            <w:r>
              <w:rPr>
                <w:rFonts w:ascii="Calibri" w:hAnsi="Calibri"/>
                <w:b/>
                <w:sz w:val="18"/>
              </w:rPr>
              <w:t>Consumers</w:t>
            </w:r>
          </w:p>
        </w:tc>
        <w:tc>
          <w:tcPr>
            <w:tcW w:type="dxa" w:w="3168"/>
            <w:shd w:fill="F2F4F7"/>
            <w:vAlign w:val="center"/>
            <w:tcMar>
              <w:top w:w="80" w:type="dxa"/>
              <w:start w:w="120" w:type="dxa"/>
              <w:bottom w:w="80" w:type="dxa"/>
              <w:end w:w="120" w:type="dxa"/>
            </w:tcMar>
          </w:tcPr>
          <w:p>
            <w:pPr>
              <w:spacing w:after="0" w:line="252" w:lineRule="auto"/>
            </w:pPr>
            <w:r/>
            <w:r>
              <w:rPr>
                <w:rFonts w:ascii="Calibri" w:hAnsi="Calibri"/>
                <w:b/>
                <w:sz w:val="18"/>
              </w:rPr>
              <w:t>Purpose / handling</w:t>
            </w:r>
          </w:p>
        </w:tc>
      </w:tr>
      <w:tr>
        <w:tc>
          <w:tcPr>
            <w:tcW w:type="dxa" w:w="2448"/>
            <w:vAlign w:val="center"/>
            <w:tcMar>
              <w:top w:w="80" w:type="dxa"/>
              <w:start w:w="120" w:type="dxa"/>
              <w:bottom w:w="80" w:type="dxa"/>
              <w:end w:w="120" w:type="dxa"/>
            </w:tcMar>
          </w:tcPr>
          <w:p>
            <w:pPr>
              <w:spacing w:after="0" w:line="252" w:lineRule="auto"/>
            </w:pPr>
            <w:r/>
            <w:r>
              <w:rPr>
                <w:rFonts w:ascii="Calibri" w:hAnsi="Calibri"/>
                <w:b w:val="0"/>
                <w:sz w:val="17"/>
              </w:rPr>
              <w:t>SUPABASE_URL, SUPABASE_KEY</w:t>
            </w:r>
          </w:p>
        </w:tc>
        <w:tc>
          <w:tcPr>
            <w:tcW w:type="dxa" w:w="3744"/>
            <w:vAlign w:val="center"/>
            <w:tcMar>
              <w:top w:w="80" w:type="dxa"/>
              <w:start w:w="120" w:type="dxa"/>
              <w:bottom w:w="80" w:type="dxa"/>
              <w:end w:w="120" w:type="dxa"/>
            </w:tcMar>
          </w:tcPr>
          <w:p>
            <w:pPr>
              <w:spacing w:after="0" w:line="252" w:lineRule="auto"/>
            </w:pPr>
            <w:r/>
            <w:r>
              <w:rPr>
                <w:rFonts w:ascii="Calibri" w:hAnsi="Calibri"/>
                <w:b w:val="0"/>
                <w:sz w:val="17"/>
              </w:rPr>
              <w:t>Python jobs</w:t>
            </w:r>
          </w:p>
        </w:tc>
        <w:tc>
          <w:tcPr>
            <w:tcW w:type="dxa" w:w="3168"/>
            <w:vAlign w:val="center"/>
            <w:tcMar>
              <w:top w:w="80" w:type="dxa"/>
              <w:start w:w="120" w:type="dxa"/>
              <w:bottom w:w="80" w:type="dxa"/>
              <w:end w:w="120" w:type="dxa"/>
            </w:tcMar>
          </w:tcPr>
          <w:p>
            <w:pPr>
              <w:spacing w:after="0" w:line="252" w:lineRule="auto"/>
            </w:pPr>
            <w:r/>
            <w:r>
              <w:rPr>
                <w:rFonts w:ascii="Calibri" w:hAnsi="Calibri"/>
                <w:b w:val="0"/>
                <w:sz w:val="17"/>
              </w:rPr>
              <w:t>Server-side Supabase connection</w:t>
            </w:r>
          </w:p>
        </w:tc>
      </w:tr>
      <w:tr>
        <w:tc>
          <w:tcPr>
            <w:tcW w:type="dxa" w:w="2448"/>
            <w:vAlign w:val="center"/>
            <w:tcMar>
              <w:top w:w="80" w:type="dxa"/>
              <w:start w:w="120" w:type="dxa"/>
              <w:bottom w:w="80" w:type="dxa"/>
              <w:end w:w="120" w:type="dxa"/>
            </w:tcMar>
          </w:tcPr>
          <w:p>
            <w:pPr>
              <w:spacing w:after="0" w:line="252" w:lineRule="auto"/>
            </w:pPr>
            <w:r/>
            <w:r>
              <w:rPr>
                <w:rFonts w:ascii="Calibri" w:hAnsi="Calibri"/>
                <w:b w:val="0"/>
                <w:sz w:val="17"/>
              </w:rPr>
              <w:t>SUPABASE_ANON_KEY / NEXT_PUBLIC_SUPABASE_*</w:t>
            </w:r>
          </w:p>
        </w:tc>
        <w:tc>
          <w:tcPr>
            <w:tcW w:type="dxa" w:w="3744"/>
            <w:vAlign w:val="center"/>
            <w:tcMar>
              <w:top w:w="80" w:type="dxa"/>
              <w:start w:w="120" w:type="dxa"/>
              <w:bottom w:w="80" w:type="dxa"/>
              <w:end w:w="120" w:type="dxa"/>
            </w:tcMar>
          </w:tcPr>
          <w:p>
            <w:pPr>
              <w:spacing w:after="0" w:line="252" w:lineRule="auto"/>
            </w:pPr>
            <w:r/>
            <w:r>
              <w:rPr>
                <w:rFonts w:ascii="Calibri" w:hAnsi="Calibri"/>
                <w:b w:val="0"/>
                <w:sz w:val="17"/>
              </w:rPr>
              <w:t>Next.js db module</w:t>
            </w:r>
          </w:p>
        </w:tc>
        <w:tc>
          <w:tcPr>
            <w:tcW w:type="dxa" w:w="3168"/>
            <w:vAlign w:val="center"/>
            <w:tcMar>
              <w:top w:w="80" w:type="dxa"/>
              <w:start w:w="120" w:type="dxa"/>
              <w:bottom w:w="80" w:type="dxa"/>
              <w:end w:w="120" w:type="dxa"/>
            </w:tcMar>
          </w:tcPr>
          <w:p>
            <w:pPr>
              <w:spacing w:after="0" w:line="252" w:lineRule="auto"/>
            </w:pPr>
            <w:r/>
            <w:r>
              <w:rPr>
                <w:rFonts w:ascii="Calibri" w:hAnsi="Calibri"/>
                <w:b w:val="0"/>
                <w:sz w:val="17"/>
              </w:rPr>
              <w:t>Browser-safe anonymous API connection; used server-side here too</w:t>
            </w:r>
          </w:p>
        </w:tc>
      </w:tr>
      <w:tr>
        <w:tc>
          <w:tcPr>
            <w:tcW w:type="dxa" w:w="2448"/>
            <w:vAlign w:val="center"/>
            <w:tcMar>
              <w:top w:w="80" w:type="dxa"/>
              <w:start w:w="120" w:type="dxa"/>
              <w:bottom w:w="80" w:type="dxa"/>
              <w:end w:w="120" w:type="dxa"/>
            </w:tcMar>
          </w:tcPr>
          <w:p>
            <w:pPr>
              <w:spacing w:after="0" w:line="252" w:lineRule="auto"/>
            </w:pPr>
            <w:r/>
            <w:r>
              <w:rPr>
                <w:rFonts w:ascii="Calibri" w:hAnsi="Calibri"/>
                <w:b w:val="0"/>
                <w:sz w:val="17"/>
              </w:rPr>
              <w:t>GEMINI_API_KEY</w:t>
            </w:r>
          </w:p>
        </w:tc>
        <w:tc>
          <w:tcPr>
            <w:tcW w:type="dxa" w:w="3744"/>
            <w:vAlign w:val="center"/>
            <w:tcMar>
              <w:top w:w="80" w:type="dxa"/>
              <w:start w:w="120" w:type="dxa"/>
              <w:bottom w:w="80" w:type="dxa"/>
              <w:end w:w="120" w:type="dxa"/>
            </w:tcMar>
          </w:tcPr>
          <w:p>
            <w:pPr>
              <w:spacing w:after="0" w:line="252" w:lineRule="auto"/>
            </w:pPr>
            <w:r/>
            <w:r>
              <w:rPr>
                <w:rFonts w:ascii="Calibri" w:hAnsi="Calibri"/>
                <w:b w:val="0"/>
                <w:sz w:val="17"/>
              </w:rPr>
              <w:t>/api/research, hypothesis engine, research_assistant.py</w:t>
            </w:r>
          </w:p>
        </w:tc>
        <w:tc>
          <w:tcPr>
            <w:tcW w:type="dxa" w:w="3168"/>
            <w:vAlign w:val="center"/>
            <w:tcMar>
              <w:top w:w="80" w:type="dxa"/>
              <w:start w:w="120" w:type="dxa"/>
              <w:bottom w:w="80" w:type="dxa"/>
              <w:end w:w="120" w:type="dxa"/>
            </w:tcMar>
          </w:tcPr>
          <w:p>
            <w:pPr>
              <w:spacing w:after="0" w:line="252" w:lineRule="auto"/>
            </w:pPr>
            <w:r/>
            <w:r>
              <w:rPr>
                <w:rFonts w:ascii="Calibri" w:hAnsi="Calibri"/>
                <w:b w:val="0"/>
                <w:sz w:val="17"/>
              </w:rPr>
              <w:t>LLM generation; missing key yields explicit application error</w:t>
            </w:r>
          </w:p>
        </w:tc>
      </w:tr>
      <w:tr>
        <w:tc>
          <w:tcPr>
            <w:tcW w:type="dxa" w:w="2448"/>
            <w:vAlign w:val="center"/>
            <w:tcMar>
              <w:top w:w="80" w:type="dxa"/>
              <w:start w:w="120" w:type="dxa"/>
              <w:bottom w:w="80" w:type="dxa"/>
              <w:end w:w="120" w:type="dxa"/>
            </w:tcMar>
          </w:tcPr>
          <w:p>
            <w:pPr>
              <w:spacing w:after="0" w:line="252" w:lineRule="auto"/>
            </w:pPr>
            <w:r/>
            <w:r>
              <w:rPr>
                <w:rFonts w:ascii="Calibri" w:hAnsi="Calibri"/>
                <w:b w:val="0"/>
                <w:sz w:val="17"/>
              </w:rPr>
              <w:t>HUGGINGFACE_API_KEY</w:t>
            </w:r>
          </w:p>
        </w:tc>
        <w:tc>
          <w:tcPr>
            <w:tcW w:type="dxa" w:w="3744"/>
            <w:vAlign w:val="center"/>
            <w:tcMar>
              <w:top w:w="80" w:type="dxa"/>
              <w:start w:w="120" w:type="dxa"/>
              <w:bottom w:w="80" w:type="dxa"/>
              <w:end w:w="120" w:type="dxa"/>
            </w:tcMar>
          </w:tcPr>
          <w:p>
            <w:pPr>
              <w:spacing w:after="0" w:line="252" w:lineRule="auto"/>
            </w:pPr>
            <w:r/>
            <w:r>
              <w:rPr>
                <w:rFonts w:ascii="Calibri" w:hAnsi="Calibri"/>
                <w:b w:val="0"/>
                <w:sz w:val="17"/>
              </w:rPr>
              <w:t>Next.js and Python retrieval helpers</w:t>
            </w:r>
          </w:p>
        </w:tc>
        <w:tc>
          <w:tcPr>
            <w:tcW w:type="dxa" w:w="3168"/>
            <w:vAlign w:val="center"/>
            <w:tcMar>
              <w:top w:w="80" w:type="dxa"/>
              <w:start w:w="120" w:type="dxa"/>
              <w:bottom w:w="80" w:type="dxa"/>
              <w:end w:w="120" w:type="dxa"/>
            </w:tcMar>
          </w:tcPr>
          <w:p>
            <w:pPr>
              <w:spacing w:after="0" w:line="252" w:lineRule="auto"/>
            </w:pPr>
            <w:r/>
            <w:r>
              <w:rPr>
                <w:rFonts w:ascii="Calibri" w:hAnsi="Calibri"/>
                <w:b w:val="0"/>
                <w:sz w:val="17"/>
              </w:rPr>
              <w:t>Optional API token; no token is permitted</w:t>
            </w:r>
          </w:p>
        </w:tc>
      </w:tr>
      <w:tr>
        <w:tc>
          <w:tcPr>
            <w:tcW w:type="dxa" w:w="2448"/>
            <w:vAlign w:val="center"/>
            <w:tcMar>
              <w:top w:w="80" w:type="dxa"/>
              <w:start w:w="120" w:type="dxa"/>
              <w:bottom w:w="80" w:type="dxa"/>
              <w:end w:w="120" w:type="dxa"/>
            </w:tcMar>
          </w:tcPr>
          <w:p>
            <w:pPr>
              <w:spacing w:after="0" w:line="252" w:lineRule="auto"/>
            </w:pPr>
            <w:r/>
            <w:r>
              <w:rPr>
                <w:rFonts w:ascii="Calibri" w:hAnsi="Calibri"/>
                <w:b w:val="0"/>
                <w:sz w:val="17"/>
              </w:rPr>
              <w:t>OPENAI_API_KEY</w:t>
            </w:r>
          </w:p>
        </w:tc>
        <w:tc>
          <w:tcPr>
            <w:tcW w:type="dxa" w:w="3744"/>
            <w:vAlign w:val="center"/>
            <w:tcMar>
              <w:top w:w="80" w:type="dxa"/>
              <w:start w:w="120" w:type="dxa"/>
              <w:bottom w:w="80" w:type="dxa"/>
              <w:end w:w="120" w:type="dxa"/>
            </w:tcMar>
          </w:tcPr>
          <w:p>
            <w:pPr>
              <w:spacing w:after="0" w:line="252" w:lineRule="auto"/>
            </w:pPr>
            <w:r/>
            <w:r>
              <w:rPr>
                <w:rFonts w:ascii="Calibri" w:hAnsi="Calibri"/>
                <w:b w:val="0"/>
                <w:sz w:val="17"/>
              </w:rPr>
              <w:t>process.py</w:t>
            </w:r>
          </w:p>
        </w:tc>
        <w:tc>
          <w:tcPr>
            <w:tcW w:type="dxa" w:w="3168"/>
            <w:vAlign w:val="center"/>
            <w:tcMar>
              <w:top w:w="80" w:type="dxa"/>
              <w:start w:w="120" w:type="dxa"/>
              <w:bottom w:w="80" w:type="dxa"/>
              <w:end w:w="120" w:type="dxa"/>
            </w:tcMar>
          </w:tcPr>
          <w:p>
            <w:pPr>
              <w:spacing w:after="0" w:line="252" w:lineRule="auto"/>
            </w:pPr>
            <w:r/>
            <w:r>
              <w:rPr>
                <w:rFonts w:ascii="Calibri" w:hAnsi="Calibri"/>
                <w:b w:val="0"/>
                <w:sz w:val="17"/>
              </w:rPr>
              <w:t>Optional embedding call path</w:t>
            </w:r>
          </w:p>
        </w:tc>
      </w:tr>
      <w:tr>
        <w:tc>
          <w:tcPr>
            <w:tcW w:type="dxa" w:w="2448"/>
            <w:vAlign w:val="center"/>
            <w:tcMar>
              <w:top w:w="80" w:type="dxa"/>
              <w:start w:w="120" w:type="dxa"/>
              <w:bottom w:w="80" w:type="dxa"/>
              <w:end w:w="120" w:type="dxa"/>
            </w:tcMar>
          </w:tcPr>
          <w:p>
            <w:pPr>
              <w:spacing w:after="0" w:line="252" w:lineRule="auto"/>
            </w:pPr>
            <w:r/>
            <w:r>
              <w:rPr>
                <w:rFonts w:ascii="Calibri" w:hAnsi="Calibri"/>
                <w:b w:val="0"/>
                <w:sz w:val="17"/>
              </w:rPr>
              <w:t>NVD_API_KEY</w:t>
            </w:r>
          </w:p>
        </w:tc>
        <w:tc>
          <w:tcPr>
            <w:tcW w:type="dxa" w:w="3744"/>
            <w:vAlign w:val="center"/>
            <w:tcMar>
              <w:top w:w="80" w:type="dxa"/>
              <w:start w:w="120" w:type="dxa"/>
              <w:bottom w:w="80" w:type="dxa"/>
              <w:end w:w="120" w:type="dxa"/>
            </w:tcMar>
          </w:tcPr>
          <w:p>
            <w:pPr>
              <w:spacing w:after="0" w:line="252" w:lineRule="auto"/>
            </w:pPr>
            <w:r/>
            <w:r>
              <w:rPr>
                <w:rFonts w:ascii="Calibri" w:hAnsi="Calibri"/>
                <w:b w:val="0"/>
                <w:sz w:val="17"/>
              </w:rPr>
              <w:t>ingest_nvd.py</w:t>
            </w:r>
          </w:p>
        </w:tc>
        <w:tc>
          <w:tcPr>
            <w:tcW w:type="dxa" w:w="3168"/>
            <w:vAlign w:val="center"/>
            <w:tcMar>
              <w:top w:w="80" w:type="dxa"/>
              <w:start w:w="120" w:type="dxa"/>
              <w:bottom w:w="80" w:type="dxa"/>
              <w:end w:w="120" w:type="dxa"/>
            </w:tcMar>
          </w:tcPr>
          <w:p>
            <w:pPr>
              <w:spacing w:after="0" w:line="252" w:lineRule="auto"/>
            </w:pPr>
            <w:r/>
            <w:r>
              <w:rPr>
                <w:rFonts w:ascii="Calibri" w:hAnsi="Calibri"/>
                <w:b w:val="0"/>
                <w:sz w:val="17"/>
              </w:rPr>
              <w:t>Higher-rate NVD API requests</w:t>
            </w:r>
          </w:p>
        </w:tc>
      </w:tr>
      <w:tr>
        <w:tc>
          <w:tcPr>
            <w:tcW w:type="dxa" w:w="2448"/>
            <w:vAlign w:val="center"/>
            <w:tcMar>
              <w:top w:w="80" w:type="dxa"/>
              <w:start w:w="120" w:type="dxa"/>
              <w:bottom w:w="80" w:type="dxa"/>
              <w:end w:w="120" w:type="dxa"/>
            </w:tcMar>
          </w:tcPr>
          <w:p>
            <w:pPr>
              <w:spacing w:after="0" w:line="252" w:lineRule="auto"/>
            </w:pPr>
            <w:r/>
            <w:r>
              <w:rPr>
                <w:rFonts w:ascii="Calibri" w:hAnsi="Calibri"/>
                <w:b w:val="0"/>
                <w:sz w:val="17"/>
              </w:rPr>
              <w:t>GITHUB_TOKEN, GITHUB_REPOSITORY, GITHUB_BRANCH</w:t>
            </w:r>
          </w:p>
        </w:tc>
        <w:tc>
          <w:tcPr>
            <w:tcW w:type="dxa" w:w="3744"/>
            <w:vAlign w:val="center"/>
            <w:tcMar>
              <w:top w:w="80" w:type="dxa"/>
              <w:start w:w="120" w:type="dxa"/>
              <w:bottom w:w="80" w:type="dxa"/>
              <w:end w:w="120" w:type="dxa"/>
            </w:tcMar>
          </w:tcPr>
          <w:p>
            <w:pPr>
              <w:spacing w:after="0" w:line="252" w:lineRule="auto"/>
            </w:pPr>
            <w:r/>
            <w:r>
              <w:rPr>
                <w:rFonts w:ascii="Calibri" w:hAnsi="Calibri"/>
                <w:b w:val="0"/>
                <w:sz w:val="17"/>
              </w:rPr>
              <w:t>backup/model updater</w:t>
            </w:r>
          </w:p>
        </w:tc>
        <w:tc>
          <w:tcPr>
            <w:tcW w:type="dxa" w:w="3168"/>
            <w:vAlign w:val="center"/>
            <w:tcMar>
              <w:top w:w="80" w:type="dxa"/>
              <w:start w:w="120" w:type="dxa"/>
              <w:bottom w:w="80" w:type="dxa"/>
              <w:end w:w="120" w:type="dxa"/>
            </w:tcMar>
          </w:tcPr>
          <w:p>
            <w:pPr>
              <w:spacing w:after="0" w:line="252" w:lineRule="auto"/>
            </w:pPr>
            <w:r/>
            <w:r>
              <w:rPr>
                <w:rFonts w:ascii="Calibri" w:hAnsi="Calibri"/>
                <w:b w:val="0"/>
                <w:sz w:val="17"/>
              </w:rPr>
              <w:t>Release upload and model artifact commits</w:t>
            </w:r>
          </w:p>
        </w:tc>
      </w:tr>
      <w:tr>
        <w:tc>
          <w:tcPr>
            <w:tcW w:type="dxa" w:w="2448"/>
            <w:vAlign w:val="center"/>
            <w:tcMar>
              <w:top w:w="80" w:type="dxa"/>
              <w:start w:w="120" w:type="dxa"/>
              <w:bottom w:w="80" w:type="dxa"/>
              <w:end w:w="120" w:type="dxa"/>
            </w:tcMar>
          </w:tcPr>
          <w:p>
            <w:pPr>
              <w:spacing w:after="0" w:line="252" w:lineRule="auto"/>
            </w:pPr>
            <w:r/>
            <w:r>
              <w:rPr>
                <w:rFonts w:ascii="Calibri" w:hAnsi="Calibri"/>
                <w:b w:val="0"/>
                <w:sz w:val="17"/>
              </w:rPr>
              <w:t>ALERT_WEBHOOK_URL</w:t>
            </w:r>
          </w:p>
        </w:tc>
        <w:tc>
          <w:tcPr>
            <w:tcW w:type="dxa" w:w="3744"/>
            <w:vAlign w:val="center"/>
            <w:tcMar>
              <w:top w:w="80" w:type="dxa"/>
              <w:start w:w="120" w:type="dxa"/>
              <w:bottom w:w="80" w:type="dxa"/>
              <w:end w:w="120" w:type="dxa"/>
            </w:tcMar>
          </w:tcPr>
          <w:p>
            <w:pPr>
              <w:spacing w:after="0" w:line="252" w:lineRule="auto"/>
            </w:pPr>
            <w:r/>
            <w:r>
              <w:rPr>
                <w:rFonts w:ascii="Calibri" w:hAnsi="Calibri"/>
                <w:b w:val="0"/>
                <w:sz w:val="17"/>
              </w:rPr>
              <w:t>monitor.py</w:t>
            </w:r>
          </w:p>
        </w:tc>
        <w:tc>
          <w:tcPr>
            <w:tcW w:type="dxa" w:w="3168"/>
            <w:vAlign w:val="center"/>
            <w:tcMar>
              <w:top w:w="80" w:type="dxa"/>
              <w:start w:w="120" w:type="dxa"/>
              <w:bottom w:w="80" w:type="dxa"/>
              <w:end w:w="120" w:type="dxa"/>
            </w:tcMar>
          </w:tcPr>
          <w:p>
            <w:pPr>
              <w:spacing w:after="0" w:line="252" w:lineRule="auto"/>
            </w:pPr>
            <w:r/>
            <w:r>
              <w:rPr>
                <w:rFonts w:ascii="Calibri" w:hAnsi="Calibri"/>
                <w:b w:val="0"/>
                <w:sz w:val="17"/>
              </w:rPr>
              <w:t>Health alert delivery</w:t>
            </w:r>
          </w:p>
        </w:tc>
      </w:tr>
      <w:tr>
        <w:tc>
          <w:tcPr>
            <w:tcW w:type="dxa" w:w="2448"/>
            <w:vAlign w:val="center"/>
            <w:tcMar>
              <w:top w:w="80" w:type="dxa"/>
              <w:start w:w="120" w:type="dxa"/>
              <w:bottom w:w="80" w:type="dxa"/>
              <w:end w:w="120" w:type="dxa"/>
            </w:tcMar>
          </w:tcPr>
          <w:p>
            <w:pPr>
              <w:spacing w:after="0" w:line="252" w:lineRule="auto"/>
            </w:pPr>
            <w:r/>
            <w:r>
              <w:rPr>
                <w:rFonts w:ascii="Calibri" w:hAnsi="Calibri"/>
                <w:b w:val="0"/>
                <w:sz w:val="17"/>
              </w:rPr>
              <w:t>SQLITE_DB_PATH</w:t>
            </w:r>
          </w:p>
        </w:tc>
        <w:tc>
          <w:tcPr>
            <w:tcW w:type="dxa" w:w="3744"/>
            <w:vAlign w:val="center"/>
            <w:tcMar>
              <w:top w:w="80" w:type="dxa"/>
              <w:start w:w="120" w:type="dxa"/>
              <w:bottom w:w="80" w:type="dxa"/>
              <w:end w:w="120" w:type="dxa"/>
            </w:tcMar>
          </w:tcPr>
          <w:p>
            <w:pPr>
              <w:spacing w:after="0" w:line="252" w:lineRule="auto"/>
            </w:pPr>
            <w:r/>
            <w:r>
              <w:rPr>
                <w:rFonts w:ascii="Calibri" w:hAnsi="Calibri"/>
                <w:b w:val="0"/>
                <w:sz w:val="17"/>
              </w:rPr>
              <w:t>Python DBClient</w:t>
            </w:r>
          </w:p>
        </w:tc>
        <w:tc>
          <w:tcPr>
            <w:tcW w:type="dxa" w:w="3168"/>
            <w:vAlign w:val="center"/>
            <w:tcMar>
              <w:top w:w="80" w:type="dxa"/>
              <w:start w:w="120" w:type="dxa"/>
              <w:bottom w:w="80" w:type="dxa"/>
              <w:end w:w="120" w:type="dxa"/>
            </w:tcMar>
          </w:tcPr>
          <w:p>
            <w:pPr>
              <w:spacing w:after="0" w:line="252" w:lineRule="auto"/>
            </w:pPr>
            <w:r/>
            <w:r>
              <w:rPr>
                <w:rFonts w:ascii="Calibri" w:hAnsi="Calibri"/>
                <w:b w:val="0"/>
                <w:sz w:val="17"/>
              </w:rPr>
              <w:t>Optional local SQLite path override</w:t>
            </w:r>
          </w:p>
        </w:tc>
      </w:tr>
    </w:tbl>
    <w:p>
      <w:pPr>
        <w:spacing w:after="60"/>
      </w:pPr>
    </w:p>
    <w:p>
      <w:pPr>
        <w:pStyle w:val="Heading1"/>
      </w:pPr>
      <w:r>
        <w:t>4. Complete System Architecture</w:t>
      </w:r>
    </w:p>
    <w:p>
      <w:pPr>
        <w:spacing w:after="160"/>
      </w:pPr>
      <w:r>
        <w:rPr>
          <w:i w:val="0"/>
        </w:rPr>
        <w:t>CyberTree has four cooperating planes: a presentation/API plane, a persistence/search plane, a scheduled intelligence plane, and external services. The database is the system boundary between web reads and batch writes. The user-facing API does not invoke batch scripts synchronously.</w:t>
      </w:r>
    </w:p>
    <w:p>
      <w:pPr>
        <w:pStyle w:val="Heading2"/>
      </w:pPr>
      <w:r>
        <w:t>4.1 High-level architecture</w:t>
      </w:r>
    </w:p>
    <w:p>
      <w:pPr>
        <w:spacing w:after="120" w:line="240" w:lineRule="auto"/>
        <w:ind w:left="360"/>
      </w:pPr>
      <w:r>
        <w:rPr>
          <w:rFonts w:ascii="Consolas" w:hAnsi="Consolas"/>
          <w:color w:val="1F4D78"/>
          <w:sz w:val="16"/>
        </w:rPr>
        <w:t>flowchart LR</w:t>
        <w:br/>
        <w:t xml:space="preserve">  U[Analyst Browser] --&gt; W[Next.js UI + Route Handlers]</w:t>
        <w:br/>
        <w:t xml:space="preserve">  W --&gt; S[(Supabase PostgreSQL + pgvector + FTS)]</w:t>
        <w:br/>
        <w:t xml:space="preserve">  W --&gt; G[Gemini Research API]</w:t>
        <w:br/>
        <w:t xml:space="preserve">  W --&gt; H[Hugging Face embeddings]</w:t>
        <w:br/>
        <w:t xml:space="preserve">  A[GitHub Actions schedules] --&gt; P[Python intelligence pipeline]</w:t>
        <w:br/>
        <w:t xml:space="preserve">  P --&gt; S</w:t>
        <w:br/>
        <w:t xml:space="preserve">  P --&gt; X[Feeds, NVD, MITRE, CWE, CAPEC, CISA]</w:t>
      </w:r>
    </w:p>
    <w:p>
      <w:pPr>
        <w:pStyle w:val="Heading2"/>
      </w:pPr>
      <w:r>
        <w:t>4.2 Request and knowledge lifecycle</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728"/>
            <w:shd w:fill="F2F4F7"/>
            <w:vAlign w:val="center"/>
            <w:tcMar>
              <w:top w:w="80" w:type="dxa"/>
              <w:start w:w="120" w:type="dxa"/>
              <w:bottom w:w="80" w:type="dxa"/>
              <w:end w:w="120" w:type="dxa"/>
            </w:tcMar>
          </w:tcPr>
          <w:p>
            <w:pPr>
              <w:spacing w:after="0" w:line="252" w:lineRule="auto"/>
            </w:pPr>
            <w:r/>
            <w:r>
              <w:rPr>
                <w:rFonts w:ascii="Calibri" w:hAnsi="Calibri"/>
                <w:b/>
                <w:sz w:val="18"/>
              </w:rPr>
              <w:t>Flow</w:t>
            </w:r>
          </w:p>
        </w:tc>
        <w:tc>
          <w:tcPr>
            <w:tcW w:type="dxa" w:w="4896"/>
            <w:shd w:fill="F2F4F7"/>
            <w:vAlign w:val="center"/>
            <w:tcMar>
              <w:top w:w="80" w:type="dxa"/>
              <w:start w:w="120" w:type="dxa"/>
              <w:bottom w:w="80" w:type="dxa"/>
              <w:end w:w="120" w:type="dxa"/>
            </w:tcMar>
          </w:tcPr>
          <w:p>
            <w:pPr>
              <w:spacing w:after="0" w:line="252" w:lineRule="auto"/>
            </w:pPr>
            <w:r/>
            <w:r>
              <w:rPr>
                <w:rFonts w:ascii="Calibri" w:hAnsi="Calibri"/>
                <w:b/>
                <w:sz w:val="18"/>
              </w:rPr>
              <w:t>Implementation</w:t>
            </w:r>
          </w:p>
        </w:tc>
        <w:tc>
          <w:tcPr>
            <w:tcW w:type="dxa" w:w="2736"/>
            <w:shd w:fill="F2F4F7"/>
            <w:vAlign w:val="center"/>
            <w:tcMar>
              <w:top w:w="80" w:type="dxa"/>
              <w:start w:w="120" w:type="dxa"/>
              <w:bottom w:w="80" w:type="dxa"/>
              <w:end w:w="120" w:type="dxa"/>
            </w:tcMar>
          </w:tcPr>
          <w:p>
            <w:pPr>
              <w:spacing w:after="0" w:line="252" w:lineRule="auto"/>
            </w:pPr>
            <w:r/>
            <w:r>
              <w:rPr>
                <w:rFonts w:ascii="Calibri" w:hAnsi="Calibri"/>
                <w:b/>
                <w:sz w:val="18"/>
              </w:rPr>
              <w:t>Output</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sz w:val="17"/>
              </w:rPr>
              <w:t>Dashboard</w:t>
            </w:r>
          </w:p>
        </w:tc>
        <w:tc>
          <w:tcPr>
            <w:tcW w:type="dxa" w:w="4896"/>
            <w:vAlign w:val="center"/>
            <w:tcMar>
              <w:top w:w="80" w:type="dxa"/>
              <w:start w:w="120" w:type="dxa"/>
              <w:bottom w:w="80" w:type="dxa"/>
              <w:end w:w="120" w:type="dxa"/>
            </w:tcMar>
          </w:tcPr>
          <w:p>
            <w:pPr>
              <w:spacing w:after="0" w:line="252" w:lineRule="auto"/>
            </w:pPr>
            <w:r/>
            <w:r>
              <w:rPr>
                <w:rFonts w:ascii="Calibri" w:hAnsi="Calibri"/>
                <w:b w:val="0"/>
                <w:sz w:val="17"/>
              </w:rPr>
              <w:t>React page fetches /api/stats and /api/system-health</w:t>
            </w:r>
          </w:p>
        </w:tc>
        <w:tc>
          <w:tcPr>
            <w:tcW w:type="dxa" w:w="2736"/>
            <w:vAlign w:val="center"/>
            <w:tcMar>
              <w:top w:w="80" w:type="dxa"/>
              <w:start w:w="120" w:type="dxa"/>
              <w:bottom w:w="80" w:type="dxa"/>
              <w:end w:w="120" w:type="dxa"/>
            </w:tcMar>
          </w:tcPr>
          <w:p>
            <w:pPr>
              <w:spacing w:after="0" w:line="252" w:lineRule="auto"/>
            </w:pPr>
            <w:r/>
            <w:r>
              <w:rPr>
                <w:rFonts w:ascii="Calibri" w:hAnsi="Calibri"/>
                <w:b w:val="0"/>
                <w:sz w:val="17"/>
              </w:rPr>
              <w:t>Counts, jobs, health status</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sz w:val="17"/>
              </w:rPr>
              <w:t>Browse/search</w:t>
            </w:r>
          </w:p>
        </w:tc>
        <w:tc>
          <w:tcPr>
            <w:tcW w:type="dxa" w:w="4896"/>
            <w:vAlign w:val="center"/>
            <w:tcMar>
              <w:top w:w="80" w:type="dxa"/>
              <w:start w:w="120" w:type="dxa"/>
              <w:bottom w:w="80" w:type="dxa"/>
              <w:end w:w="120" w:type="dxa"/>
            </w:tcMar>
          </w:tcPr>
          <w:p>
            <w:pPr>
              <w:spacing w:after="0" w:line="252" w:lineRule="auto"/>
            </w:pPr>
            <w:r/>
            <w:r>
              <w:rPr>
                <w:rFonts w:ascii="Calibri" w:hAnsi="Calibri"/>
                <w:b w:val="0"/>
                <w:sz w:val="17"/>
              </w:rPr>
              <w:t>Routes call db.ts; optional query embedding then match_nodes RPC</w:t>
            </w:r>
          </w:p>
        </w:tc>
        <w:tc>
          <w:tcPr>
            <w:tcW w:type="dxa" w:w="2736"/>
            <w:vAlign w:val="center"/>
            <w:tcMar>
              <w:top w:w="80" w:type="dxa"/>
              <w:start w:w="120" w:type="dxa"/>
              <w:bottom w:w="80" w:type="dxa"/>
              <w:end w:w="120" w:type="dxa"/>
            </w:tcMar>
          </w:tcPr>
          <w:p>
            <w:pPr>
              <w:spacing w:after="0" w:line="252" w:lineRule="auto"/>
            </w:pPr>
            <w:r/>
            <w:r>
              <w:rPr>
                <w:rFonts w:ascii="Calibri" w:hAnsi="Calibri"/>
                <w:b w:val="0"/>
                <w:sz w:val="17"/>
              </w:rPr>
              <w:t>Filtered node list or graph</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sz w:val="17"/>
              </w:rPr>
              <w:t>Research</w:t>
            </w:r>
          </w:p>
        </w:tc>
        <w:tc>
          <w:tcPr>
            <w:tcW w:type="dxa" w:w="4896"/>
            <w:vAlign w:val="center"/>
            <w:tcMar>
              <w:top w:w="80" w:type="dxa"/>
              <w:start w:w="120" w:type="dxa"/>
              <w:bottom w:w="80" w:type="dxa"/>
              <w:end w:w="120" w:type="dxa"/>
            </w:tcMar>
          </w:tcPr>
          <w:p>
            <w:pPr>
              <w:spacing w:after="0" w:line="252" w:lineRule="auto"/>
            </w:pPr>
            <w:r/>
            <w:r>
              <w:rPr>
                <w:rFonts w:ascii="Calibri" w:hAnsi="Calibri"/>
                <w:b w:val="0"/>
                <w:sz w:val="17"/>
              </w:rPr>
              <w:t>Question -&gt; vector + FTS concurrently -&gt; merge/rank -&gt; Gemini with numbered context</w:t>
            </w:r>
          </w:p>
        </w:tc>
        <w:tc>
          <w:tcPr>
            <w:tcW w:type="dxa" w:w="2736"/>
            <w:vAlign w:val="center"/>
            <w:tcMar>
              <w:top w:w="80" w:type="dxa"/>
              <w:start w:w="120" w:type="dxa"/>
              <w:bottom w:w="80" w:type="dxa"/>
              <w:end w:w="120" w:type="dxa"/>
            </w:tcMar>
          </w:tcPr>
          <w:p>
            <w:pPr>
              <w:spacing w:after="0" w:line="252" w:lineRule="auto"/>
            </w:pPr>
            <w:r/>
            <w:r>
              <w:rPr>
                <w:rFonts w:ascii="Calibri" w:hAnsi="Calibri"/>
                <w:b w:val="0"/>
                <w:sz w:val="17"/>
              </w:rPr>
              <w:t>Markdown answer and source IDs</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sz w:val="17"/>
              </w:rPr>
              <w:t>Ingestion</w:t>
            </w:r>
          </w:p>
        </w:tc>
        <w:tc>
          <w:tcPr>
            <w:tcW w:type="dxa" w:w="4896"/>
            <w:vAlign w:val="center"/>
            <w:tcMar>
              <w:top w:w="80" w:type="dxa"/>
              <w:start w:w="120" w:type="dxa"/>
              <w:bottom w:w="80" w:type="dxa"/>
              <w:end w:w="120" w:type="dxa"/>
            </w:tcMar>
          </w:tcPr>
          <w:p>
            <w:pPr>
              <w:spacing w:after="0" w:line="252" w:lineRule="auto"/>
            </w:pPr>
            <w:r/>
            <w:r>
              <w:rPr>
                <w:rFonts w:ascii="Calibri" w:hAnsi="Calibri"/>
                <w:b w:val="0"/>
                <w:sz w:val="17"/>
              </w:rPr>
              <w:t>collect.py stores raw_sources; process.py extracts content/classifies/inserts nodes</w:t>
            </w:r>
          </w:p>
        </w:tc>
        <w:tc>
          <w:tcPr>
            <w:tcW w:type="dxa" w:w="2736"/>
            <w:vAlign w:val="center"/>
            <w:tcMar>
              <w:top w:w="80" w:type="dxa"/>
              <w:start w:w="120" w:type="dxa"/>
              <w:bottom w:w="80" w:type="dxa"/>
              <w:end w:w="120" w:type="dxa"/>
            </w:tcMar>
          </w:tcPr>
          <w:p>
            <w:pPr>
              <w:spacing w:after="0" w:line="252" w:lineRule="auto"/>
            </w:pPr>
            <w:r/>
            <w:r>
              <w:rPr>
                <w:rFonts w:ascii="Calibri" w:hAnsi="Calibri"/>
                <w:b w:val="0"/>
                <w:sz w:val="17"/>
              </w:rPr>
              <w:t>Typed graph candidates</w:t>
            </w:r>
          </w:p>
        </w:tc>
      </w:tr>
      <w:tr>
        <w:tc>
          <w:tcPr>
            <w:tcW w:type="dxa" w:w="1728"/>
            <w:vAlign w:val="center"/>
            <w:tcMar>
              <w:top w:w="80" w:type="dxa"/>
              <w:start w:w="120" w:type="dxa"/>
              <w:bottom w:w="80" w:type="dxa"/>
              <w:end w:w="120" w:type="dxa"/>
            </w:tcMar>
          </w:tcPr>
          <w:p>
            <w:pPr>
              <w:spacing w:after="0" w:line="252" w:lineRule="auto"/>
            </w:pPr>
            <w:r/>
            <w:r>
              <w:rPr>
                <w:rFonts w:ascii="Calibri" w:hAnsi="Calibri"/>
                <w:b w:val="0"/>
                <w:sz w:val="17"/>
              </w:rPr>
              <w:t>Enrichment</w:t>
            </w:r>
          </w:p>
        </w:tc>
        <w:tc>
          <w:tcPr>
            <w:tcW w:type="dxa" w:w="4896"/>
            <w:vAlign w:val="center"/>
            <w:tcMar>
              <w:top w:w="80" w:type="dxa"/>
              <w:start w:w="120" w:type="dxa"/>
              <w:bottom w:w="80" w:type="dxa"/>
              <w:end w:w="120" w:type="dxa"/>
            </w:tcMar>
          </w:tcPr>
          <w:p>
            <w:pPr>
              <w:spacing w:after="0" w:line="252" w:lineRule="auto"/>
            </w:pPr>
            <w:r/>
            <w:r>
              <w:rPr>
                <w:rFonts w:ascii="Calibri" w:hAnsi="Calibri"/>
                <w:b w:val="0"/>
                <w:sz w:val="17"/>
              </w:rPr>
              <w:t>relate, embed, cluster, trend, hypotheses, evidence, learning, maintenance</w:t>
            </w:r>
          </w:p>
        </w:tc>
        <w:tc>
          <w:tcPr>
            <w:tcW w:type="dxa" w:w="2736"/>
            <w:vAlign w:val="center"/>
            <w:tcMar>
              <w:top w:w="80" w:type="dxa"/>
              <w:start w:w="120" w:type="dxa"/>
              <w:bottom w:w="80" w:type="dxa"/>
              <w:end w:w="120" w:type="dxa"/>
            </w:tcMar>
          </w:tcPr>
          <w:p>
            <w:pPr>
              <w:spacing w:after="0" w:line="252" w:lineRule="auto"/>
            </w:pPr>
            <w:r/>
            <w:r>
              <w:rPr>
                <w:rFonts w:ascii="Calibri" w:hAnsi="Calibri"/>
                <w:b w:val="0"/>
                <w:sz w:val="17"/>
              </w:rPr>
              <w:t>Relationships, vectors, trends, predictions, metrics</w:t>
            </w:r>
          </w:p>
        </w:tc>
      </w:tr>
    </w:tbl>
    <w:p>
      <w:pPr>
        <w:spacing w:after="60"/>
      </w:pPr>
    </w:p>
    <w:p>
      <w:pPr>
        <w:pStyle w:val="Heading2"/>
      </w:pPr>
      <w:r>
        <w:t>4.3 Architecture notes</w:t>
      </w:r>
    </w:p>
    <w:p>
      <w:pPr>
        <w:spacing w:after="160"/>
      </w:pPr>
      <w:r>
        <w:rPr>
          <w:i w:val="0"/>
        </w:rPr>
        <w:t>`src/lib/db.ts` owns the data-access abstraction. When Supabase variables are available, it uses the remote database and RPCs; otherwise it opens `cyber_tree_local.db` through Node’s `DatabaseSync`. This is a pragmatic development fallback, but query semantics differ: Supabase uses pgvector and generated FTS; SQLite performs JavaScript cosine similarity or SQL LIKE searches.</w:t>
      </w:r>
    </w:p>
    <w:p>
      <w:pPr>
        <w:spacing w:after="160"/>
      </w:pPr>
      <w:r>
        <w:rPr>
          <w:i w:val="0"/>
        </w:rPr>
        <w:t>Archived synthetic nodes are filtered in many, but not all, read paths. This is an important cross-cutting policy encoded as `metadata.archived_reason = synthetic-mock-data-phase13-removal`, rather than an explicit status column or view.</w:t>
      </w:r>
    </w:p>
    <w:p>
      <w:pPr>
        <w:pStyle w:val="Heading1"/>
      </w:pPr>
      <w:r>
        <w:t>5. Module Analysis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800"/>
            <w:shd w:fill="F2F4F7"/>
            <w:vAlign w:val="center"/>
            <w:tcMar>
              <w:top w:w="80" w:type="dxa"/>
              <w:start w:w="120" w:type="dxa"/>
              <w:bottom w:w="80" w:type="dxa"/>
              <w:end w:w="120" w:type="dxa"/>
            </w:tcMar>
          </w:tcPr>
          <w:p>
            <w:pPr>
              <w:spacing w:after="0" w:line="252" w:lineRule="auto"/>
            </w:pPr>
            <w:r/>
            <w:r>
              <w:rPr>
                <w:rFonts w:ascii="Calibri" w:hAnsi="Calibri"/>
                <w:b/>
                <w:sz w:val="18"/>
              </w:rPr>
              <w:t>Module group</w:t>
            </w:r>
          </w:p>
        </w:tc>
        <w:tc>
          <w:tcPr>
            <w:tcW w:type="dxa" w:w="3671"/>
            <w:shd w:fill="F2F4F7"/>
            <w:vAlign w:val="center"/>
            <w:tcMar>
              <w:top w:w="80" w:type="dxa"/>
              <w:start w:w="120" w:type="dxa"/>
              <w:bottom w:w="80" w:type="dxa"/>
              <w:end w:w="120" w:type="dxa"/>
            </w:tcMar>
          </w:tcPr>
          <w:p>
            <w:pPr>
              <w:spacing w:after="0" w:line="252" w:lineRule="auto"/>
            </w:pPr>
            <w:r/>
            <w:r>
              <w:rPr>
                <w:rFonts w:ascii="Calibri" w:hAnsi="Calibri"/>
                <w:b/>
                <w:sz w:val="18"/>
              </w:rPr>
              <w:t>Responsibilities</w:t>
            </w:r>
          </w:p>
        </w:tc>
        <w:tc>
          <w:tcPr>
            <w:tcW w:type="dxa" w:w="3888"/>
            <w:shd w:fill="F2F4F7"/>
            <w:vAlign w:val="center"/>
            <w:tcMar>
              <w:top w:w="80" w:type="dxa"/>
              <w:start w:w="120" w:type="dxa"/>
              <w:bottom w:w="80" w:type="dxa"/>
              <w:end w:w="120" w:type="dxa"/>
            </w:tcMar>
          </w:tcPr>
          <w:p>
            <w:pPr>
              <w:spacing w:after="0" w:line="252" w:lineRule="auto"/>
            </w:pPr>
            <w:r/>
            <w:r>
              <w:rPr>
                <w:rFonts w:ascii="Calibri" w:hAnsi="Calibri"/>
                <w:b/>
                <w:sz w:val="18"/>
              </w:rPr>
              <w:t>Principal dependencies / considerations</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sz w:val="17"/>
              </w:rPr>
              <w:t>Next.js app and Header</w:t>
            </w:r>
          </w:p>
        </w:tc>
        <w:tc>
          <w:tcPr>
            <w:tcW w:type="dxa" w:w="3671"/>
            <w:vAlign w:val="center"/>
            <w:tcMar>
              <w:top w:w="80" w:type="dxa"/>
              <w:start w:w="120" w:type="dxa"/>
              <w:bottom w:w="80" w:type="dxa"/>
              <w:end w:w="120" w:type="dxa"/>
            </w:tcMar>
          </w:tcPr>
          <w:p>
            <w:pPr>
              <w:spacing w:after="0" w:line="252" w:lineRule="auto"/>
            </w:pPr>
            <w:r/>
            <w:r>
              <w:rPr>
                <w:rFonts w:ascii="Calibri" w:hAnsi="Calibri"/>
                <w:b w:val="0"/>
                <w:sz w:val="17"/>
              </w:rPr>
              <w:t>Dashboard, route-specific UI, global search, health indicator, keyboard shortcut</w:t>
            </w:r>
          </w:p>
        </w:tc>
        <w:tc>
          <w:tcPr>
            <w:tcW w:type="dxa" w:w="3888"/>
            <w:vAlign w:val="center"/>
            <w:tcMar>
              <w:top w:w="80" w:type="dxa"/>
              <w:start w:w="120" w:type="dxa"/>
              <w:bottom w:w="80" w:type="dxa"/>
              <w:end w:w="120" w:type="dxa"/>
            </w:tcMar>
          </w:tcPr>
          <w:p>
            <w:pPr>
              <w:spacing w:after="0" w:line="252" w:lineRule="auto"/>
            </w:pPr>
            <w:r/>
            <w:r>
              <w:rPr>
                <w:rFonts w:ascii="Calibri" w:hAnsi="Calibri"/>
                <w:b w:val="0"/>
                <w:sz w:val="17"/>
              </w:rPr>
              <w:t>Client fetches; no user state or access control</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sz w:val="17"/>
              </w:rPr>
              <w:t>API route handlers</w:t>
            </w:r>
          </w:p>
        </w:tc>
        <w:tc>
          <w:tcPr>
            <w:tcW w:type="dxa" w:w="3671"/>
            <w:vAlign w:val="center"/>
            <w:tcMar>
              <w:top w:w="80" w:type="dxa"/>
              <w:start w:w="120" w:type="dxa"/>
              <w:bottom w:w="80" w:type="dxa"/>
              <w:end w:w="120" w:type="dxa"/>
            </w:tcMar>
          </w:tcPr>
          <w:p>
            <w:pPr>
              <w:spacing w:after="0" w:line="252" w:lineRule="auto"/>
            </w:pPr>
            <w:r/>
            <w:r>
              <w:rPr>
                <w:rFonts w:ascii="Calibri" w:hAnsi="Calibri"/>
                <w:b w:val="0"/>
                <w:sz w:val="17"/>
              </w:rPr>
              <w:t>Thin JSON endpoint wrappers around db, classifier, embeddings, and Gemini</w:t>
            </w:r>
          </w:p>
        </w:tc>
        <w:tc>
          <w:tcPr>
            <w:tcW w:type="dxa" w:w="3888"/>
            <w:vAlign w:val="center"/>
            <w:tcMar>
              <w:top w:w="80" w:type="dxa"/>
              <w:start w:w="120" w:type="dxa"/>
              <w:bottom w:w="80" w:type="dxa"/>
              <w:end w:w="120" w:type="dxa"/>
            </w:tcMar>
          </w:tcPr>
          <w:p>
            <w:pPr>
              <w:spacing w:after="0" w:line="252" w:lineRule="auto"/>
            </w:pPr>
            <w:r/>
            <w:r>
              <w:rPr>
                <w:rFonts w:ascii="Calibri" w:hAnsi="Calibri"/>
                <w:b w:val="0"/>
                <w:sz w:val="17"/>
              </w:rPr>
              <w:t>`force-dynamic`; broad catch-to-500 behavior</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sz w:val="17"/>
              </w:rPr>
              <w:t>db.ts</w:t>
            </w:r>
          </w:p>
        </w:tc>
        <w:tc>
          <w:tcPr>
            <w:tcW w:type="dxa" w:w="3671"/>
            <w:vAlign w:val="center"/>
            <w:tcMar>
              <w:top w:w="80" w:type="dxa"/>
              <w:start w:w="120" w:type="dxa"/>
              <w:bottom w:w="80" w:type="dxa"/>
              <w:end w:w="120" w:type="dxa"/>
            </w:tcMar>
          </w:tcPr>
          <w:p>
            <w:pPr>
              <w:spacing w:after="0" w:line="252" w:lineRule="auto"/>
            </w:pPr>
            <w:r/>
            <w:r>
              <w:rPr>
                <w:rFonts w:ascii="Calibri" w:hAnsi="Calibri"/>
                <w:b w:val="0"/>
                <w:sz w:val="17"/>
              </w:rPr>
              <w:t>Supabase/SQLite access, graph traversal, search, metrics, sources</w:t>
            </w:r>
          </w:p>
        </w:tc>
        <w:tc>
          <w:tcPr>
            <w:tcW w:type="dxa" w:w="3888"/>
            <w:vAlign w:val="center"/>
            <w:tcMar>
              <w:top w:w="80" w:type="dxa"/>
              <w:start w:w="120" w:type="dxa"/>
              <w:bottom w:w="80" w:type="dxa"/>
              <w:end w:w="120" w:type="dxa"/>
            </w:tcMar>
          </w:tcPr>
          <w:p>
            <w:pPr>
              <w:spacing w:after="0" w:line="252" w:lineRule="auto"/>
            </w:pPr>
            <w:r/>
            <w:r>
              <w:rPr>
                <w:rFonts w:ascii="Calibri" w:hAnsi="Calibri"/>
                <w:b w:val="0"/>
                <w:sz w:val="17"/>
              </w:rPr>
              <w:t>Remote RLS/RPC/schema parity; local scans can be expensive</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sz w:val="17"/>
              </w:rPr>
              <w:t>embeddings.ts</w:t>
            </w:r>
          </w:p>
        </w:tc>
        <w:tc>
          <w:tcPr>
            <w:tcW w:type="dxa" w:w="3671"/>
            <w:vAlign w:val="center"/>
            <w:tcMar>
              <w:top w:w="80" w:type="dxa"/>
              <w:start w:w="120" w:type="dxa"/>
              <w:bottom w:w="80" w:type="dxa"/>
              <w:end w:w="120" w:type="dxa"/>
            </w:tcMar>
          </w:tcPr>
          <w:p>
            <w:pPr>
              <w:spacing w:after="0" w:line="252" w:lineRule="auto"/>
            </w:pPr>
            <w:r/>
            <w:r>
              <w:rPr>
                <w:rFonts w:ascii="Calibri" w:hAnsi="Calibri"/>
                <w:b w:val="0"/>
                <w:sz w:val="17"/>
              </w:rPr>
              <w:t>Hugging Face feature extraction with deterministic hash fallback</w:t>
            </w:r>
          </w:p>
        </w:tc>
        <w:tc>
          <w:tcPr>
            <w:tcW w:type="dxa" w:w="3888"/>
            <w:vAlign w:val="center"/>
            <w:tcMar>
              <w:top w:w="80" w:type="dxa"/>
              <w:start w:w="120" w:type="dxa"/>
              <w:bottom w:w="80" w:type="dxa"/>
              <w:end w:w="120" w:type="dxa"/>
            </w:tcMar>
          </w:tcPr>
          <w:p>
            <w:pPr>
              <w:spacing w:after="0" w:line="252" w:lineRule="auto"/>
            </w:pPr>
            <w:r/>
            <w:r>
              <w:rPr>
                <w:rFonts w:ascii="Calibri" w:hAnsi="Calibri"/>
                <w:b w:val="0"/>
                <w:sz w:val="17"/>
              </w:rPr>
              <w:t>Fallback is dimension-compatible but semantically invalid</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sz w:val="17"/>
              </w:rPr>
              <w:t>classifier.ts</w:t>
            </w:r>
          </w:p>
        </w:tc>
        <w:tc>
          <w:tcPr>
            <w:tcW w:type="dxa" w:w="3671"/>
            <w:vAlign w:val="center"/>
            <w:tcMar>
              <w:top w:w="80" w:type="dxa"/>
              <w:start w:w="120" w:type="dxa"/>
              <w:bottom w:w="80" w:type="dxa"/>
              <w:end w:w="120" w:type="dxa"/>
            </w:tcMar>
          </w:tcPr>
          <w:p>
            <w:pPr>
              <w:spacing w:after="0" w:line="252" w:lineRule="auto"/>
            </w:pPr>
            <w:r/>
            <w:r>
              <w:rPr>
                <w:rFonts w:ascii="Calibri" w:hAnsi="Calibri"/>
                <w:b w:val="0"/>
                <w:sz w:val="17"/>
              </w:rPr>
              <w:t>Loads exported TF-IDF/logistic weights; keyword fallback</w:t>
            </w:r>
          </w:p>
        </w:tc>
        <w:tc>
          <w:tcPr>
            <w:tcW w:type="dxa" w:w="3888"/>
            <w:vAlign w:val="center"/>
            <w:tcMar>
              <w:top w:w="80" w:type="dxa"/>
              <w:start w:w="120" w:type="dxa"/>
              <w:bottom w:w="80" w:type="dxa"/>
              <w:end w:w="120" w:type="dxa"/>
            </w:tcMar>
          </w:tcPr>
          <w:p>
            <w:pPr>
              <w:spacing w:after="0" w:line="252" w:lineRule="auto"/>
            </w:pPr>
            <w:r/>
            <w:r>
              <w:rPr>
                <w:rFonts w:ascii="Calibri" w:hAnsi="Calibri"/>
                <w:b w:val="0"/>
                <w:sz w:val="17"/>
              </w:rPr>
              <w:t>Synchronous model file read is cached; taxonomy consistency required</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sz w:val="17"/>
              </w:rPr>
              <w:t>Python DBClient</w:t>
            </w:r>
          </w:p>
        </w:tc>
        <w:tc>
          <w:tcPr>
            <w:tcW w:type="dxa" w:w="3671"/>
            <w:vAlign w:val="center"/>
            <w:tcMar>
              <w:top w:w="80" w:type="dxa"/>
              <w:start w:w="120" w:type="dxa"/>
              <w:bottom w:w="80" w:type="dxa"/>
              <w:end w:w="120" w:type="dxa"/>
            </w:tcMar>
          </w:tcPr>
          <w:p>
            <w:pPr>
              <w:spacing w:after="0" w:line="252" w:lineRule="auto"/>
            </w:pPr>
            <w:r/>
            <w:r>
              <w:rPr>
                <w:rFonts w:ascii="Calibri" w:hAnsi="Calibri"/>
                <w:b w:val="0"/>
                <w:sz w:val="17"/>
              </w:rPr>
              <w:t>Batching, upsert, raw-source state, job logs, SQLite schema</w:t>
            </w:r>
          </w:p>
        </w:tc>
        <w:tc>
          <w:tcPr>
            <w:tcW w:type="dxa" w:w="3888"/>
            <w:vAlign w:val="center"/>
            <w:tcMar>
              <w:top w:w="80" w:type="dxa"/>
              <w:start w:w="120" w:type="dxa"/>
              <w:bottom w:w="80" w:type="dxa"/>
              <w:end w:w="120" w:type="dxa"/>
            </w:tcMar>
          </w:tcPr>
          <w:p>
            <w:pPr>
              <w:spacing w:after="0" w:line="252" w:lineRule="auto"/>
            </w:pPr>
            <w:r/>
            <w:r>
              <w:rPr>
                <w:rFonts w:ascii="Calibri" w:hAnsi="Calibri"/>
                <w:b w:val="0"/>
                <w:sz w:val="17"/>
              </w:rPr>
              <w:t>Queue flush semantics and backend portability</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sz w:val="17"/>
              </w:rPr>
              <w:t>Pipeline scripts</w:t>
            </w:r>
          </w:p>
        </w:tc>
        <w:tc>
          <w:tcPr>
            <w:tcW w:type="dxa" w:w="3671"/>
            <w:vAlign w:val="center"/>
            <w:tcMar>
              <w:top w:w="80" w:type="dxa"/>
              <w:start w:w="120" w:type="dxa"/>
              <w:bottom w:w="80" w:type="dxa"/>
              <w:end w:w="120" w:type="dxa"/>
            </w:tcMar>
          </w:tcPr>
          <w:p>
            <w:pPr>
              <w:spacing w:after="0" w:line="252" w:lineRule="auto"/>
            </w:pPr>
            <w:r/>
            <w:r>
              <w:rPr>
                <w:rFonts w:ascii="Calibri" w:hAnsi="Calibri"/>
                <w:b w:val="0"/>
                <w:sz w:val="17"/>
              </w:rPr>
              <w:t>Collection, processing, relation, vector, pattern, learning, maintenance</w:t>
            </w:r>
          </w:p>
        </w:tc>
        <w:tc>
          <w:tcPr>
            <w:tcW w:type="dxa" w:w="3888"/>
            <w:vAlign w:val="center"/>
            <w:tcMar>
              <w:top w:w="80" w:type="dxa"/>
              <w:start w:w="120" w:type="dxa"/>
              <w:bottom w:w="80" w:type="dxa"/>
              <w:end w:w="120" w:type="dxa"/>
            </w:tcMar>
          </w:tcPr>
          <w:p>
            <w:pPr>
              <w:spacing w:after="0" w:line="252" w:lineRule="auto"/>
            </w:pPr>
            <w:r/>
            <w:r>
              <w:rPr>
                <w:rFonts w:ascii="Calibri" w:hAnsi="Calibri"/>
                <w:b w:val="0"/>
                <w:sz w:val="17"/>
              </w:rPr>
              <w:t>External API availability and scheduled execution order</w:t>
            </w:r>
          </w:p>
        </w:tc>
      </w:tr>
      <w:tr>
        <w:tc>
          <w:tcPr>
            <w:tcW w:type="dxa" w:w="1800"/>
            <w:vAlign w:val="center"/>
            <w:tcMar>
              <w:top w:w="80" w:type="dxa"/>
              <w:start w:w="120" w:type="dxa"/>
              <w:bottom w:w="80" w:type="dxa"/>
              <w:end w:w="120" w:type="dxa"/>
            </w:tcMar>
          </w:tcPr>
          <w:p>
            <w:pPr>
              <w:spacing w:after="0" w:line="252" w:lineRule="auto"/>
            </w:pPr>
            <w:r/>
            <w:r>
              <w:rPr>
                <w:rFonts w:ascii="Calibri" w:hAnsi="Calibri"/>
                <w:b w:val="0"/>
                <w:sz w:val="17"/>
              </w:rPr>
              <w:t>GitHub workflows</w:t>
            </w:r>
          </w:p>
        </w:tc>
        <w:tc>
          <w:tcPr>
            <w:tcW w:type="dxa" w:w="3671"/>
            <w:vAlign w:val="center"/>
            <w:tcMar>
              <w:top w:w="80" w:type="dxa"/>
              <w:start w:w="120" w:type="dxa"/>
              <w:bottom w:w="80" w:type="dxa"/>
              <w:end w:w="120" w:type="dxa"/>
            </w:tcMar>
          </w:tcPr>
          <w:p>
            <w:pPr>
              <w:spacing w:after="0" w:line="252" w:lineRule="auto"/>
            </w:pPr>
            <w:r/>
            <w:r>
              <w:rPr>
                <w:rFonts w:ascii="Calibri" w:hAnsi="Calibri"/>
                <w:b w:val="0"/>
                <w:sz w:val="17"/>
              </w:rPr>
              <w:t>Cron/manual orchestration, Python 3.11 setup, secret injection</w:t>
            </w:r>
          </w:p>
        </w:tc>
        <w:tc>
          <w:tcPr>
            <w:tcW w:type="dxa" w:w="3888"/>
            <w:vAlign w:val="center"/>
            <w:tcMar>
              <w:top w:w="80" w:type="dxa"/>
              <w:start w:w="120" w:type="dxa"/>
              <w:bottom w:w="80" w:type="dxa"/>
              <w:end w:w="120" w:type="dxa"/>
            </w:tcMar>
          </w:tcPr>
          <w:p>
            <w:pPr>
              <w:spacing w:after="0" w:line="252" w:lineRule="auto"/>
            </w:pPr>
            <w:r/>
            <w:r>
              <w:rPr>
                <w:rFonts w:ascii="Calibri" w:hAnsi="Calibri"/>
                <w:b w:val="0"/>
                <w:sz w:val="17"/>
              </w:rPr>
              <w:t>No workflow dependency gating; independent schedules may race</w:t>
            </w:r>
          </w:p>
        </w:tc>
      </w:tr>
    </w:tbl>
    <w:p>
      <w:pPr>
        <w:spacing w:after="60"/>
      </w:pPr>
    </w:p>
    <w:p>
      <w:pPr>
        <w:pStyle w:val="Heading1"/>
      </w:pPr>
      <w:r>
        <w:t>6. Source Code Analysis</w:t>
      </w:r>
    </w:p>
    <w:p>
      <w:pPr>
        <w:spacing w:after="160"/>
      </w:pPr>
      <w:r>
        <w:rPr>
          <w:i w:val="0"/>
        </w:rPr>
        <w:t>The TypeScript layer is intentionally thin. Pages generally own presentation and call read-only API endpoints. API handlers parse small query/body inputs, delegate to one library function, and return JSON. There are no controllers, repositories, ORM entities, middleware, queues, or authentication components in the conventional enterprise sense.</w:t>
      </w:r>
    </w:p>
    <w:p>
      <w:pPr>
        <w:pStyle w:val="Heading2"/>
      </w:pPr>
      <w:r>
        <w:t>6.1 Frontend pages and components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3240"/>
            <w:shd w:fill="F2F4F7"/>
            <w:vAlign w:val="center"/>
            <w:tcMar>
              <w:top w:w="80" w:type="dxa"/>
              <w:start w:w="120" w:type="dxa"/>
              <w:bottom w:w="80" w:type="dxa"/>
              <w:end w:w="120" w:type="dxa"/>
            </w:tcMar>
          </w:tcPr>
          <w:p>
            <w:pPr>
              <w:spacing w:after="0" w:line="252" w:lineRule="auto"/>
            </w:pPr>
            <w:r/>
            <w:r>
              <w:rPr>
                <w:rFonts w:ascii="Calibri" w:hAnsi="Calibri"/>
                <w:b/>
                <w:sz w:val="18"/>
              </w:rPr>
              <w:t>File / route</w:t>
            </w:r>
          </w:p>
        </w:tc>
        <w:tc>
          <w:tcPr>
            <w:tcW w:type="dxa" w:w="6120"/>
            <w:shd w:fill="F2F4F7"/>
            <w:vAlign w:val="center"/>
            <w:tcMar>
              <w:top w:w="80" w:type="dxa"/>
              <w:start w:w="120" w:type="dxa"/>
              <w:bottom w:w="80" w:type="dxa"/>
              <w:end w:w="120" w:type="dxa"/>
            </w:tcMar>
          </w:tcPr>
          <w:p>
            <w:pPr>
              <w:spacing w:after="0" w:line="252" w:lineRule="auto"/>
            </w:pPr>
            <w:r/>
            <w:r>
              <w:rPr>
                <w:rFonts w:ascii="Calibri" w:hAnsi="Calibri"/>
                <w:b/>
                <w:sz w:val="18"/>
              </w:rPr>
              <w:t>Contribution</w:t>
            </w:r>
          </w:p>
        </w:tc>
      </w:tr>
      <w:tr>
        <w:tc>
          <w:tcPr>
            <w:tcW w:type="dxa" w:w="3240"/>
            <w:vAlign w:val="center"/>
            <w:tcMar>
              <w:top w:w="80" w:type="dxa"/>
              <w:start w:w="120" w:type="dxa"/>
              <w:bottom w:w="80" w:type="dxa"/>
              <w:end w:w="120" w:type="dxa"/>
            </w:tcMar>
          </w:tcPr>
          <w:p>
            <w:pPr>
              <w:spacing w:after="0" w:line="252" w:lineRule="auto"/>
            </w:pPr>
            <w:r/>
            <w:r>
              <w:rPr>
                <w:rFonts w:ascii="Calibri" w:hAnsi="Calibri"/>
                <w:b w:val="0"/>
                <w:sz w:val="17"/>
              </w:rPr>
              <w:t>src/app/page.tsx</w:t>
            </w:r>
          </w:p>
        </w:tc>
        <w:tc>
          <w:tcPr>
            <w:tcW w:type="dxa" w:w="6120"/>
            <w:vAlign w:val="center"/>
            <w:tcMar>
              <w:top w:w="80" w:type="dxa"/>
              <w:start w:w="120" w:type="dxa"/>
              <w:bottom w:w="80" w:type="dxa"/>
              <w:end w:w="120" w:type="dxa"/>
            </w:tcMar>
          </w:tcPr>
          <w:p>
            <w:pPr>
              <w:spacing w:after="0" w:line="252" w:lineRule="auto"/>
            </w:pPr>
            <w:r/>
            <w:r>
              <w:rPr>
                <w:rFonts w:ascii="Calibri" w:hAnsi="Calibri"/>
                <w:b w:val="0"/>
                <w:sz w:val="17"/>
              </w:rPr>
              <w:t>Client dashboard: counts, type distribution, recent nodes/jobs, health and quick navigation.</w:t>
            </w:r>
          </w:p>
        </w:tc>
      </w:tr>
      <w:tr>
        <w:tc>
          <w:tcPr>
            <w:tcW w:type="dxa" w:w="3240"/>
            <w:vAlign w:val="center"/>
            <w:tcMar>
              <w:top w:w="80" w:type="dxa"/>
              <w:start w:w="120" w:type="dxa"/>
              <w:bottom w:w="80" w:type="dxa"/>
              <w:end w:w="120" w:type="dxa"/>
            </w:tcMar>
          </w:tcPr>
          <w:p>
            <w:pPr>
              <w:spacing w:after="0" w:line="252" w:lineRule="auto"/>
            </w:pPr>
            <w:r/>
            <w:r>
              <w:rPr>
                <w:rFonts w:ascii="Calibri" w:hAnsi="Calibri"/>
                <w:b w:val="0"/>
                <w:sz w:val="17"/>
              </w:rPr>
              <w:t>explore/page.tsx and explore/[id]/page.tsx</w:t>
            </w:r>
          </w:p>
        </w:tc>
        <w:tc>
          <w:tcPr>
            <w:tcW w:type="dxa" w:w="6120"/>
            <w:vAlign w:val="center"/>
            <w:tcMar>
              <w:top w:w="80" w:type="dxa"/>
              <w:start w:w="120" w:type="dxa"/>
              <w:bottom w:w="80" w:type="dxa"/>
              <w:end w:w="120" w:type="dxa"/>
            </w:tcMar>
          </w:tcPr>
          <w:p>
            <w:pPr>
              <w:spacing w:after="0" w:line="252" w:lineRule="auto"/>
            </w:pPr>
            <w:r/>
            <w:r>
              <w:rPr>
                <w:rFonts w:ascii="Calibri" w:hAnsi="Calibri"/>
                <w:b w:val="0"/>
                <w:sz w:val="17"/>
              </w:rPr>
              <w:t>Graph viewer plus server-rendered node/relationship detail.</w:t>
            </w:r>
          </w:p>
        </w:tc>
      </w:tr>
      <w:tr>
        <w:tc>
          <w:tcPr>
            <w:tcW w:type="dxa" w:w="3240"/>
            <w:vAlign w:val="center"/>
            <w:tcMar>
              <w:top w:w="80" w:type="dxa"/>
              <w:start w:w="120" w:type="dxa"/>
              <w:bottom w:w="80" w:type="dxa"/>
              <w:end w:w="120" w:type="dxa"/>
            </w:tcMar>
          </w:tcPr>
          <w:p>
            <w:pPr>
              <w:spacing w:after="0" w:line="252" w:lineRule="auto"/>
            </w:pPr>
            <w:r/>
            <w:r>
              <w:rPr>
                <w:rFonts w:ascii="Calibri" w:hAnsi="Calibri"/>
                <w:b w:val="0"/>
                <w:sz w:val="17"/>
              </w:rPr>
              <w:t>search/page.tsx and similar/[id]/page.tsx</w:t>
            </w:r>
          </w:p>
        </w:tc>
        <w:tc>
          <w:tcPr>
            <w:tcW w:type="dxa" w:w="6120"/>
            <w:vAlign w:val="center"/>
            <w:tcMar>
              <w:top w:w="80" w:type="dxa"/>
              <w:start w:w="120" w:type="dxa"/>
              <w:bottom w:w="80" w:type="dxa"/>
              <w:end w:w="120" w:type="dxa"/>
            </w:tcMar>
          </w:tcPr>
          <w:p>
            <w:pPr>
              <w:spacing w:after="0" w:line="252" w:lineRule="auto"/>
            </w:pPr>
            <w:r/>
            <w:r>
              <w:rPr>
                <w:rFonts w:ascii="Calibri" w:hAnsi="Calibri"/>
                <w:b w:val="0"/>
                <w:sz w:val="17"/>
              </w:rPr>
              <w:t>Filtered/semantic discovery and nearest-neighbor view.</w:t>
            </w:r>
          </w:p>
        </w:tc>
      </w:tr>
      <w:tr>
        <w:tc>
          <w:tcPr>
            <w:tcW w:type="dxa" w:w="3240"/>
            <w:vAlign w:val="center"/>
            <w:tcMar>
              <w:top w:w="80" w:type="dxa"/>
              <w:start w:w="120" w:type="dxa"/>
              <w:bottom w:w="80" w:type="dxa"/>
              <w:end w:w="120" w:type="dxa"/>
            </w:tcMar>
          </w:tcPr>
          <w:p>
            <w:pPr>
              <w:spacing w:after="0" w:line="252" w:lineRule="auto"/>
            </w:pPr>
            <w:r/>
            <w:r>
              <w:rPr>
                <w:rFonts w:ascii="Calibri" w:hAnsi="Calibri"/>
                <w:b w:val="0"/>
                <w:sz w:val="17"/>
              </w:rPr>
              <w:t>timeline/page.tsx; threats/page.tsx</w:t>
            </w:r>
          </w:p>
        </w:tc>
        <w:tc>
          <w:tcPr>
            <w:tcW w:type="dxa" w:w="6120"/>
            <w:vAlign w:val="center"/>
            <w:tcMar>
              <w:top w:w="80" w:type="dxa"/>
              <w:start w:w="120" w:type="dxa"/>
              <w:bottom w:w="80" w:type="dxa"/>
              <w:end w:w="120" w:type="dxa"/>
            </w:tcMar>
          </w:tcPr>
          <w:p>
            <w:pPr>
              <w:spacing w:after="0" w:line="252" w:lineRule="auto"/>
            </w:pPr>
            <w:r/>
            <w:r>
              <w:rPr>
                <w:rFonts w:ascii="Calibri" w:hAnsi="Calibri"/>
                <w:b w:val="0"/>
                <w:sz w:val="17"/>
              </w:rPr>
              <w:t>Server-rendered incident and threat-actor catalog views.</w:t>
            </w:r>
          </w:p>
        </w:tc>
      </w:tr>
      <w:tr>
        <w:tc>
          <w:tcPr>
            <w:tcW w:type="dxa" w:w="3240"/>
            <w:vAlign w:val="center"/>
            <w:tcMar>
              <w:top w:w="80" w:type="dxa"/>
              <w:start w:w="120" w:type="dxa"/>
              <w:bottom w:w="80" w:type="dxa"/>
              <w:end w:w="120" w:type="dxa"/>
            </w:tcMar>
          </w:tcPr>
          <w:p>
            <w:pPr>
              <w:spacing w:after="0" w:line="252" w:lineRule="auto"/>
            </w:pPr>
            <w:r/>
            <w:r>
              <w:rPr>
                <w:rFonts w:ascii="Calibri" w:hAnsi="Calibri"/>
                <w:b w:val="0"/>
                <w:sz w:val="17"/>
              </w:rPr>
              <w:t>patterns/page.tsx + charts.tsx</w:t>
            </w:r>
          </w:p>
        </w:tc>
        <w:tc>
          <w:tcPr>
            <w:tcW w:type="dxa" w:w="6120"/>
            <w:vAlign w:val="center"/>
            <w:tcMar>
              <w:top w:w="80" w:type="dxa"/>
              <w:start w:w="120" w:type="dxa"/>
              <w:bottom w:w="80" w:type="dxa"/>
              <w:end w:w="120" w:type="dxa"/>
            </w:tcMar>
          </w:tcPr>
          <w:p>
            <w:pPr>
              <w:spacing w:after="0" w:line="252" w:lineRule="auto"/>
            </w:pPr>
            <w:r/>
            <w:r>
              <w:rPr>
                <w:rFonts w:ascii="Calibri" w:hAnsi="Calibri"/>
                <w:b w:val="0"/>
                <w:sz w:val="17"/>
              </w:rPr>
              <w:t>Trend/summary display and Recharts type/tag visualizations.</w:t>
            </w:r>
          </w:p>
        </w:tc>
      </w:tr>
      <w:tr>
        <w:tc>
          <w:tcPr>
            <w:tcW w:type="dxa" w:w="3240"/>
            <w:vAlign w:val="center"/>
            <w:tcMar>
              <w:top w:w="80" w:type="dxa"/>
              <w:start w:w="120" w:type="dxa"/>
              <w:bottom w:w="80" w:type="dxa"/>
              <w:end w:w="120" w:type="dxa"/>
            </w:tcMar>
          </w:tcPr>
          <w:p>
            <w:pPr>
              <w:spacing w:after="0" w:line="252" w:lineRule="auto"/>
            </w:pPr>
            <w:r/>
            <w:r>
              <w:rPr>
                <w:rFonts w:ascii="Calibri" w:hAnsi="Calibri"/>
                <w:b w:val="0"/>
                <w:sz w:val="17"/>
              </w:rPr>
              <w:t>predictions, intelligence, sources, research pages</w:t>
            </w:r>
          </w:p>
        </w:tc>
        <w:tc>
          <w:tcPr>
            <w:tcW w:type="dxa" w:w="6120"/>
            <w:vAlign w:val="center"/>
            <w:tcMar>
              <w:top w:w="80" w:type="dxa"/>
              <w:start w:w="120" w:type="dxa"/>
              <w:bottom w:w="80" w:type="dxa"/>
              <w:end w:w="120" w:type="dxa"/>
            </w:tcMar>
          </w:tcPr>
          <w:p>
            <w:pPr>
              <w:spacing w:after="0" w:line="252" w:lineRule="auto"/>
            </w:pPr>
            <w:r/>
            <w:r>
              <w:rPr>
                <w:rFonts w:ascii="Calibri" w:hAnsi="Calibri"/>
                <w:b w:val="0"/>
                <w:sz w:val="17"/>
              </w:rPr>
              <w:t>Prediction filters, learning metrics, source drill-down, and chat-style RAG UI.</w:t>
            </w:r>
          </w:p>
        </w:tc>
      </w:tr>
      <w:tr>
        <w:tc>
          <w:tcPr>
            <w:tcW w:type="dxa" w:w="3240"/>
            <w:vAlign w:val="center"/>
            <w:tcMar>
              <w:top w:w="80" w:type="dxa"/>
              <w:start w:w="120" w:type="dxa"/>
              <w:bottom w:w="80" w:type="dxa"/>
              <w:end w:w="120" w:type="dxa"/>
            </w:tcMar>
          </w:tcPr>
          <w:p>
            <w:pPr>
              <w:spacing w:after="0" w:line="252" w:lineRule="auto"/>
            </w:pPr>
            <w:r/>
            <w:r>
              <w:rPr>
                <w:rFonts w:ascii="Calibri" w:hAnsi="Calibri"/>
                <w:b w:val="0"/>
                <w:sz w:val="17"/>
              </w:rPr>
              <w:t>components/Header.tsx; layout.tsx; globals.css</w:t>
            </w:r>
          </w:p>
        </w:tc>
        <w:tc>
          <w:tcPr>
            <w:tcW w:type="dxa" w:w="6120"/>
            <w:vAlign w:val="center"/>
            <w:tcMar>
              <w:top w:w="80" w:type="dxa"/>
              <w:start w:w="120" w:type="dxa"/>
              <w:bottom w:w="80" w:type="dxa"/>
              <w:end w:w="120" w:type="dxa"/>
            </w:tcMar>
          </w:tcPr>
          <w:p>
            <w:pPr>
              <w:spacing w:after="0" w:line="252" w:lineRule="auto"/>
            </w:pPr>
            <w:r/>
            <w:r>
              <w:rPr>
                <w:rFonts w:ascii="Calibri" w:hAnsi="Calibri"/>
                <w:b w:val="0"/>
                <w:sz w:val="17"/>
              </w:rPr>
              <w:t>Navigation, global Ctrl/Cmd+K search, health indicator, metadata, global styling.</w:t>
            </w:r>
          </w:p>
        </w:tc>
      </w:tr>
    </w:tbl>
    <w:p>
      <w:pPr>
        <w:spacing w:after="60"/>
      </w:pPr>
    </w:p>
    <w:p>
      <w:pPr>
        <w:pStyle w:val="Heading2"/>
      </w:pPr>
      <w:r>
        <w:t>6.2 Core algorithms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304"/>
            <w:shd w:fill="F2F4F7"/>
            <w:vAlign w:val="center"/>
            <w:tcMar>
              <w:top w:w="80" w:type="dxa"/>
              <w:start w:w="120" w:type="dxa"/>
              <w:bottom w:w="80" w:type="dxa"/>
              <w:end w:w="120" w:type="dxa"/>
            </w:tcMar>
          </w:tcPr>
          <w:p>
            <w:pPr>
              <w:spacing w:after="0" w:line="252" w:lineRule="auto"/>
            </w:pPr>
            <w:r/>
            <w:r>
              <w:rPr>
                <w:rFonts w:ascii="Calibri" w:hAnsi="Calibri"/>
                <w:b/>
                <w:sz w:val="18"/>
              </w:rPr>
              <w:t>Component</w:t>
            </w:r>
          </w:p>
        </w:tc>
        <w:tc>
          <w:tcPr>
            <w:tcW w:type="dxa" w:w="7056"/>
            <w:shd w:fill="F2F4F7"/>
            <w:vAlign w:val="center"/>
            <w:tcMar>
              <w:top w:w="80" w:type="dxa"/>
              <w:start w:w="120" w:type="dxa"/>
              <w:bottom w:w="80" w:type="dxa"/>
              <w:end w:w="120" w:type="dxa"/>
            </w:tcMar>
          </w:tcPr>
          <w:p>
            <w:pPr>
              <w:spacing w:after="0" w:line="252" w:lineRule="auto"/>
            </w:pPr>
            <w:r/>
            <w:r>
              <w:rPr>
                <w:rFonts w:ascii="Calibri" w:hAnsi="Calibri"/>
                <w:b/>
                <w:sz w:val="18"/>
              </w:rPr>
              <w:t>Actual algorithm</w:t>
            </w:r>
          </w:p>
        </w:tc>
      </w:tr>
      <w:tr>
        <w:tc>
          <w:tcPr>
            <w:tcW w:type="dxa" w:w="2304"/>
            <w:vAlign w:val="center"/>
            <w:tcMar>
              <w:top w:w="80" w:type="dxa"/>
              <w:start w:w="120" w:type="dxa"/>
              <w:bottom w:w="80" w:type="dxa"/>
              <w:end w:w="120" w:type="dxa"/>
            </w:tcMar>
          </w:tcPr>
          <w:p>
            <w:pPr>
              <w:spacing w:after="0" w:line="252" w:lineRule="auto"/>
            </w:pPr>
            <w:r/>
            <w:r>
              <w:rPr>
                <w:rFonts w:ascii="Calibri" w:hAnsi="Calibri"/>
                <w:b w:val="0"/>
                <w:sz w:val="17"/>
              </w:rPr>
              <w:t>classifier.ts</w:t>
            </w:r>
          </w:p>
        </w:tc>
        <w:tc>
          <w:tcPr>
            <w:tcW w:type="dxa" w:w="7056"/>
            <w:vAlign w:val="center"/>
            <w:tcMar>
              <w:top w:w="80" w:type="dxa"/>
              <w:start w:w="120" w:type="dxa"/>
              <w:bottom w:w="80" w:type="dxa"/>
              <w:end w:w="120" w:type="dxa"/>
            </w:tcMar>
          </w:tcPr>
          <w:p>
            <w:pPr>
              <w:spacing w:after="0" w:line="252" w:lineRule="auto"/>
            </w:pPr>
            <w:r/>
            <w:r>
              <w:rPr>
                <w:rFonts w:ascii="Calibri" w:hAnsi="Calibri"/>
                <w:b w:val="0"/>
                <w:sz w:val="17"/>
              </w:rPr>
              <w:t>Tokenizes word tokens, generates unigrams/bigrams, builds a TF-IDF vector, L2 normalizes, computes logistic-regression scores, applies stable softmax, returns argmax class/confidence. Keyword rules provide a fixed 0.70 fallback.</w:t>
            </w:r>
          </w:p>
        </w:tc>
      </w:tr>
      <w:tr>
        <w:tc>
          <w:tcPr>
            <w:tcW w:type="dxa" w:w="2304"/>
            <w:vAlign w:val="center"/>
            <w:tcMar>
              <w:top w:w="80" w:type="dxa"/>
              <w:start w:w="120" w:type="dxa"/>
              <w:bottom w:w="80" w:type="dxa"/>
              <w:end w:w="120" w:type="dxa"/>
            </w:tcMar>
          </w:tcPr>
          <w:p>
            <w:pPr>
              <w:spacing w:after="0" w:line="252" w:lineRule="auto"/>
            </w:pPr>
            <w:r/>
            <w:r>
              <w:rPr>
                <w:rFonts w:ascii="Calibri" w:hAnsi="Calibri"/>
                <w:b w:val="0"/>
                <w:sz w:val="17"/>
              </w:rPr>
              <w:t>embeddings.ts</w:t>
            </w:r>
          </w:p>
        </w:tc>
        <w:tc>
          <w:tcPr>
            <w:tcW w:type="dxa" w:w="7056"/>
            <w:vAlign w:val="center"/>
            <w:tcMar>
              <w:top w:w="80" w:type="dxa"/>
              <w:start w:w="120" w:type="dxa"/>
              <w:bottom w:w="80" w:type="dxa"/>
              <w:end w:w="120" w:type="dxa"/>
            </w:tcMar>
          </w:tcPr>
          <w:p>
            <w:pPr>
              <w:spacing w:after="0" w:line="252" w:lineRule="auto"/>
            </w:pPr>
            <w:r/>
            <w:r>
              <w:rPr>
                <w:rFonts w:ascii="Calibri" w:hAnsi="Calibri"/>
                <w:b w:val="0"/>
                <w:sz w:val="17"/>
              </w:rPr>
              <w:t>Calls Hugging Face all-MiniLM-L6-v2 inference API. On failure, SHA-256-seeded LCG yields a normalized 384-vector. It preserves shape but does not preserve semantic similarity.</w:t>
            </w:r>
          </w:p>
        </w:tc>
      </w:tr>
      <w:tr>
        <w:tc>
          <w:tcPr>
            <w:tcW w:type="dxa" w:w="2304"/>
            <w:vAlign w:val="center"/>
            <w:tcMar>
              <w:top w:w="80" w:type="dxa"/>
              <w:start w:w="120" w:type="dxa"/>
              <w:bottom w:w="80" w:type="dxa"/>
              <w:end w:w="120" w:type="dxa"/>
            </w:tcMar>
          </w:tcPr>
          <w:p>
            <w:pPr>
              <w:spacing w:after="0" w:line="252" w:lineRule="auto"/>
            </w:pPr>
            <w:r/>
            <w:r>
              <w:rPr>
                <w:rFonts w:ascii="Calibri" w:hAnsi="Calibri"/>
                <w:b w:val="0"/>
                <w:sz w:val="17"/>
              </w:rPr>
              <w:t>research route</w:t>
            </w:r>
          </w:p>
        </w:tc>
        <w:tc>
          <w:tcPr>
            <w:tcW w:type="dxa" w:w="7056"/>
            <w:vAlign w:val="center"/>
            <w:tcMar>
              <w:top w:w="80" w:type="dxa"/>
              <w:start w:w="120" w:type="dxa"/>
              <w:bottom w:w="80" w:type="dxa"/>
              <w:end w:w="120" w:type="dxa"/>
            </w:tcMar>
          </w:tcPr>
          <w:p>
            <w:pPr>
              <w:spacing w:after="0" w:line="252" w:lineRule="auto"/>
            </w:pPr>
            <w:r/>
            <w:r>
              <w:rPr>
                <w:rFonts w:ascii="Calibri" w:hAnsi="Calibri"/>
                <w:b w:val="0"/>
                <w:sz w:val="17"/>
              </w:rPr>
              <w:t>Parallel vector/FTS retrieval; vector similarity becomes base score; FTS overlap adds 0.2; FTS-only receives 0.7; top ten nodes form the LLM context.</w:t>
            </w:r>
          </w:p>
        </w:tc>
      </w:tr>
      <w:tr>
        <w:tc>
          <w:tcPr>
            <w:tcW w:type="dxa" w:w="2304"/>
            <w:vAlign w:val="center"/>
            <w:tcMar>
              <w:top w:w="80" w:type="dxa"/>
              <w:start w:w="120" w:type="dxa"/>
              <w:bottom w:w="80" w:type="dxa"/>
              <w:end w:w="120" w:type="dxa"/>
            </w:tcMar>
          </w:tcPr>
          <w:p>
            <w:pPr>
              <w:spacing w:after="0" w:line="252" w:lineRule="auto"/>
            </w:pPr>
            <w:r/>
            <w:r>
              <w:rPr>
                <w:rFonts w:ascii="Calibri" w:hAnsi="Calibri"/>
                <w:b w:val="0"/>
                <w:sz w:val="17"/>
              </w:rPr>
              <w:t>relate.py</w:t>
            </w:r>
          </w:p>
        </w:tc>
        <w:tc>
          <w:tcPr>
            <w:tcW w:type="dxa" w:w="7056"/>
            <w:vAlign w:val="center"/>
            <w:tcMar>
              <w:top w:w="80" w:type="dxa"/>
              <w:start w:w="120" w:type="dxa"/>
              <w:bottom w:w="80" w:type="dxa"/>
              <w:end w:w="120" w:type="dxa"/>
            </w:tcMar>
          </w:tcPr>
          <w:p>
            <w:pPr>
              <w:spacing w:after="0" w:line="252" w:lineRule="auto"/>
            </w:pPr>
            <w:r/>
            <w:r>
              <w:rPr>
                <w:rFonts w:ascii="Calibri" w:hAnsi="Calibri"/>
                <w:b w:val="0"/>
                <w:sz w:val="17"/>
              </w:rPr>
              <w:t>Uses embedding cosine similarity plus entity/keyword/co-occurrence logic to create relationship records; safe insertion is intended to prevent duplicate relations.</w:t>
            </w:r>
          </w:p>
        </w:tc>
      </w:tr>
      <w:tr>
        <w:tc>
          <w:tcPr>
            <w:tcW w:type="dxa" w:w="2304"/>
            <w:vAlign w:val="center"/>
            <w:tcMar>
              <w:top w:w="80" w:type="dxa"/>
              <w:start w:w="120" w:type="dxa"/>
              <w:bottom w:w="80" w:type="dxa"/>
              <w:end w:w="120" w:type="dxa"/>
            </w:tcMar>
          </w:tcPr>
          <w:p>
            <w:pPr>
              <w:spacing w:after="0" w:line="252" w:lineRule="auto"/>
            </w:pPr>
            <w:r/>
            <w:r>
              <w:rPr>
                <w:rFonts w:ascii="Calibri" w:hAnsi="Calibri"/>
                <w:b w:val="0"/>
                <w:sz w:val="17"/>
              </w:rPr>
              <w:t>cluster_nodes.py</w:t>
            </w:r>
          </w:p>
        </w:tc>
        <w:tc>
          <w:tcPr>
            <w:tcW w:type="dxa" w:w="7056"/>
            <w:vAlign w:val="center"/>
            <w:tcMar>
              <w:top w:w="80" w:type="dxa"/>
              <w:start w:w="120" w:type="dxa"/>
              <w:bottom w:w="80" w:type="dxa"/>
              <w:end w:w="120" w:type="dxa"/>
            </w:tcMar>
          </w:tcPr>
          <w:p>
            <w:pPr>
              <w:spacing w:after="0" w:line="252" w:lineRule="auto"/>
            </w:pPr>
            <w:r/>
            <w:r>
              <w:rPr>
                <w:rFonts w:ascii="Calibri" w:hAnsi="Calibri"/>
                <w:b w:val="0"/>
                <w:sz w:val="17"/>
              </w:rPr>
              <w:t>Fetches embeddings, derives clusters, writes cluster metadata; trend detector derives emergence signals from recent node populations.</w:t>
            </w:r>
          </w:p>
        </w:tc>
      </w:tr>
    </w:tbl>
    <w:p>
      <w:pPr>
        <w:spacing w:after="60"/>
      </w:pPr>
    </w:p>
    <w:p>
      <w:pPr>
        <w:pStyle w:val="Heading2"/>
      </w:pPr>
      <w:r>
        <w:t>6.3 Python script map</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3671"/>
            <w:shd w:fill="F2F4F7"/>
            <w:vAlign w:val="center"/>
            <w:tcMar>
              <w:top w:w="80" w:type="dxa"/>
              <w:start w:w="120" w:type="dxa"/>
              <w:bottom w:w="80" w:type="dxa"/>
              <w:end w:w="120" w:type="dxa"/>
            </w:tcMar>
          </w:tcPr>
          <w:p>
            <w:pPr>
              <w:spacing w:after="0" w:line="252" w:lineRule="auto"/>
            </w:pPr>
            <w:r/>
            <w:r>
              <w:rPr>
                <w:rFonts w:ascii="Calibri" w:hAnsi="Calibri"/>
                <w:b/>
                <w:sz w:val="18"/>
              </w:rPr>
              <w:t>Scripts</w:t>
            </w:r>
          </w:p>
        </w:tc>
        <w:tc>
          <w:tcPr>
            <w:tcW w:type="dxa" w:w="5688"/>
            <w:shd w:fill="F2F4F7"/>
            <w:vAlign w:val="center"/>
            <w:tcMar>
              <w:top w:w="80" w:type="dxa"/>
              <w:start w:w="120" w:type="dxa"/>
              <w:bottom w:w="80" w:type="dxa"/>
              <w:end w:w="120" w:type="dxa"/>
            </w:tcMar>
          </w:tcPr>
          <w:p>
            <w:pPr>
              <w:spacing w:after="0" w:line="252" w:lineRule="auto"/>
            </w:pPr>
            <w:r/>
            <w:r>
              <w:rPr>
                <w:rFonts w:ascii="Calibri" w:hAnsi="Calibri"/>
                <w:b/>
                <w:sz w:val="18"/>
              </w:rPr>
              <w:t>Purpose</w:t>
            </w:r>
          </w:p>
        </w:tc>
      </w:tr>
      <w:tr>
        <w:tc>
          <w:tcPr>
            <w:tcW w:type="dxa" w:w="3671"/>
            <w:vAlign w:val="center"/>
            <w:tcMar>
              <w:top w:w="80" w:type="dxa"/>
              <w:start w:w="120" w:type="dxa"/>
              <w:bottom w:w="80" w:type="dxa"/>
              <w:end w:w="120" w:type="dxa"/>
            </w:tcMar>
          </w:tcPr>
          <w:p>
            <w:pPr>
              <w:spacing w:after="0" w:line="252" w:lineRule="auto"/>
            </w:pPr>
            <w:r/>
            <w:r>
              <w:rPr>
                <w:rFonts w:ascii="Calibri" w:hAnsi="Calibri"/>
                <w:b w:val="0"/>
                <w:sz w:val="17"/>
              </w:rPr>
              <w:t>collect.py, process.py, db_client.py</w:t>
            </w:r>
          </w:p>
        </w:tc>
        <w:tc>
          <w:tcPr>
            <w:tcW w:type="dxa" w:w="5688"/>
            <w:vAlign w:val="center"/>
            <w:tcMar>
              <w:top w:w="80" w:type="dxa"/>
              <w:start w:w="120" w:type="dxa"/>
              <w:bottom w:w="80" w:type="dxa"/>
              <w:end w:w="120" w:type="dxa"/>
            </w:tcMar>
          </w:tcPr>
          <w:p>
            <w:pPr>
              <w:spacing w:after="0" w:line="252" w:lineRule="auto"/>
            </w:pPr>
            <w:r/>
            <w:r>
              <w:rPr>
                <w:rFonts w:ascii="Calibri" w:hAnsi="Calibri"/>
                <w:b w:val="0"/>
                <w:sz w:val="17"/>
              </w:rPr>
              <w:t>RSS/advisory collection; article extraction/classification/embedding; backend-neutral storage queue.</w:t>
            </w:r>
          </w:p>
        </w:tc>
      </w:tr>
      <w:tr>
        <w:tc>
          <w:tcPr>
            <w:tcW w:type="dxa" w:w="3671"/>
            <w:vAlign w:val="center"/>
            <w:tcMar>
              <w:top w:w="80" w:type="dxa"/>
              <w:start w:w="120" w:type="dxa"/>
              <w:bottom w:w="80" w:type="dxa"/>
              <w:end w:w="120" w:type="dxa"/>
            </w:tcMar>
          </w:tcPr>
          <w:p>
            <w:pPr>
              <w:spacing w:after="0" w:line="252" w:lineRule="auto"/>
            </w:pPr>
            <w:r/>
            <w:r>
              <w:rPr>
                <w:rFonts w:ascii="Calibri" w:hAnsi="Calibri"/>
                <w:b w:val="0"/>
                <w:sz w:val="17"/>
              </w:rPr>
              <w:t>relate.py, embed_nodes.py, cluster_nodes.py, trend_detector.py, pattern_report.py</w:t>
            </w:r>
          </w:p>
        </w:tc>
        <w:tc>
          <w:tcPr>
            <w:tcW w:type="dxa" w:w="5688"/>
            <w:vAlign w:val="center"/>
            <w:tcMar>
              <w:top w:w="80" w:type="dxa"/>
              <w:start w:w="120" w:type="dxa"/>
              <w:bottom w:w="80" w:type="dxa"/>
              <w:end w:w="120" w:type="dxa"/>
            </w:tcMar>
          </w:tcPr>
          <w:p>
            <w:pPr>
              <w:spacing w:after="0" w:line="252" w:lineRule="auto"/>
            </w:pPr>
            <w:r/>
            <w:r>
              <w:rPr>
                <w:rFonts w:ascii="Calibri" w:hAnsi="Calibri"/>
                <w:b w:val="0"/>
                <w:sz w:val="17"/>
              </w:rPr>
              <w:t>Graph connections, vector backfill, clustering, trend records, and cluster summary report.</w:t>
            </w:r>
          </w:p>
        </w:tc>
      </w:tr>
      <w:tr>
        <w:tc>
          <w:tcPr>
            <w:tcW w:type="dxa" w:w="3671"/>
            <w:vAlign w:val="center"/>
            <w:tcMar>
              <w:top w:w="80" w:type="dxa"/>
              <w:start w:w="120" w:type="dxa"/>
              <w:bottom w:w="80" w:type="dxa"/>
              <w:end w:w="120" w:type="dxa"/>
            </w:tcMar>
          </w:tcPr>
          <w:p>
            <w:pPr>
              <w:spacing w:after="0" w:line="252" w:lineRule="auto"/>
            </w:pPr>
            <w:r/>
            <w:r>
              <w:rPr>
                <w:rFonts w:ascii="Calibri" w:hAnsi="Calibri"/>
                <w:b w:val="0"/>
                <w:sz w:val="17"/>
              </w:rPr>
              <w:t>hypothesis_engine.py, evidence_linker.py, learning_engine.py, model_updater.py</w:t>
            </w:r>
          </w:p>
        </w:tc>
        <w:tc>
          <w:tcPr>
            <w:tcW w:type="dxa" w:w="5688"/>
            <w:vAlign w:val="center"/>
            <w:tcMar>
              <w:top w:w="80" w:type="dxa"/>
              <w:start w:w="120" w:type="dxa"/>
              <w:bottom w:w="80" w:type="dxa"/>
              <w:end w:w="120" w:type="dxa"/>
            </w:tcMar>
          </w:tcPr>
          <w:p>
            <w:pPr>
              <w:spacing w:after="0" w:line="252" w:lineRule="auto"/>
            </w:pPr>
            <w:r/>
            <w:r>
              <w:rPr>
                <w:rFonts w:ascii="Calibri" w:hAnsi="Calibri"/>
                <w:b w:val="0"/>
                <w:sz w:val="17"/>
              </w:rPr>
              <w:t>LLM-guided predictions, evidence scoring, metrics/confidence adjustment, retraining and optional GitHub model update.</w:t>
            </w:r>
          </w:p>
        </w:tc>
      </w:tr>
      <w:tr>
        <w:tc>
          <w:tcPr>
            <w:tcW w:type="dxa" w:w="3671"/>
            <w:vAlign w:val="center"/>
            <w:tcMar>
              <w:top w:w="80" w:type="dxa"/>
              <w:start w:w="120" w:type="dxa"/>
              <w:bottom w:w="80" w:type="dxa"/>
              <w:end w:w="120" w:type="dxa"/>
            </w:tcMar>
          </w:tcPr>
          <w:p>
            <w:pPr>
              <w:spacing w:after="0" w:line="252" w:lineRule="auto"/>
            </w:pPr>
            <w:r/>
            <w:r>
              <w:rPr>
                <w:rFonts w:ascii="Calibri" w:hAnsi="Calibri"/>
                <w:b w:val="0"/>
                <w:sz w:val="17"/>
              </w:rPr>
              <w:t>source_discoverer.py, dead_source_detector.py, knowledge_healer.py, maintain.py, monitor.py, backup.py</w:t>
            </w:r>
          </w:p>
        </w:tc>
        <w:tc>
          <w:tcPr>
            <w:tcW w:type="dxa" w:w="5688"/>
            <w:vAlign w:val="center"/>
            <w:tcMar>
              <w:top w:w="80" w:type="dxa"/>
              <w:start w:w="120" w:type="dxa"/>
              <w:bottom w:w="80" w:type="dxa"/>
              <w:end w:w="120" w:type="dxa"/>
            </w:tcMar>
          </w:tcPr>
          <w:p>
            <w:pPr>
              <w:spacing w:after="0" w:line="252" w:lineRule="auto"/>
            </w:pPr>
            <w:r/>
            <w:r>
              <w:rPr>
                <w:rFonts w:ascii="Calibri" w:hAnsi="Calibri"/>
                <w:b w:val="0"/>
                <w:sz w:val="17"/>
              </w:rPr>
              <w:t>Source lifecycle, graph repair, archival maintenance, health monitoring, and backup release output.</w:t>
            </w:r>
          </w:p>
        </w:tc>
      </w:tr>
      <w:tr>
        <w:tc>
          <w:tcPr>
            <w:tcW w:type="dxa" w:w="3671"/>
            <w:vAlign w:val="center"/>
            <w:tcMar>
              <w:top w:w="80" w:type="dxa"/>
              <w:start w:w="120" w:type="dxa"/>
              <w:bottom w:w="80" w:type="dxa"/>
              <w:end w:w="120" w:type="dxa"/>
            </w:tcMar>
          </w:tcPr>
          <w:p>
            <w:pPr>
              <w:spacing w:after="0" w:line="252" w:lineRule="auto"/>
            </w:pPr>
            <w:r/>
            <w:r>
              <w:rPr>
                <w:rFonts w:ascii="Calibri" w:hAnsi="Calibri"/>
                <w:b w:val="0"/>
                <w:sz w:val="17"/>
              </w:rPr>
              <w:t>ingest_nvd.py, ingest_mitre.py, ingest_cwe.py, ingest_capec.py, ingest_cisa.py</w:t>
            </w:r>
          </w:p>
        </w:tc>
        <w:tc>
          <w:tcPr>
            <w:tcW w:type="dxa" w:w="5688"/>
            <w:vAlign w:val="center"/>
            <w:tcMar>
              <w:top w:w="80" w:type="dxa"/>
              <w:start w:w="120" w:type="dxa"/>
              <w:bottom w:w="80" w:type="dxa"/>
              <w:end w:w="120" w:type="dxa"/>
            </w:tcMar>
          </w:tcPr>
          <w:p>
            <w:pPr>
              <w:spacing w:after="0" w:line="252" w:lineRule="auto"/>
            </w:pPr>
            <w:r/>
            <w:r>
              <w:rPr>
                <w:rFonts w:ascii="Calibri" w:hAnsi="Calibri"/>
                <w:b w:val="0"/>
                <w:sz w:val="17"/>
              </w:rPr>
              <w:t>Structured external knowledge ingestion; some retain mock fallback generators.</w:t>
            </w:r>
          </w:p>
        </w:tc>
      </w:tr>
      <w:tr>
        <w:tc>
          <w:tcPr>
            <w:tcW w:type="dxa" w:w="3671"/>
            <w:vAlign w:val="center"/>
            <w:tcMar>
              <w:top w:w="80" w:type="dxa"/>
              <w:start w:w="120" w:type="dxa"/>
              <w:bottom w:w="80" w:type="dxa"/>
              <w:end w:w="120" w:type="dxa"/>
            </w:tcMar>
          </w:tcPr>
          <w:p>
            <w:pPr>
              <w:spacing w:after="0" w:line="252" w:lineRule="auto"/>
            </w:pPr>
            <w:r/>
            <w:r>
              <w:rPr>
                <w:rFonts w:ascii="Calibri" w:hAnsi="Calibri"/>
                <w:b w:val="0"/>
                <w:sz w:val="17"/>
              </w:rPr>
              <w:t>export_training_data.py, train_classifier.py, relabel_and_train.py, classify.py, research_assistant.py, test_tech.py</w:t>
            </w:r>
          </w:p>
        </w:tc>
        <w:tc>
          <w:tcPr>
            <w:tcW w:type="dxa" w:w="5688"/>
            <w:vAlign w:val="center"/>
            <w:tcMar>
              <w:top w:w="80" w:type="dxa"/>
              <w:start w:w="120" w:type="dxa"/>
              <w:bottom w:w="80" w:type="dxa"/>
              <w:end w:w="120" w:type="dxa"/>
            </w:tcMar>
          </w:tcPr>
          <w:p>
            <w:pPr>
              <w:spacing w:after="0" w:line="252" w:lineRule="auto"/>
            </w:pPr>
            <w:r/>
            <w:r>
              <w:rPr>
                <w:rFonts w:ascii="Calibri" w:hAnsi="Calibri"/>
                <w:b w:val="0"/>
                <w:sz w:val="17"/>
              </w:rPr>
              <w:t>Training-data extraction, classifier build/relabeling, CLI inference/research, and diagnostics.</w:t>
            </w:r>
          </w:p>
        </w:tc>
      </w:tr>
    </w:tbl>
    <w:p>
      <w:pPr>
        <w:spacing w:after="60"/>
      </w:pPr>
    </w:p>
    <w:p>
      <w:pPr>
        <w:pStyle w:val="Heading1"/>
      </w:pPr>
      <w:r>
        <w:t>7. Database Analysis</w:t>
      </w:r>
    </w:p>
    <w:p>
      <w:pPr>
        <w:spacing w:after="160"/>
      </w:pPr>
      <w:r>
        <w:rPr>
          <w:i w:val="0"/>
        </w:rPr>
        <w:t>The primary schema defines raw_sources, nodes, relationships, sources, predictions, job_logs, and trends. The application also reads learning_metrics and some scripts call `update_node_metadata_batch`; neither is defined in `schema.sql` or `supabase_setup.sql`, so deployments need additional migrations not included in the repository. This is a documentation and reproducibility gap.</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160"/>
            <w:shd w:fill="F2F4F7"/>
            <w:vAlign w:val="center"/>
            <w:tcMar>
              <w:top w:w="80" w:type="dxa"/>
              <w:start w:w="120" w:type="dxa"/>
              <w:bottom w:w="80" w:type="dxa"/>
              <w:end w:w="120" w:type="dxa"/>
            </w:tcMar>
          </w:tcPr>
          <w:p>
            <w:pPr>
              <w:spacing w:after="0" w:line="252" w:lineRule="auto"/>
            </w:pPr>
            <w:r/>
            <w:r>
              <w:rPr>
                <w:rFonts w:ascii="Calibri" w:hAnsi="Calibri"/>
                <w:b/>
                <w:sz w:val="18"/>
              </w:rPr>
              <w:t>Table</w:t>
            </w:r>
          </w:p>
        </w:tc>
        <w:tc>
          <w:tcPr>
            <w:tcW w:type="dxa" w:w="7200"/>
            <w:shd w:fill="F2F4F7"/>
            <w:vAlign w:val="center"/>
            <w:tcMar>
              <w:top w:w="80" w:type="dxa"/>
              <w:start w:w="120" w:type="dxa"/>
              <w:bottom w:w="80" w:type="dxa"/>
              <w:end w:w="120" w:type="dxa"/>
            </w:tcMar>
          </w:tcPr>
          <w:p>
            <w:pPr>
              <w:spacing w:after="0" w:line="252" w:lineRule="auto"/>
            </w:pPr>
            <w:r/>
            <w:r>
              <w:rPr>
                <w:rFonts w:ascii="Calibri" w:hAnsi="Calibri"/>
                <w:b/>
                <w:sz w:val="18"/>
              </w:rPr>
              <w:t>Lifecycle / relationships</w:t>
            </w:r>
          </w:p>
        </w:tc>
      </w:tr>
      <w:tr>
        <w:tc>
          <w:tcPr>
            <w:tcW w:type="dxa" w:w="2160"/>
            <w:vAlign w:val="center"/>
            <w:tcMar>
              <w:top w:w="80" w:type="dxa"/>
              <w:start w:w="120" w:type="dxa"/>
              <w:bottom w:w="80" w:type="dxa"/>
              <w:end w:w="120" w:type="dxa"/>
            </w:tcMar>
          </w:tcPr>
          <w:p>
            <w:pPr>
              <w:spacing w:after="0" w:line="252" w:lineRule="auto"/>
            </w:pPr>
            <w:r/>
            <w:r>
              <w:rPr>
                <w:rFonts w:ascii="Calibri" w:hAnsi="Calibri"/>
                <w:b w:val="0"/>
                <w:sz w:val="17"/>
              </w:rPr>
              <w:t>raw_sources</w:t>
            </w:r>
          </w:p>
        </w:tc>
        <w:tc>
          <w:tcPr>
            <w:tcW w:type="dxa" w:w="7200"/>
            <w:vAlign w:val="center"/>
            <w:tcMar>
              <w:top w:w="80" w:type="dxa"/>
              <w:start w:w="120" w:type="dxa"/>
              <w:bottom w:w="80" w:type="dxa"/>
              <w:end w:w="120" w:type="dxa"/>
            </w:tcMar>
          </w:tcPr>
          <w:p>
            <w:pPr>
              <w:spacing w:after="0" w:line="252" w:lineRule="auto"/>
            </w:pPr>
            <w:r/>
            <w:r>
              <w:rPr>
                <w:rFonts w:ascii="Calibri" w:hAnsi="Calibri"/>
                <w:b w:val="0"/>
                <w:sz w:val="17"/>
              </w:rPr>
              <w:t>Append collection payload; checksum prevents duplicates; process state and errors are retained.</w:t>
            </w:r>
          </w:p>
        </w:tc>
      </w:tr>
      <w:tr>
        <w:tc>
          <w:tcPr>
            <w:tcW w:type="dxa" w:w="2160"/>
            <w:vAlign w:val="center"/>
            <w:tcMar>
              <w:top w:w="80" w:type="dxa"/>
              <w:start w:w="120" w:type="dxa"/>
              <w:bottom w:w="80" w:type="dxa"/>
              <w:end w:w="120" w:type="dxa"/>
            </w:tcMar>
          </w:tcPr>
          <w:p>
            <w:pPr>
              <w:spacing w:after="0" w:line="252" w:lineRule="auto"/>
            </w:pPr>
            <w:r/>
            <w:r>
              <w:rPr>
                <w:rFonts w:ascii="Calibri" w:hAnsi="Calibri"/>
                <w:b w:val="0"/>
                <w:sz w:val="17"/>
              </w:rPr>
              <w:t>nodes</w:t>
            </w:r>
          </w:p>
        </w:tc>
        <w:tc>
          <w:tcPr>
            <w:tcW w:type="dxa" w:w="7200"/>
            <w:vAlign w:val="center"/>
            <w:tcMar>
              <w:top w:w="80" w:type="dxa"/>
              <w:start w:w="120" w:type="dxa"/>
              <w:bottom w:w="80" w:type="dxa"/>
              <w:end w:w="120" w:type="dxa"/>
            </w:tcMar>
          </w:tcPr>
          <w:p>
            <w:pPr>
              <w:spacing w:after="0" w:line="252" w:lineRule="auto"/>
            </w:pPr>
            <w:r/>
            <w:r>
              <w:rPr>
                <w:rFonts w:ascii="Calibri" w:hAnsi="Calibri"/>
                <w:b w:val="0"/>
                <w:sz w:val="17"/>
              </w:rPr>
              <w:t>Canonical typed knowledge objects. Supports tags, confidence, source provenance, external IDs, JSON metadata and 384-d vectors.</w:t>
            </w:r>
          </w:p>
        </w:tc>
      </w:tr>
      <w:tr>
        <w:tc>
          <w:tcPr>
            <w:tcW w:type="dxa" w:w="2160"/>
            <w:vAlign w:val="center"/>
            <w:tcMar>
              <w:top w:w="80" w:type="dxa"/>
              <w:start w:w="120" w:type="dxa"/>
              <w:bottom w:w="80" w:type="dxa"/>
              <w:end w:w="120" w:type="dxa"/>
            </w:tcMar>
          </w:tcPr>
          <w:p>
            <w:pPr>
              <w:spacing w:after="0" w:line="252" w:lineRule="auto"/>
            </w:pPr>
            <w:r/>
            <w:r>
              <w:rPr>
                <w:rFonts w:ascii="Calibri" w:hAnsi="Calibri"/>
                <w:b w:val="0"/>
                <w:sz w:val="17"/>
              </w:rPr>
              <w:t>relationships</w:t>
            </w:r>
          </w:p>
        </w:tc>
        <w:tc>
          <w:tcPr>
            <w:tcW w:type="dxa" w:w="7200"/>
            <w:vAlign w:val="center"/>
            <w:tcMar>
              <w:top w:w="80" w:type="dxa"/>
              <w:start w:w="120" w:type="dxa"/>
              <w:bottom w:w="80" w:type="dxa"/>
              <w:end w:w="120" w:type="dxa"/>
            </w:tcMar>
          </w:tcPr>
          <w:p>
            <w:pPr>
              <w:spacing w:after="0" w:line="252" w:lineRule="auto"/>
            </w:pPr>
            <w:r/>
            <w:r>
              <w:rPr>
                <w:rFonts w:ascii="Calibri" w:hAnsi="Calibri"/>
                <w:b w:val="0"/>
                <w:sz w:val="17"/>
              </w:rPr>
              <w:t>Directed node-to-node edges with relation label, confidence, evidence, cascade delete foreign keys.</w:t>
            </w:r>
          </w:p>
        </w:tc>
      </w:tr>
      <w:tr>
        <w:tc>
          <w:tcPr>
            <w:tcW w:type="dxa" w:w="2160"/>
            <w:vAlign w:val="center"/>
            <w:tcMar>
              <w:top w:w="80" w:type="dxa"/>
              <w:start w:w="120" w:type="dxa"/>
              <w:bottom w:w="80" w:type="dxa"/>
              <w:end w:w="120" w:type="dxa"/>
            </w:tcMar>
          </w:tcPr>
          <w:p>
            <w:pPr>
              <w:spacing w:after="0" w:line="252" w:lineRule="auto"/>
            </w:pPr>
            <w:r/>
            <w:r>
              <w:rPr>
                <w:rFonts w:ascii="Calibri" w:hAnsi="Calibri"/>
                <w:b w:val="0"/>
                <w:sz w:val="17"/>
              </w:rPr>
              <w:t>sources</w:t>
            </w:r>
          </w:p>
        </w:tc>
        <w:tc>
          <w:tcPr>
            <w:tcW w:type="dxa" w:w="7200"/>
            <w:vAlign w:val="center"/>
            <w:tcMar>
              <w:top w:w="80" w:type="dxa"/>
              <w:start w:w="120" w:type="dxa"/>
              <w:bottom w:w="80" w:type="dxa"/>
              <w:end w:w="120" w:type="dxa"/>
            </w:tcMar>
          </w:tcPr>
          <w:p>
            <w:pPr>
              <w:spacing w:after="0" w:line="252" w:lineRule="auto"/>
            </w:pPr>
            <w:r/>
            <w:r>
              <w:rPr>
                <w:rFonts w:ascii="Calibri" w:hAnsi="Calibri"/>
                <w:b w:val="0"/>
                <w:sz w:val="17"/>
              </w:rPr>
              <w:t>Feed registry with reliability/activity/last-check status.</w:t>
            </w:r>
          </w:p>
        </w:tc>
      </w:tr>
      <w:tr>
        <w:tc>
          <w:tcPr>
            <w:tcW w:type="dxa" w:w="2160"/>
            <w:vAlign w:val="center"/>
            <w:tcMar>
              <w:top w:w="80" w:type="dxa"/>
              <w:start w:w="120" w:type="dxa"/>
              <w:bottom w:w="80" w:type="dxa"/>
              <w:end w:w="120" w:type="dxa"/>
            </w:tcMar>
          </w:tcPr>
          <w:p>
            <w:pPr>
              <w:spacing w:after="0" w:line="252" w:lineRule="auto"/>
            </w:pPr>
            <w:r/>
            <w:r>
              <w:rPr>
                <w:rFonts w:ascii="Calibri" w:hAnsi="Calibri"/>
                <w:b w:val="0"/>
                <w:sz w:val="17"/>
              </w:rPr>
              <w:t>predictions</w:t>
            </w:r>
          </w:p>
        </w:tc>
        <w:tc>
          <w:tcPr>
            <w:tcW w:type="dxa" w:w="7200"/>
            <w:vAlign w:val="center"/>
            <w:tcMar>
              <w:top w:w="80" w:type="dxa"/>
              <w:start w:w="120" w:type="dxa"/>
              <w:bottom w:w="80" w:type="dxa"/>
              <w:end w:w="120" w:type="dxa"/>
            </w:tcMar>
          </w:tcPr>
          <w:p>
            <w:pPr>
              <w:spacing w:after="0" w:line="252" w:lineRule="auto"/>
            </w:pPr>
            <w:r/>
            <w:r>
              <w:rPr>
                <w:rFonts w:ascii="Calibri" w:hAnsi="Calibri"/>
                <w:b w:val="0"/>
                <w:sz w:val="17"/>
              </w:rPr>
              <w:t>Hypotheses with related node IDs, evidence arrays, confidence, state and metadata.</w:t>
            </w:r>
          </w:p>
        </w:tc>
      </w:tr>
      <w:tr>
        <w:tc>
          <w:tcPr>
            <w:tcW w:type="dxa" w:w="2160"/>
            <w:vAlign w:val="center"/>
            <w:tcMar>
              <w:top w:w="80" w:type="dxa"/>
              <w:start w:w="120" w:type="dxa"/>
              <w:bottom w:w="80" w:type="dxa"/>
              <w:end w:w="120" w:type="dxa"/>
            </w:tcMar>
          </w:tcPr>
          <w:p>
            <w:pPr>
              <w:spacing w:after="0" w:line="252" w:lineRule="auto"/>
            </w:pPr>
            <w:r/>
            <w:r>
              <w:rPr>
                <w:rFonts w:ascii="Calibri" w:hAnsi="Calibri"/>
                <w:b w:val="0"/>
                <w:sz w:val="17"/>
              </w:rPr>
              <w:t>job_logs</w:t>
            </w:r>
          </w:p>
        </w:tc>
        <w:tc>
          <w:tcPr>
            <w:tcW w:type="dxa" w:w="7200"/>
            <w:vAlign w:val="center"/>
            <w:tcMar>
              <w:top w:w="80" w:type="dxa"/>
              <w:start w:w="120" w:type="dxa"/>
              <w:bottom w:w="80" w:type="dxa"/>
              <w:end w:w="120" w:type="dxa"/>
            </w:tcMar>
          </w:tcPr>
          <w:p>
            <w:pPr>
              <w:spacing w:after="0" w:line="252" w:lineRule="auto"/>
            </w:pPr>
            <w:r/>
            <w:r>
              <w:rPr>
                <w:rFonts w:ascii="Calibri" w:hAnsi="Calibri"/>
                <w:b w:val="0"/>
                <w:sz w:val="17"/>
              </w:rPr>
              <w:t>Start/finish/status/row counts/errors used by health UI and monitor.</w:t>
            </w:r>
          </w:p>
        </w:tc>
      </w:tr>
      <w:tr>
        <w:tc>
          <w:tcPr>
            <w:tcW w:type="dxa" w:w="2160"/>
            <w:vAlign w:val="center"/>
            <w:tcMar>
              <w:top w:w="80" w:type="dxa"/>
              <w:start w:w="120" w:type="dxa"/>
              <w:bottom w:w="80" w:type="dxa"/>
              <w:end w:w="120" w:type="dxa"/>
            </w:tcMar>
          </w:tcPr>
          <w:p>
            <w:pPr>
              <w:spacing w:after="0" w:line="252" w:lineRule="auto"/>
            </w:pPr>
            <w:r/>
            <w:r>
              <w:rPr>
                <w:rFonts w:ascii="Calibri" w:hAnsi="Calibri"/>
                <w:b w:val="0"/>
                <w:sz w:val="17"/>
              </w:rPr>
              <w:t>trends</w:t>
            </w:r>
          </w:p>
        </w:tc>
        <w:tc>
          <w:tcPr>
            <w:tcW w:type="dxa" w:w="7200"/>
            <w:vAlign w:val="center"/>
            <w:tcMar>
              <w:top w:w="80" w:type="dxa"/>
              <w:start w:w="120" w:type="dxa"/>
              <w:bottom w:w="80" w:type="dxa"/>
              <w:end w:w="120" w:type="dxa"/>
            </w:tcMar>
          </w:tcPr>
          <w:p>
            <w:pPr>
              <w:spacing w:after="0" w:line="252" w:lineRule="auto"/>
            </w:pPr>
            <w:r/>
            <w:r>
              <w:rPr>
                <w:rFonts w:ascii="Calibri" w:hAnsi="Calibri"/>
                <w:b w:val="0"/>
                <w:sz w:val="17"/>
              </w:rPr>
              <w:t>Cluster/trend/summary records with supporting node IDs and metadata.</w:t>
            </w:r>
          </w:p>
        </w:tc>
      </w:tr>
      <w:tr>
        <w:tc>
          <w:tcPr>
            <w:tcW w:type="dxa" w:w="2160"/>
            <w:vAlign w:val="center"/>
            <w:tcMar>
              <w:top w:w="80" w:type="dxa"/>
              <w:start w:w="120" w:type="dxa"/>
              <w:bottom w:w="80" w:type="dxa"/>
              <w:end w:w="120" w:type="dxa"/>
            </w:tcMar>
          </w:tcPr>
          <w:p>
            <w:pPr>
              <w:spacing w:after="0" w:line="252" w:lineRule="auto"/>
            </w:pPr>
            <w:r/>
            <w:r>
              <w:rPr>
                <w:rFonts w:ascii="Calibri" w:hAnsi="Calibri"/>
                <w:b w:val="0"/>
                <w:sz w:val="17"/>
              </w:rPr>
              <w:t>learning_metrics (used, not migrated here)</w:t>
            </w:r>
          </w:p>
        </w:tc>
        <w:tc>
          <w:tcPr>
            <w:tcW w:type="dxa" w:w="7200"/>
            <w:vAlign w:val="center"/>
            <w:tcMar>
              <w:top w:w="80" w:type="dxa"/>
              <w:start w:w="120" w:type="dxa"/>
              <w:bottom w:w="80" w:type="dxa"/>
              <w:end w:w="120" w:type="dxa"/>
            </w:tcMar>
          </w:tcPr>
          <w:p>
            <w:pPr>
              <w:spacing w:after="0" w:line="252" w:lineRule="auto"/>
            </w:pPr>
            <w:r/>
            <w:r>
              <w:rPr>
                <w:rFonts w:ascii="Calibri" w:hAnsi="Calibri"/>
                <w:b w:val="0"/>
                <w:sz w:val="17"/>
              </w:rPr>
              <w:t>Accuracy, confirmation and model-retraining history read by Intelligence UI.</w:t>
            </w:r>
          </w:p>
        </w:tc>
      </w:tr>
    </w:tbl>
    <w:p>
      <w:pPr>
        <w:spacing w:after="60"/>
      </w:pPr>
    </w:p>
    <w:p>
      <w:pPr>
        <w:spacing w:after="160"/>
      </w:pPr>
      <w:r>
        <w:rPr>
          <w:i w:val="0"/>
        </w:rPr>
        <w:t>Indexes cover raw-source checksum and work queue, node type/external ID/FTS, relationship endpoints/pairs, sources URL, job log ordering, trends, and predictions. The `match_nodes` RPC exposes cosine distance over pgvector(384), filtering optional node type and applying a threshold.</w:t>
      </w:r>
    </w:p>
    <w:p>
      <w:pPr>
        <w:pStyle w:val="Heading1"/>
      </w:pPr>
      <w:r>
        <w:t>8. API Analysis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088"/>
            <w:shd w:fill="F2F4F7"/>
            <w:vAlign w:val="center"/>
            <w:tcMar>
              <w:top w:w="80" w:type="dxa"/>
              <w:start w:w="120" w:type="dxa"/>
              <w:bottom w:w="80" w:type="dxa"/>
              <w:end w:w="120" w:type="dxa"/>
            </w:tcMar>
          </w:tcPr>
          <w:p>
            <w:pPr>
              <w:spacing w:after="0" w:line="252" w:lineRule="auto"/>
            </w:pPr>
            <w:r/>
            <w:r>
              <w:rPr>
                <w:rFonts w:ascii="Calibri" w:hAnsi="Calibri"/>
                <w:b/>
                <w:sz w:val="18"/>
              </w:rPr>
              <w:t>Endpoint</w:t>
            </w:r>
          </w:p>
        </w:tc>
        <w:tc>
          <w:tcPr>
            <w:tcW w:type="dxa" w:w="1440"/>
            <w:shd w:fill="F2F4F7"/>
            <w:vAlign w:val="center"/>
            <w:tcMar>
              <w:top w:w="80" w:type="dxa"/>
              <w:start w:w="120" w:type="dxa"/>
              <w:bottom w:w="80" w:type="dxa"/>
              <w:end w:w="120" w:type="dxa"/>
            </w:tcMar>
          </w:tcPr>
          <w:p>
            <w:pPr>
              <w:spacing w:after="0" w:line="252" w:lineRule="auto"/>
            </w:pPr>
            <w:r/>
            <w:r>
              <w:rPr>
                <w:rFonts w:ascii="Calibri" w:hAnsi="Calibri"/>
                <w:b/>
                <w:sz w:val="18"/>
              </w:rPr>
              <w:t>Method</w:t>
            </w:r>
          </w:p>
        </w:tc>
        <w:tc>
          <w:tcPr>
            <w:tcW w:type="dxa" w:w="4031"/>
            <w:shd w:fill="F2F4F7"/>
            <w:vAlign w:val="center"/>
            <w:tcMar>
              <w:top w:w="80" w:type="dxa"/>
              <w:start w:w="120" w:type="dxa"/>
              <w:bottom w:w="80" w:type="dxa"/>
              <w:end w:w="120" w:type="dxa"/>
            </w:tcMar>
          </w:tcPr>
          <w:p>
            <w:pPr>
              <w:spacing w:after="0" w:line="252" w:lineRule="auto"/>
            </w:pPr>
            <w:r/>
            <w:r>
              <w:rPr>
                <w:rFonts w:ascii="Calibri" w:hAnsi="Calibri"/>
                <w:b/>
                <w:sz w:val="18"/>
              </w:rPr>
              <w:t>Input / workflow</w:t>
            </w:r>
          </w:p>
        </w:tc>
        <w:tc>
          <w:tcPr>
            <w:tcW w:type="dxa" w:w="1800"/>
            <w:shd w:fill="F2F4F7"/>
            <w:vAlign w:val="center"/>
            <w:tcMar>
              <w:top w:w="80" w:type="dxa"/>
              <w:start w:w="120" w:type="dxa"/>
              <w:bottom w:w="80" w:type="dxa"/>
              <w:end w:w="120" w:type="dxa"/>
            </w:tcMar>
          </w:tcPr>
          <w:p>
            <w:pPr>
              <w:spacing w:after="0" w:line="252" w:lineRule="auto"/>
            </w:pPr>
            <w:r/>
            <w:r>
              <w:rPr>
                <w:rFonts w:ascii="Calibri" w:hAnsi="Calibri"/>
                <w:b/>
                <w:sz w:val="18"/>
              </w:rPr>
              <w:t>Auth / response</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7"/>
              </w:rPr>
              <w:t>/api/classify</w:t>
            </w:r>
          </w:p>
        </w:tc>
        <w:tc>
          <w:tcPr>
            <w:tcW w:type="dxa" w:w="1440"/>
            <w:vAlign w:val="center"/>
            <w:tcMar>
              <w:top w:w="80" w:type="dxa"/>
              <w:start w:w="120" w:type="dxa"/>
              <w:bottom w:w="80" w:type="dxa"/>
              <w:end w:w="120" w:type="dxa"/>
            </w:tcMar>
          </w:tcPr>
          <w:p>
            <w:pPr>
              <w:spacing w:after="0" w:line="252" w:lineRule="auto"/>
            </w:pPr>
            <w:r/>
            <w:r>
              <w:rPr>
                <w:rFonts w:ascii="Calibri" w:hAnsi="Calibri"/>
                <w:b w:val="0"/>
                <w:sz w:val="17"/>
              </w:rPr>
              <w:t>POST</w:t>
            </w:r>
          </w:p>
        </w:tc>
        <w:tc>
          <w:tcPr>
            <w:tcW w:type="dxa" w:w="4031"/>
            <w:vAlign w:val="center"/>
            <w:tcMar>
              <w:top w:w="80" w:type="dxa"/>
              <w:start w:w="120" w:type="dxa"/>
              <w:bottom w:w="80" w:type="dxa"/>
              <w:end w:w="120" w:type="dxa"/>
            </w:tcMar>
          </w:tcPr>
          <w:p>
            <w:pPr>
              <w:spacing w:after="0" w:line="252" w:lineRule="auto"/>
            </w:pPr>
            <w:r/>
            <w:r>
              <w:rPr>
                <w:rFonts w:ascii="Calibri" w:hAnsi="Calibri"/>
                <w:b w:val="0"/>
                <w:sz w:val="17"/>
              </w:rPr>
              <w:t>JSON `{text}` or raw body -&gt; classifier</w:t>
            </w:r>
          </w:p>
        </w:tc>
        <w:tc>
          <w:tcPr>
            <w:tcW w:type="dxa" w:w="1800"/>
            <w:vAlign w:val="center"/>
            <w:tcMar>
              <w:top w:w="80" w:type="dxa"/>
              <w:start w:w="120" w:type="dxa"/>
              <w:bottom w:w="80" w:type="dxa"/>
              <w:end w:w="120" w:type="dxa"/>
            </w:tcMar>
          </w:tcPr>
          <w:p>
            <w:pPr>
              <w:spacing w:after="0" w:line="252" w:lineRule="auto"/>
            </w:pPr>
            <w:r/>
            <w:r>
              <w:rPr>
                <w:rFonts w:ascii="Calibri" w:hAnsi="Calibri"/>
                <w:b w:val="0"/>
                <w:sz w:val="17"/>
              </w:rPr>
              <w:t>None; 400 blank, prediction JSON</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7"/>
              </w:rPr>
              <w:t>/api/nodes</w:t>
            </w:r>
          </w:p>
        </w:tc>
        <w:tc>
          <w:tcPr>
            <w:tcW w:type="dxa" w:w="1440"/>
            <w:vAlign w:val="center"/>
            <w:tcMar>
              <w:top w:w="80" w:type="dxa"/>
              <w:start w:w="120" w:type="dxa"/>
              <w:bottom w:w="80" w:type="dxa"/>
              <w:end w:w="120" w:type="dxa"/>
            </w:tcMar>
          </w:tcPr>
          <w:p>
            <w:pPr>
              <w:spacing w:after="0" w:line="252" w:lineRule="auto"/>
            </w:pPr>
            <w:r/>
            <w:r>
              <w:rPr>
                <w:rFonts w:ascii="Calibri" w:hAnsi="Calibri"/>
                <w:b w:val="0"/>
                <w:sz w:val="17"/>
              </w:rPr>
              <w:t>GET</w:t>
            </w:r>
          </w:p>
        </w:tc>
        <w:tc>
          <w:tcPr>
            <w:tcW w:type="dxa" w:w="4031"/>
            <w:vAlign w:val="center"/>
            <w:tcMar>
              <w:top w:w="80" w:type="dxa"/>
              <w:start w:w="120" w:type="dxa"/>
              <w:bottom w:w="80" w:type="dxa"/>
              <w:end w:w="120" w:type="dxa"/>
            </w:tcMar>
          </w:tcPr>
          <w:p>
            <w:pPr>
              <w:spacing w:after="0" w:line="252" w:lineRule="auto"/>
            </w:pPr>
            <w:r/>
            <w:r>
              <w:rPr>
                <w:rFonts w:ascii="Calibri" w:hAnsi="Calibri"/>
                <w:b w:val="0"/>
                <w:sz w:val="17"/>
              </w:rPr>
              <w:t>type/search/tag/semantic/limit/offset/threshold -&gt; db query</w:t>
            </w:r>
          </w:p>
        </w:tc>
        <w:tc>
          <w:tcPr>
            <w:tcW w:type="dxa" w:w="1800"/>
            <w:vAlign w:val="center"/>
            <w:tcMar>
              <w:top w:w="80" w:type="dxa"/>
              <w:start w:w="120" w:type="dxa"/>
              <w:bottom w:w="80" w:type="dxa"/>
              <w:end w:w="120" w:type="dxa"/>
            </w:tcMar>
          </w:tcPr>
          <w:p>
            <w:pPr>
              <w:spacing w:after="0" w:line="252" w:lineRule="auto"/>
            </w:pPr>
            <w:r/>
            <w:r>
              <w:rPr>
                <w:rFonts w:ascii="Calibri" w:hAnsi="Calibri"/>
                <w:b w:val="0"/>
                <w:sz w:val="17"/>
              </w:rPr>
              <w:t>None; node list</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7"/>
              </w:rPr>
              <w:t>/api/nodes/[id]</w:t>
            </w:r>
          </w:p>
        </w:tc>
        <w:tc>
          <w:tcPr>
            <w:tcW w:type="dxa" w:w="1440"/>
            <w:vAlign w:val="center"/>
            <w:tcMar>
              <w:top w:w="80" w:type="dxa"/>
              <w:start w:w="120" w:type="dxa"/>
              <w:bottom w:w="80" w:type="dxa"/>
              <w:end w:w="120" w:type="dxa"/>
            </w:tcMar>
          </w:tcPr>
          <w:p>
            <w:pPr>
              <w:spacing w:after="0" w:line="252" w:lineRule="auto"/>
            </w:pPr>
            <w:r/>
            <w:r>
              <w:rPr>
                <w:rFonts w:ascii="Calibri" w:hAnsi="Calibri"/>
                <w:b w:val="0"/>
                <w:sz w:val="17"/>
              </w:rPr>
              <w:t>GET</w:t>
            </w:r>
          </w:p>
        </w:tc>
        <w:tc>
          <w:tcPr>
            <w:tcW w:type="dxa" w:w="4031"/>
            <w:vAlign w:val="center"/>
            <w:tcMar>
              <w:top w:w="80" w:type="dxa"/>
              <w:start w:w="120" w:type="dxa"/>
              <w:bottom w:w="80" w:type="dxa"/>
              <w:end w:w="120" w:type="dxa"/>
            </w:tcMar>
          </w:tcPr>
          <w:p>
            <w:pPr>
              <w:spacing w:after="0" w:line="252" w:lineRule="auto"/>
            </w:pPr>
            <w:r/>
            <w:r>
              <w:rPr>
                <w:rFonts w:ascii="Calibri" w:hAnsi="Calibri"/>
                <w:b w:val="0"/>
                <w:sz w:val="17"/>
              </w:rPr>
              <w:t>Path ID -&gt; node + relationships</w:t>
            </w:r>
          </w:p>
        </w:tc>
        <w:tc>
          <w:tcPr>
            <w:tcW w:type="dxa" w:w="1800"/>
            <w:vAlign w:val="center"/>
            <w:tcMar>
              <w:top w:w="80" w:type="dxa"/>
              <w:start w:w="120" w:type="dxa"/>
              <w:bottom w:w="80" w:type="dxa"/>
              <w:end w:w="120" w:type="dxa"/>
            </w:tcMar>
          </w:tcPr>
          <w:p>
            <w:pPr>
              <w:spacing w:after="0" w:line="252" w:lineRule="auto"/>
            </w:pPr>
            <w:r/>
            <w:r>
              <w:rPr>
                <w:rFonts w:ascii="Calibri" w:hAnsi="Calibri"/>
                <w:b w:val="0"/>
                <w:sz w:val="17"/>
              </w:rPr>
              <w:t>None; 404 missing</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7"/>
              </w:rPr>
              <w:t>/api/graph</w:t>
            </w:r>
          </w:p>
        </w:tc>
        <w:tc>
          <w:tcPr>
            <w:tcW w:type="dxa" w:w="1440"/>
            <w:vAlign w:val="center"/>
            <w:tcMar>
              <w:top w:w="80" w:type="dxa"/>
              <w:start w:w="120" w:type="dxa"/>
              <w:bottom w:w="80" w:type="dxa"/>
              <w:end w:w="120" w:type="dxa"/>
            </w:tcMar>
          </w:tcPr>
          <w:p>
            <w:pPr>
              <w:spacing w:after="0" w:line="252" w:lineRule="auto"/>
            </w:pPr>
            <w:r/>
            <w:r>
              <w:rPr>
                <w:rFonts w:ascii="Calibri" w:hAnsi="Calibri"/>
                <w:b w:val="0"/>
                <w:sz w:val="17"/>
              </w:rPr>
              <w:t>GET</w:t>
            </w:r>
          </w:p>
        </w:tc>
        <w:tc>
          <w:tcPr>
            <w:tcW w:type="dxa" w:w="4031"/>
            <w:vAlign w:val="center"/>
            <w:tcMar>
              <w:top w:w="80" w:type="dxa"/>
              <w:start w:w="120" w:type="dxa"/>
              <w:bottom w:w="80" w:type="dxa"/>
              <w:end w:w="120" w:type="dxa"/>
            </w:tcMar>
          </w:tcPr>
          <w:p>
            <w:pPr>
              <w:spacing w:after="0" w:line="252" w:lineRule="auto"/>
            </w:pPr>
            <w:r/>
            <w:r>
              <w:rPr>
                <w:rFonts w:ascii="Calibri" w:hAnsi="Calibri"/>
                <w:b w:val="0"/>
                <w:sz w:val="17"/>
              </w:rPr>
              <w:t>centerNodeId/depth -&gt; traversal or default graph</w:t>
            </w:r>
          </w:p>
        </w:tc>
        <w:tc>
          <w:tcPr>
            <w:tcW w:type="dxa" w:w="1800"/>
            <w:vAlign w:val="center"/>
            <w:tcMar>
              <w:top w:w="80" w:type="dxa"/>
              <w:start w:w="120" w:type="dxa"/>
              <w:bottom w:w="80" w:type="dxa"/>
              <w:end w:w="120" w:type="dxa"/>
            </w:tcMar>
          </w:tcPr>
          <w:p>
            <w:pPr>
              <w:spacing w:after="0" w:line="252" w:lineRule="auto"/>
            </w:pPr>
            <w:r/>
            <w:r>
              <w:rPr>
                <w:rFonts w:ascii="Calibri" w:hAnsi="Calibri"/>
                <w:b w:val="0"/>
                <w:sz w:val="17"/>
              </w:rPr>
              <w:t>None; graph nodes/edges</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7"/>
              </w:rPr>
              <w:t>/api/similar/[id]</w:t>
            </w:r>
          </w:p>
        </w:tc>
        <w:tc>
          <w:tcPr>
            <w:tcW w:type="dxa" w:w="1440"/>
            <w:vAlign w:val="center"/>
            <w:tcMar>
              <w:top w:w="80" w:type="dxa"/>
              <w:start w:w="120" w:type="dxa"/>
              <w:bottom w:w="80" w:type="dxa"/>
              <w:end w:w="120" w:type="dxa"/>
            </w:tcMar>
          </w:tcPr>
          <w:p>
            <w:pPr>
              <w:spacing w:after="0" w:line="252" w:lineRule="auto"/>
            </w:pPr>
            <w:r/>
            <w:r>
              <w:rPr>
                <w:rFonts w:ascii="Calibri" w:hAnsi="Calibri"/>
                <w:b w:val="0"/>
                <w:sz w:val="17"/>
              </w:rPr>
              <w:t>GET</w:t>
            </w:r>
          </w:p>
        </w:tc>
        <w:tc>
          <w:tcPr>
            <w:tcW w:type="dxa" w:w="4031"/>
            <w:vAlign w:val="center"/>
            <w:tcMar>
              <w:top w:w="80" w:type="dxa"/>
              <w:start w:w="120" w:type="dxa"/>
              <w:bottom w:w="80" w:type="dxa"/>
              <w:end w:w="120" w:type="dxa"/>
            </w:tcMar>
          </w:tcPr>
          <w:p>
            <w:pPr>
              <w:spacing w:after="0" w:line="252" w:lineRule="auto"/>
            </w:pPr>
            <w:r/>
            <w:r>
              <w:rPr>
                <w:rFonts w:ascii="Calibri" w:hAnsi="Calibri"/>
                <w:b w:val="0"/>
                <w:sz w:val="17"/>
              </w:rPr>
              <w:t>threshold/limit -&gt; pgvector matches</w:t>
            </w:r>
          </w:p>
        </w:tc>
        <w:tc>
          <w:tcPr>
            <w:tcW w:type="dxa" w:w="1800"/>
            <w:vAlign w:val="center"/>
            <w:tcMar>
              <w:top w:w="80" w:type="dxa"/>
              <w:start w:w="120" w:type="dxa"/>
              <w:bottom w:w="80" w:type="dxa"/>
              <w:end w:w="120" w:type="dxa"/>
            </w:tcMar>
          </w:tcPr>
          <w:p>
            <w:pPr>
              <w:spacing w:after="0" w:line="252" w:lineRule="auto"/>
            </w:pPr>
            <w:r/>
            <w:r>
              <w:rPr>
                <w:rFonts w:ascii="Calibri" w:hAnsi="Calibri"/>
                <w:b w:val="0"/>
                <w:sz w:val="17"/>
              </w:rPr>
              <w:t>None; list; SQLite returns empty</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7"/>
              </w:rPr>
              <w:t>/api/global-search</w:t>
            </w:r>
          </w:p>
        </w:tc>
        <w:tc>
          <w:tcPr>
            <w:tcW w:type="dxa" w:w="1440"/>
            <w:vAlign w:val="center"/>
            <w:tcMar>
              <w:top w:w="80" w:type="dxa"/>
              <w:start w:w="120" w:type="dxa"/>
              <w:bottom w:w="80" w:type="dxa"/>
              <w:end w:w="120" w:type="dxa"/>
            </w:tcMar>
          </w:tcPr>
          <w:p>
            <w:pPr>
              <w:spacing w:after="0" w:line="252" w:lineRule="auto"/>
            </w:pPr>
            <w:r/>
            <w:r>
              <w:rPr>
                <w:rFonts w:ascii="Calibri" w:hAnsi="Calibri"/>
                <w:b w:val="0"/>
                <w:sz w:val="17"/>
              </w:rPr>
              <w:t>GET</w:t>
            </w:r>
          </w:p>
        </w:tc>
        <w:tc>
          <w:tcPr>
            <w:tcW w:type="dxa" w:w="4031"/>
            <w:vAlign w:val="center"/>
            <w:tcMar>
              <w:top w:w="80" w:type="dxa"/>
              <w:start w:w="120" w:type="dxa"/>
              <w:bottom w:w="80" w:type="dxa"/>
              <w:end w:w="120" w:type="dxa"/>
            </w:tcMar>
          </w:tcPr>
          <w:p>
            <w:pPr>
              <w:spacing w:after="0" w:line="252" w:lineRule="auto"/>
            </w:pPr>
            <w:r/>
            <w:r>
              <w:rPr>
                <w:rFonts w:ascii="Calibri" w:hAnsi="Calibri"/>
                <w:b w:val="0"/>
                <w:sz w:val="17"/>
              </w:rPr>
              <w:t>q -&gt; parallel-ish cross-entity ILIKE lookup</w:t>
            </w:r>
          </w:p>
        </w:tc>
        <w:tc>
          <w:tcPr>
            <w:tcW w:type="dxa" w:w="1800"/>
            <w:vAlign w:val="center"/>
            <w:tcMar>
              <w:top w:w="80" w:type="dxa"/>
              <w:start w:w="120" w:type="dxa"/>
              <w:bottom w:w="80" w:type="dxa"/>
              <w:end w:w="120" w:type="dxa"/>
            </w:tcMar>
          </w:tcPr>
          <w:p>
            <w:pPr>
              <w:spacing w:after="0" w:line="252" w:lineRule="auto"/>
            </w:pPr>
            <w:r/>
            <w:r>
              <w:rPr>
                <w:rFonts w:ascii="Calibri" w:hAnsi="Calibri"/>
                <w:b w:val="0"/>
                <w:sz w:val="17"/>
              </w:rPr>
              <w:t>None; grouped top-five results</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7"/>
              </w:rPr>
              <w:t>/api/stats, /api/system-health</w:t>
            </w:r>
          </w:p>
        </w:tc>
        <w:tc>
          <w:tcPr>
            <w:tcW w:type="dxa" w:w="1440"/>
            <w:vAlign w:val="center"/>
            <w:tcMar>
              <w:top w:w="80" w:type="dxa"/>
              <w:start w:w="120" w:type="dxa"/>
              <w:bottom w:w="80" w:type="dxa"/>
              <w:end w:w="120" w:type="dxa"/>
            </w:tcMar>
          </w:tcPr>
          <w:p>
            <w:pPr>
              <w:spacing w:after="0" w:line="252" w:lineRule="auto"/>
            </w:pPr>
            <w:r/>
            <w:r>
              <w:rPr>
                <w:rFonts w:ascii="Calibri" w:hAnsi="Calibri"/>
                <w:b w:val="0"/>
                <w:sz w:val="17"/>
              </w:rPr>
              <w:t>GET</w:t>
            </w:r>
          </w:p>
        </w:tc>
        <w:tc>
          <w:tcPr>
            <w:tcW w:type="dxa" w:w="4031"/>
            <w:vAlign w:val="center"/>
            <w:tcMar>
              <w:top w:w="80" w:type="dxa"/>
              <w:start w:w="120" w:type="dxa"/>
              <w:bottom w:w="80" w:type="dxa"/>
              <w:end w:w="120" w:type="dxa"/>
            </w:tcMar>
          </w:tcPr>
          <w:p>
            <w:pPr>
              <w:spacing w:after="0" w:line="252" w:lineRule="auto"/>
            </w:pPr>
            <w:r/>
            <w:r>
              <w:rPr>
                <w:rFonts w:ascii="Calibri" w:hAnsi="Calibri"/>
                <w:b w:val="0"/>
                <w:sz w:val="17"/>
              </w:rPr>
              <w:t>No arguments -&gt; db aggregate/job-window evaluation</w:t>
            </w:r>
          </w:p>
        </w:tc>
        <w:tc>
          <w:tcPr>
            <w:tcW w:type="dxa" w:w="1800"/>
            <w:vAlign w:val="center"/>
            <w:tcMar>
              <w:top w:w="80" w:type="dxa"/>
              <w:start w:w="120" w:type="dxa"/>
              <w:bottom w:w="80" w:type="dxa"/>
              <w:end w:w="120" w:type="dxa"/>
            </w:tcMar>
          </w:tcPr>
          <w:p>
            <w:pPr>
              <w:spacing w:after="0" w:line="252" w:lineRule="auto"/>
            </w:pPr>
            <w:r/>
            <w:r>
              <w:rPr>
                <w:rFonts w:ascii="Calibri" w:hAnsi="Calibri"/>
                <w:b w:val="0"/>
                <w:sz w:val="17"/>
              </w:rPr>
              <w:t>None; dashboard payload</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7"/>
              </w:rPr>
              <w:t>/api/patterns, /api/intelligence</w:t>
            </w:r>
          </w:p>
        </w:tc>
        <w:tc>
          <w:tcPr>
            <w:tcW w:type="dxa" w:w="1440"/>
            <w:vAlign w:val="center"/>
            <w:tcMar>
              <w:top w:w="80" w:type="dxa"/>
              <w:start w:w="120" w:type="dxa"/>
              <w:bottom w:w="80" w:type="dxa"/>
              <w:end w:w="120" w:type="dxa"/>
            </w:tcMar>
          </w:tcPr>
          <w:p>
            <w:pPr>
              <w:spacing w:after="0" w:line="252" w:lineRule="auto"/>
            </w:pPr>
            <w:r/>
            <w:r>
              <w:rPr>
                <w:rFonts w:ascii="Calibri" w:hAnsi="Calibri"/>
                <w:b w:val="0"/>
                <w:sz w:val="17"/>
              </w:rPr>
              <w:t>GET</w:t>
            </w:r>
          </w:p>
        </w:tc>
        <w:tc>
          <w:tcPr>
            <w:tcW w:type="dxa" w:w="4031"/>
            <w:vAlign w:val="center"/>
            <w:tcMar>
              <w:top w:w="80" w:type="dxa"/>
              <w:start w:w="120" w:type="dxa"/>
              <w:bottom w:w="80" w:type="dxa"/>
              <w:end w:w="120" w:type="dxa"/>
            </w:tcMar>
          </w:tcPr>
          <w:p>
            <w:pPr>
              <w:spacing w:after="0" w:line="252" w:lineRule="auto"/>
            </w:pPr>
            <w:r/>
            <w:r>
              <w:rPr>
                <w:rFonts w:ascii="Calibri" w:hAnsi="Calibri"/>
                <w:b w:val="0"/>
                <w:sz w:val="17"/>
              </w:rPr>
              <w:t>No arguments -&gt; trends/learning metrics</w:t>
            </w:r>
          </w:p>
        </w:tc>
        <w:tc>
          <w:tcPr>
            <w:tcW w:type="dxa" w:w="1800"/>
            <w:vAlign w:val="center"/>
            <w:tcMar>
              <w:top w:w="80" w:type="dxa"/>
              <w:start w:w="120" w:type="dxa"/>
              <w:bottom w:w="80" w:type="dxa"/>
              <w:end w:w="120" w:type="dxa"/>
            </w:tcMar>
          </w:tcPr>
          <w:p>
            <w:pPr>
              <w:spacing w:after="0" w:line="252" w:lineRule="auto"/>
            </w:pPr>
            <w:r/>
            <w:r>
              <w:rPr>
                <w:rFonts w:ascii="Calibri" w:hAnsi="Calibri"/>
                <w:b w:val="0"/>
                <w:sz w:val="17"/>
              </w:rPr>
              <w:t>None; reporting payload</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7"/>
              </w:rPr>
              <w:t>/api/predictions and /[id]</w:t>
            </w:r>
          </w:p>
        </w:tc>
        <w:tc>
          <w:tcPr>
            <w:tcW w:type="dxa" w:w="1440"/>
            <w:vAlign w:val="center"/>
            <w:tcMar>
              <w:top w:w="80" w:type="dxa"/>
              <w:start w:w="120" w:type="dxa"/>
              <w:bottom w:w="80" w:type="dxa"/>
              <w:end w:w="120" w:type="dxa"/>
            </w:tcMar>
          </w:tcPr>
          <w:p>
            <w:pPr>
              <w:spacing w:after="0" w:line="252" w:lineRule="auto"/>
            </w:pPr>
            <w:r/>
            <w:r>
              <w:rPr>
                <w:rFonts w:ascii="Calibri" w:hAnsi="Calibri"/>
                <w:b w:val="0"/>
                <w:sz w:val="17"/>
              </w:rPr>
              <w:t>GET</w:t>
            </w:r>
          </w:p>
        </w:tc>
        <w:tc>
          <w:tcPr>
            <w:tcW w:type="dxa" w:w="4031"/>
            <w:vAlign w:val="center"/>
            <w:tcMar>
              <w:top w:w="80" w:type="dxa"/>
              <w:start w:w="120" w:type="dxa"/>
              <w:bottom w:w="80" w:type="dxa"/>
              <w:end w:w="120" w:type="dxa"/>
            </w:tcMar>
          </w:tcPr>
          <w:p>
            <w:pPr>
              <w:spacing w:after="0" w:line="252" w:lineRule="auto"/>
            </w:pPr>
            <w:r/>
            <w:r>
              <w:rPr>
                <w:rFonts w:ascii="Calibri" w:hAnsi="Calibri"/>
                <w:b w:val="0"/>
                <w:sz w:val="17"/>
              </w:rPr>
              <w:t>status or path ID -&gt; prediction data</w:t>
            </w:r>
          </w:p>
        </w:tc>
        <w:tc>
          <w:tcPr>
            <w:tcW w:type="dxa" w:w="1800"/>
            <w:vAlign w:val="center"/>
            <w:tcMar>
              <w:top w:w="80" w:type="dxa"/>
              <w:start w:w="120" w:type="dxa"/>
              <w:bottom w:w="80" w:type="dxa"/>
              <w:end w:w="120" w:type="dxa"/>
            </w:tcMar>
          </w:tcPr>
          <w:p>
            <w:pPr>
              <w:spacing w:after="0" w:line="252" w:lineRule="auto"/>
            </w:pPr>
            <w:r/>
            <w:r>
              <w:rPr>
                <w:rFonts w:ascii="Calibri" w:hAnsi="Calibri"/>
                <w:b w:val="0"/>
                <w:sz w:val="17"/>
              </w:rPr>
              <w:t>None; 404 detail missing</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7"/>
              </w:rPr>
              <w:t>/api/sources and /[id]</w:t>
            </w:r>
          </w:p>
        </w:tc>
        <w:tc>
          <w:tcPr>
            <w:tcW w:type="dxa" w:w="1440"/>
            <w:vAlign w:val="center"/>
            <w:tcMar>
              <w:top w:w="80" w:type="dxa"/>
              <w:start w:w="120" w:type="dxa"/>
              <w:bottom w:w="80" w:type="dxa"/>
              <w:end w:w="120" w:type="dxa"/>
            </w:tcMar>
          </w:tcPr>
          <w:p>
            <w:pPr>
              <w:spacing w:after="0" w:line="252" w:lineRule="auto"/>
            </w:pPr>
            <w:r/>
            <w:r>
              <w:rPr>
                <w:rFonts w:ascii="Calibri" w:hAnsi="Calibri"/>
                <w:b w:val="0"/>
                <w:sz w:val="17"/>
              </w:rPr>
              <w:t>GET</w:t>
            </w:r>
          </w:p>
        </w:tc>
        <w:tc>
          <w:tcPr>
            <w:tcW w:type="dxa" w:w="4031"/>
            <w:vAlign w:val="center"/>
            <w:tcMar>
              <w:top w:w="80" w:type="dxa"/>
              <w:start w:w="120" w:type="dxa"/>
              <w:bottom w:w="80" w:type="dxa"/>
              <w:end w:w="120" w:type="dxa"/>
            </w:tcMar>
          </w:tcPr>
          <w:p>
            <w:pPr>
              <w:spacing w:after="0" w:line="252" w:lineRule="auto"/>
            </w:pPr>
            <w:r/>
            <w:r>
              <w:rPr>
                <w:rFonts w:ascii="Calibri" w:hAnsi="Calibri"/>
                <w:b w:val="0"/>
                <w:sz w:val="17"/>
              </w:rPr>
              <w:t>Path ID lookup also samples matching nodes</w:t>
            </w:r>
          </w:p>
        </w:tc>
        <w:tc>
          <w:tcPr>
            <w:tcW w:type="dxa" w:w="1800"/>
            <w:vAlign w:val="center"/>
            <w:tcMar>
              <w:top w:w="80" w:type="dxa"/>
              <w:start w:w="120" w:type="dxa"/>
              <w:bottom w:w="80" w:type="dxa"/>
              <w:end w:w="120" w:type="dxa"/>
            </w:tcMar>
          </w:tcPr>
          <w:p>
            <w:pPr>
              <w:spacing w:after="0" w:line="252" w:lineRule="auto"/>
            </w:pPr>
            <w:r/>
            <w:r>
              <w:rPr>
                <w:rFonts w:ascii="Calibri" w:hAnsi="Calibri"/>
                <w:b w:val="0"/>
                <w:sz w:val="17"/>
              </w:rPr>
              <w:t>None; 404 detail missing</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7"/>
              </w:rPr>
              <w:t>/api/research</w:t>
            </w:r>
          </w:p>
        </w:tc>
        <w:tc>
          <w:tcPr>
            <w:tcW w:type="dxa" w:w="1440"/>
            <w:vAlign w:val="center"/>
            <w:tcMar>
              <w:top w:w="80" w:type="dxa"/>
              <w:start w:w="120" w:type="dxa"/>
              <w:bottom w:w="80" w:type="dxa"/>
              <w:end w:w="120" w:type="dxa"/>
            </w:tcMar>
          </w:tcPr>
          <w:p>
            <w:pPr>
              <w:spacing w:after="0" w:line="252" w:lineRule="auto"/>
            </w:pPr>
            <w:r/>
            <w:r>
              <w:rPr>
                <w:rFonts w:ascii="Calibri" w:hAnsi="Calibri"/>
                <w:b w:val="0"/>
                <w:sz w:val="17"/>
              </w:rPr>
              <w:t>POST</w:t>
            </w:r>
          </w:p>
        </w:tc>
        <w:tc>
          <w:tcPr>
            <w:tcW w:type="dxa" w:w="4031"/>
            <w:vAlign w:val="center"/>
            <w:tcMar>
              <w:top w:w="80" w:type="dxa"/>
              <w:start w:w="120" w:type="dxa"/>
              <w:bottom w:w="80" w:type="dxa"/>
              <w:end w:w="120" w:type="dxa"/>
            </w:tcMar>
          </w:tcPr>
          <w:p>
            <w:pPr>
              <w:spacing w:after="0" w:line="252" w:lineRule="auto"/>
            </w:pPr>
            <w:r/>
            <w:r>
              <w:rPr>
                <w:rFonts w:ascii="Calibri" w:hAnsi="Calibri"/>
                <w:b w:val="0"/>
                <w:sz w:val="17"/>
              </w:rPr>
              <w:t>`{question}` -&gt; embedding + FTS + Gemini synthesis</w:t>
            </w:r>
          </w:p>
        </w:tc>
        <w:tc>
          <w:tcPr>
            <w:tcW w:type="dxa" w:w="1800"/>
            <w:vAlign w:val="center"/>
            <w:tcMar>
              <w:top w:w="80" w:type="dxa"/>
              <w:start w:w="120" w:type="dxa"/>
              <w:bottom w:w="80" w:type="dxa"/>
              <w:end w:w="120" w:type="dxa"/>
            </w:tcMar>
          </w:tcPr>
          <w:p>
            <w:pPr>
              <w:spacing w:after="0" w:line="252" w:lineRule="auto"/>
            </w:pPr>
            <w:r/>
            <w:r>
              <w:rPr>
                <w:rFonts w:ascii="Calibri" w:hAnsi="Calibri"/>
                <w:b w:val="0"/>
                <w:sz w:val="17"/>
              </w:rPr>
              <w:t>None; in-memory 10/min/IP limit; 429, 400, 500</w:t>
            </w:r>
          </w:p>
        </w:tc>
      </w:tr>
    </w:tbl>
    <w:p>
      <w:pPr>
        <w:spacing w:after="60"/>
      </w:pPr>
    </w:p>
    <w:p>
      <w:pPr>
        <w:spacing w:after="160"/>
      </w:pPr>
      <w:r>
        <w:rPr>
          <w:i w:val="0"/>
        </w:rPr>
        <w:t>All endpoints set `dynamic = force-dynamic`, preventing static caching. Validation is basic: numeric inputs are parsed but not bounded, and `/api/research` only checks a non-empty question. The standard error body exposes `err.message`, which risks leaking implementation details.</w:t>
      </w:r>
    </w:p>
    <w:p>
      <w:pPr>
        <w:pStyle w:val="Heading1"/>
      </w:pPr>
      <w:r>
        <w:t>9. Cybersecurity Analysis</w:t>
      </w:r>
    </w:p>
    <w:p>
      <w:pPr>
        <w:pStyle w:val="Heading2"/>
      </w:pPr>
      <w:r>
        <w:t>9.1 Implemented controls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592"/>
            <w:shd w:fill="F2F4F7"/>
            <w:vAlign w:val="center"/>
            <w:tcMar>
              <w:top w:w="80" w:type="dxa"/>
              <w:start w:w="120" w:type="dxa"/>
              <w:bottom w:w="80" w:type="dxa"/>
              <w:end w:w="120" w:type="dxa"/>
            </w:tcMar>
          </w:tcPr>
          <w:p>
            <w:pPr>
              <w:spacing w:after="0" w:line="252" w:lineRule="auto"/>
            </w:pPr>
            <w:r/>
            <w:r>
              <w:rPr>
                <w:rFonts w:ascii="Calibri" w:hAnsi="Calibri"/>
                <w:b/>
                <w:sz w:val="18"/>
              </w:rPr>
              <w:t>Control</w:t>
            </w:r>
          </w:p>
        </w:tc>
        <w:tc>
          <w:tcPr>
            <w:tcW w:type="dxa" w:w="6768"/>
            <w:shd w:fill="F2F4F7"/>
            <w:vAlign w:val="center"/>
            <w:tcMar>
              <w:top w:w="80" w:type="dxa"/>
              <w:start w:w="120" w:type="dxa"/>
              <w:bottom w:w="80" w:type="dxa"/>
              <w:end w:w="120" w:type="dxa"/>
            </w:tcMar>
          </w:tcPr>
          <w:p>
            <w:pPr>
              <w:spacing w:after="0" w:line="252" w:lineRule="auto"/>
            </w:pPr>
            <w:r/>
            <w:r>
              <w:rPr>
                <w:rFonts w:ascii="Calibri" w:hAnsi="Calibri"/>
                <w:b/>
                <w:sz w:val="18"/>
              </w:rPr>
              <w:t>Evidence / assessment</w:t>
            </w:r>
          </w:p>
        </w:tc>
      </w:tr>
      <w:tr>
        <w:tc>
          <w:tcPr>
            <w:tcW w:type="dxa" w:w="2592"/>
            <w:vAlign w:val="center"/>
            <w:tcMar>
              <w:top w:w="80" w:type="dxa"/>
              <w:start w:w="120" w:type="dxa"/>
              <w:bottom w:w="80" w:type="dxa"/>
              <w:end w:w="120" w:type="dxa"/>
            </w:tcMar>
          </w:tcPr>
          <w:p>
            <w:pPr>
              <w:spacing w:after="0" w:line="252" w:lineRule="auto"/>
            </w:pPr>
            <w:r/>
            <w:r>
              <w:rPr>
                <w:rFonts w:ascii="Calibri" w:hAnsi="Calibri"/>
                <w:b w:val="0"/>
                <w:sz w:val="17"/>
              </w:rPr>
              <w:t>Secrets via environment</w:t>
            </w:r>
          </w:p>
        </w:tc>
        <w:tc>
          <w:tcPr>
            <w:tcW w:type="dxa" w:w="6768"/>
            <w:vAlign w:val="center"/>
            <w:tcMar>
              <w:top w:w="80" w:type="dxa"/>
              <w:start w:w="120" w:type="dxa"/>
              <w:bottom w:w="80" w:type="dxa"/>
              <w:end w:w="120" w:type="dxa"/>
            </w:tcMar>
          </w:tcPr>
          <w:p>
            <w:pPr>
              <w:spacing w:after="0" w:line="252" w:lineRule="auto"/>
            </w:pPr>
            <w:r/>
            <w:r>
              <w:rPr>
                <w:rFonts w:ascii="Calibri" w:hAnsi="Calibri"/>
                <w:b w:val="0"/>
                <w:sz w:val="17"/>
              </w:rPr>
              <w:t>Keys are read from environment and workflow secrets rather than committed source. Good baseline; no secret scanner/config validation is present.</w:t>
            </w:r>
          </w:p>
        </w:tc>
      </w:tr>
      <w:tr>
        <w:tc>
          <w:tcPr>
            <w:tcW w:type="dxa" w:w="2592"/>
            <w:vAlign w:val="center"/>
            <w:tcMar>
              <w:top w:w="80" w:type="dxa"/>
              <w:start w:w="120" w:type="dxa"/>
              <w:bottom w:w="80" w:type="dxa"/>
              <w:end w:w="120" w:type="dxa"/>
            </w:tcMar>
          </w:tcPr>
          <w:p>
            <w:pPr>
              <w:spacing w:after="0" w:line="252" w:lineRule="auto"/>
            </w:pPr>
            <w:r/>
            <w:r>
              <w:rPr>
                <w:rFonts w:ascii="Calibri" w:hAnsi="Calibri"/>
                <w:b w:val="0"/>
                <w:sz w:val="17"/>
              </w:rPr>
              <w:t>Data provenance</w:t>
            </w:r>
          </w:p>
        </w:tc>
        <w:tc>
          <w:tcPr>
            <w:tcW w:type="dxa" w:w="6768"/>
            <w:vAlign w:val="center"/>
            <w:tcMar>
              <w:top w:w="80" w:type="dxa"/>
              <w:start w:w="120" w:type="dxa"/>
              <w:bottom w:w="80" w:type="dxa"/>
              <w:end w:w="120" w:type="dxa"/>
            </w:tcMar>
          </w:tcPr>
          <w:p>
            <w:pPr>
              <w:spacing w:after="0" w:line="252" w:lineRule="auto"/>
            </w:pPr>
            <w:r/>
            <w:r>
              <w:rPr>
                <w:rFonts w:ascii="Calibri" w:hAnsi="Calibri"/>
                <w:b w:val="0"/>
                <w:sz w:val="17"/>
              </w:rPr>
              <w:t>Nodes retain source URL/name and confidence; research route returns source node IDs/titles for citations.</w:t>
            </w:r>
          </w:p>
        </w:tc>
      </w:tr>
      <w:tr>
        <w:tc>
          <w:tcPr>
            <w:tcW w:type="dxa" w:w="2592"/>
            <w:vAlign w:val="center"/>
            <w:tcMar>
              <w:top w:w="80" w:type="dxa"/>
              <w:start w:w="120" w:type="dxa"/>
              <w:bottom w:w="80" w:type="dxa"/>
              <w:end w:w="120" w:type="dxa"/>
            </w:tcMar>
          </w:tcPr>
          <w:p>
            <w:pPr>
              <w:spacing w:after="0" w:line="252" w:lineRule="auto"/>
            </w:pPr>
            <w:r/>
            <w:r>
              <w:rPr>
                <w:rFonts w:ascii="Calibri" w:hAnsi="Calibri"/>
                <w:b w:val="0"/>
                <w:sz w:val="17"/>
              </w:rPr>
              <w:t>Input checks</w:t>
            </w:r>
          </w:p>
        </w:tc>
        <w:tc>
          <w:tcPr>
            <w:tcW w:type="dxa" w:w="6768"/>
            <w:vAlign w:val="center"/>
            <w:tcMar>
              <w:top w:w="80" w:type="dxa"/>
              <w:start w:w="120" w:type="dxa"/>
              <w:bottom w:w="80" w:type="dxa"/>
              <w:end w:w="120" w:type="dxa"/>
            </w:tcMar>
          </w:tcPr>
          <w:p>
            <w:pPr>
              <w:spacing w:after="0" w:line="252" w:lineRule="auto"/>
            </w:pPr>
            <w:r/>
            <w:r>
              <w:rPr>
                <w:rFonts w:ascii="Calibri" w:hAnsi="Calibri"/>
                <w:b w:val="0"/>
                <w:sz w:val="17"/>
              </w:rPr>
              <w:t>Blank body/question handling; Next/Supabase parameterization avoids direct SQL string execution in normal paths.</w:t>
            </w:r>
          </w:p>
        </w:tc>
      </w:tr>
      <w:tr>
        <w:tc>
          <w:tcPr>
            <w:tcW w:type="dxa" w:w="2592"/>
            <w:vAlign w:val="center"/>
            <w:tcMar>
              <w:top w:w="80" w:type="dxa"/>
              <w:start w:w="120" w:type="dxa"/>
              <w:bottom w:w="80" w:type="dxa"/>
              <w:end w:w="120" w:type="dxa"/>
            </w:tcMar>
          </w:tcPr>
          <w:p>
            <w:pPr>
              <w:spacing w:after="0" w:line="252" w:lineRule="auto"/>
            </w:pPr>
            <w:r/>
            <w:r>
              <w:rPr>
                <w:rFonts w:ascii="Calibri" w:hAnsi="Calibri"/>
                <w:b w:val="0"/>
                <w:sz w:val="17"/>
              </w:rPr>
              <w:t>Rate limit</w:t>
            </w:r>
          </w:p>
        </w:tc>
        <w:tc>
          <w:tcPr>
            <w:tcW w:type="dxa" w:w="6768"/>
            <w:vAlign w:val="center"/>
            <w:tcMar>
              <w:top w:w="80" w:type="dxa"/>
              <w:start w:w="120" w:type="dxa"/>
              <w:bottom w:w="80" w:type="dxa"/>
              <w:end w:w="120" w:type="dxa"/>
            </w:tcMar>
          </w:tcPr>
          <w:p>
            <w:pPr>
              <w:spacing w:after="0" w:line="252" w:lineRule="auto"/>
            </w:pPr>
            <w:r/>
            <w:r>
              <w:rPr>
                <w:rFonts w:ascii="Calibri" w:hAnsi="Calibri"/>
                <w:b w:val="0"/>
                <w:sz w:val="17"/>
              </w:rPr>
              <w:t>Research endpoint uses a process-local 10 requests/minute map keyed by x-forwarded-for. This is not distributed or spoof-resistant.</w:t>
            </w:r>
          </w:p>
        </w:tc>
      </w:tr>
      <w:tr>
        <w:tc>
          <w:tcPr>
            <w:tcW w:type="dxa" w:w="2592"/>
            <w:vAlign w:val="center"/>
            <w:tcMar>
              <w:top w:w="80" w:type="dxa"/>
              <w:start w:w="120" w:type="dxa"/>
              <w:bottom w:w="80" w:type="dxa"/>
              <w:end w:w="120" w:type="dxa"/>
            </w:tcMar>
          </w:tcPr>
          <w:p>
            <w:pPr>
              <w:spacing w:after="0" w:line="252" w:lineRule="auto"/>
            </w:pPr>
            <w:r/>
            <w:r>
              <w:rPr>
                <w:rFonts w:ascii="Calibri" w:hAnsi="Calibri"/>
                <w:b w:val="0"/>
                <w:sz w:val="17"/>
              </w:rPr>
              <w:t>Scheduled health</w:t>
            </w:r>
          </w:p>
        </w:tc>
        <w:tc>
          <w:tcPr>
            <w:tcW w:type="dxa" w:w="6768"/>
            <w:vAlign w:val="center"/>
            <w:tcMar>
              <w:top w:w="80" w:type="dxa"/>
              <w:start w:w="120" w:type="dxa"/>
              <w:bottom w:w="80" w:type="dxa"/>
              <w:end w:w="120" w:type="dxa"/>
            </w:tcMar>
          </w:tcPr>
          <w:p>
            <w:pPr>
              <w:spacing w:after="0" w:line="252" w:lineRule="auto"/>
            </w:pPr>
            <w:r/>
            <w:r>
              <w:rPr>
                <w:rFonts w:ascii="Calibri" w:hAnsi="Calibri"/>
                <w:b w:val="0"/>
                <w:sz w:val="17"/>
              </w:rPr>
              <w:t>job_logs, monitor.py, system-health endpoint and optional alert webhook provide operational visibility.</w:t>
            </w:r>
          </w:p>
        </w:tc>
      </w:tr>
    </w:tbl>
    <w:p>
      <w:pPr>
        <w:spacing w:after="60"/>
      </w:pPr>
    </w:p>
    <w:p>
      <w:pPr>
        <w:pStyle w:val="Heading2"/>
      </w:pPr>
      <w:r>
        <w:t>9.2 Risks and recommendations</w:t>
      </w:r>
    </w:p>
    <w:tbl>
      <w:tblPr>
        <w:tblStyle w:val="TableGrid"/>
        <w:tblW w:type="dxa" w:w="9360"/>
        <w:jc w:val="left"/>
        <w:tblLayout w:type="fixed"/>
        <w:tblLook w:firstColumn="1" w:firstRow="1" w:lastColumn="0" w:lastRow="0" w:noHBand="0" w:noVBand="1" w:val="04A0"/>
        <w:tblInd w:w="120" w:type="dxa"/>
      </w:tblPr>
      <w:tblGrid>
        <w:gridCol w:w="3120"/>
        <w:gridCol w:w="3120"/>
        <w:gridCol w:w="3120"/>
      </w:tblGrid>
      <w:tr>
        <w:trPr>
          <w:tblHeader w:val="true"/>
        </w:trPr>
        <w:tc>
          <w:tcPr>
            <w:tcW w:type="dxa" w:w="1007"/>
            <w:shd w:fill="F2F4F7"/>
            <w:vAlign w:val="center"/>
            <w:tcMar>
              <w:top w:w="80" w:type="dxa"/>
              <w:start w:w="120" w:type="dxa"/>
              <w:bottom w:w="80" w:type="dxa"/>
              <w:end w:w="120" w:type="dxa"/>
            </w:tcMar>
          </w:tcPr>
          <w:p>
            <w:pPr>
              <w:spacing w:after="0" w:line="252" w:lineRule="auto"/>
            </w:pPr>
            <w:r/>
            <w:r>
              <w:rPr>
                <w:rFonts w:ascii="Calibri" w:hAnsi="Calibri"/>
                <w:b/>
                <w:sz w:val="18"/>
              </w:rPr>
              <w:t>Priority</w:t>
            </w:r>
          </w:p>
        </w:tc>
        <w:tc>
          <w:tcPr>
            <w:tcW w:type="dxa" w:w="4031"/>
            <w:shd w:fill="F2F4F7"/>
            <w:vAlign w:val="center"/>
            <w:tcMar>
              <w:top w:w="80" w:type="dxa"/>
              <w:start w:w="120" w:type="dxa"/>
              <w:bottom w:w="80" w:type="dxa"/>
              <w:end w:w="120" w:type="dxa"/>
            </w:tcMar>
          </w:tcPr>
          <w:p>
            <w:pPr>
              <w:spacing w:after="0" w:line="252" w:lineRule="auto"/>
            </w:pPr>
            <w:r/>
            <w:r>
              <w:rPr>
                <w:rFonts w:ascii="Calibri" w:hAnsi="Calibri"/>
                <w:b/>
                <w:sz w:val="18"/>
              </w:rPr>
              <w:t>Finding</w:t>
            </w:r>
          </w:p>
        </w:tc>
        <w:tc>
          <w:tcPr>
            <w:tcW w:type="dxa" w:w="4320"/>
            <w:shd w:fill="F2F4F7"/>
            <w:vAlign w:val="center"/>
            <w:tcMar>
              <w:top w:w="80" w:type="dxa"/>
              <w:start w:w="120" w:type="dxa"/>
              <w:bottom w:w="80" w:type="dxa"/>
              <w:end w:w="120" w:type="dxa"/>
            </w:tcMar>
          </w:tcPr>
          <w:p>
            <w:pPr>
              <w:spacing w:after="0" w:line="252" w:lineRule="auto"/>
            </w:pPr>
            <w:r/>
            <w:r>
              <w:rPr>
                <w:rFonts w:ascii="Calibri" w:hAnsi="Calibri"/>
                <w:b/>
                <w:sz w:val="18"/>
              </w:rPr>
              <w:t>Recommendation</w:t>
            </w:r>
          </w:p>
        </w:tc>
      </w:tr>
      <w:tr>
        <w:tc>
          <w:tcPr>
            <w:tcW w:type="dxa" w:w="1007"/>
            <w:vAlign w:val="center"/>
            <w:tcMar>
              <w:top w:w="80" w:type="dxa"/>
              <w:start w:w="120" w:type="dxa"/>
              <w:bottom w:w="80" w:type="dxa"/>
              <w:end w:w="120" w:type="dxa"/>
            </w:tcMar>
          </w:tcPr>
          <w:p>
            <w:pPr>
              <w:spacing w:after="0" w:line="252" w:lineRule="auto"/>
            </w:pPr>
            <w:r/>
            <w:r>
              <w:rPr>
                <w:rFonts w:ascii="Calibri" w:hAnsi="Calibri"/>
                <w:b w:val="0"/>
                <w:sz w:val="17"/>
              </w:rPr>
              <w:t>Critical</w:t>
            </w:r>
          </w:p>
        </w:tc>
        <w:tc>
          <w:tcPr>
            <w:tcW w:type="dxa" w:w="4031"/>
            <w:vAlign w:val="center"/>
            <w:tcMar>
              <w:top w:w="80" w:type="dxa"/>
              <w:start w:w="120" w:type="dxa"/>
              <w:bottom w:w="80" w:type="dxa"/>
              <w:end w:w="120" w:type="dxa"/>
            </w:tcMar>
          </w:tcPr>
          <w:p>
            <w:pPr>
              <w:spacing w:after="0" w:line="252" w:lineRule="auto"/>
            </w:pPr>
            <w:r/>
            <w:r>
              <w:rPr>
                <w:rFonts w:ascii="Calibri" w:hAnsi="Calibri"/>
                <w:b w:val="0"/>
                <w:sz w:val="17"/>
              </w:rPr>
              <w:t>Supabase setup disables RLS for all core tables; no Next.js authentication/authorization exists.</w:t>
            </w:r>
          </w:p>
        </w:tc>
        <w:tc>
          <w:tcPr>
            <w:tcW w:type="dxa" w:w="4320"/>
            <w:vAlign w:val="center"/>
            <w:tcMar>
              <w:top w:w="80" w:type="dxa"/>
              <w:start w:w="120" w:type="dxa"/>
              <w:bottom w:w="80" w:type="dxa"/>
              <w:end w:w="120" w:type="dxa"/>
            </w:tcMar>
          </w:tcPr>
          <w:p>
            <w:pPr>
              <w:spacing w:after="0" w:line="252" w:lineRule="auto"/>
            </w:pPr>
            <w:r/>
            <w:r>
              <w:rPr>
                <w:rFonts w:ascii="Calibri" w:hAnsi="Calibri"/>
                <w:b w:val="0"/>
                <w:sz w:val="17"/>
              </w:rPr>
              <w:t>Enable RLS; expose read-only views/RPCs; use server-only service role key for batch jobs; add analyst/admin identity and RBAC.</w:t>
            </w:r>
          </w:p>
        </w:tc>
      </w:tr>
      <w:tr>
        <w:tc>
          <w:tcPr>
            <w:tcW w:type="dxa" w:w="1007"/>
            <w:vAlign w:val="center"/>
            <w:tcMar>
              <w:top w:w="80" w:type="dxa"/>
              <w:start w:w="120" w:type="dxa"/>
              <w:bottom w:w="80" w:type="dxa"/>
              <w:end w:w="120" w:type="dxa"/>
            </w:tcMar>
          </w:tcPr>
          <w:p>
            <w:pPr>
              <w:spacing w:after="0" w:line="252" w:lineRule="auto"/>
            </w:pPr>
            <w:r/>
            <w:r>
              <w:rPr>
                <w:rFonts w:ascii="Calibri" w:hAnsi="Calibri"/>
                <w:b w:val="0"/>
                <w:sz w:val="17"/>
              </w:rPr>
              <w:t>High</w:t>
            </w:r>
          </w:p>
        </w:tc>
        <w:tc>
          <w:tcPr>
            <w:tcW w:type="dxa" w:w="4031"/>
            <w:vAlign w:val="center"/>
            <w:tcMar>
              <w:top w:w="80" w:type="dxa"/>
              <w:start w:w="120" w:type="dxa"/>
              <w:bottom w:w="80" w:type="dxa"/>
              <w:end w:w="120" w:type="dxa"/>
            </w:tcMar>
          </w:tcPr>
          <w:p>
            <w:pPr>
              <w:spacing w:after="0" w:line="252" w:lineRule="auto"/>
            </w:pPr>
            <w:r/>
            <w:r>
              <w:rPr>
                <w:rFonts w:ascii="Calibri" w:hAnsi="Calibri"/>
                <w:b w:val="0"/>
                <w:sz w:val="17"/>
              </w:rPr>
              <w:t>Public endpoints expose the corpus, sources, job health, prediction details, and LLM-backed endpoint without access control.</w:t>
            </w:r>
          </w:p>
        </w:tc>
        <w:tc>
          <w:tcPr>
            <w:tcW w:type="dxa" w:w="4320"/>
            <w:vAlign w:val="center"/>
            <w:tcMar>
              <w:top w:w="80" w:type="dxa"/>
              <w:start w:w="120" w:type="dxa"/>
              <w:bottom w:w="80" w:type="dxa"/>
              <w:end w:w="120" w:type="dxa"/>
            </w:tcMar>
          </w:tcPr>
          <w:p>
            <w:pPr>
              <w:spacing w:after="0" w:line="252" w:lineRule="auto"/>
            </w:pPr>
            <w:r/>
            <w:r>
              <w:rPr>
                <w:rFonts w:ascii="Calibri" w:hAnsi="Calibri"/>
                <w:b w:val="0"/>
                <w:sz w:val="17"/>
              </w:rPr>
              <w:t>Decide public vs private data classification; require auth for operational and source-management data; add API authorization policy.</w:t>
            </w:r>
          </w:p>
        </w:tc>
      </w:tr>
      <w:tr>
        <w:tc>
          <w:tcPr>
            <w:tcW w:type="dxa" w:w="1007"/>
            <w:vAlign w:val="center"/>
            <w:tcMar>
              <w:top w:w="80" w:type="dxa"/>
              <w:start w:w="120" w:type="dxa"/>
              <w:bottom w:w="80" w:type="dxa"/>
              <w:end w:w="120" w:type="dxa"/>
            </w:tcMar>
          </w:tcPr>
          <w:p>
            <w:pPr>
              <w:spacing w:after="0" w:line="252" w:lineRule="auto"/>
            </w:pPr>
            <w:r/>
            <w:r>
              <w:rPr>
                <w:rFonts w:ascii="Calibri" w:hAnsi="Calibri"/>
                <w:b w:val="0"/>
                <w:sz w:val="17"/>
              </w:rPr>
              <w:t>High</w:t>
            </w:r>
          </w:p>
        </w:tc>
        <w:tc>
          <w:tcPr>
            <w:tcW w:type="dxa" w:w="4031"/>
            <w:vAlign w:val="center"/>
            <w:tcMar>
              <w:top w:w="80" w:type="dxa"/>
              <w:start w:w="120" w:type="dxa"/>
              <w:bottom w:w="80" w:type="dxa"/>
              <w:end w:w="120" w:type="dxa"/>
            </w:tcMar>
          </w:tcPr>
          <w:p>
            <w:pPr>
              <w:spacing w:after="0" w:line="252" w:lineRule="auto"/>
            </w:pPr>
            <w:r/>
            <w:r>
              <w:rPr>
                <w:rFonts w:ascii="Calibri" w:hAnsi="Calibri"/>
                <w:b w:val="0"/>
                <w:sz w:val="17"/>
              </w:rPr>
              <w:t>Embedding failure silently falls back to hash vectors, degrading relevance while appearing functional.</w:t>
            </w:r>
          </w:p>
        </w:tc>
        <w:tc>
          <w:tcPr>
            <w:tcW w:type="dxa" w:w="4320"/>
            <w:vAlign w:val="center"/>
            <w:tcMar>
              <w:top w:w="80" w:type="dxa"/>
              <w:start w:w="120" w:type="dxa"/>
              <w:bottom w:w="80" w:type="dxa"/>
              <w:end w:w="120" w:type="dxa"/>
            </w:tcMar>
          </w:tcPr>
          <w:p>
            <w:pPr>
              <w:spacing w:after="0" w:line="252" w:lineRule="auto"/>
            </w:pPr>
            <w:r/>
            <w:r>
              <w:rPr>
                <w:rFonts w:ascii="Calibri" w:hAnsi="Calibri"/>
                <w:b w:val="0"/>
                <w:sz w:val="17"/>
              </w:rPr>
              <w:t>Fail closed for semantic features or mark degraded results; use a reliable hosted/local embedding service and telemetry.</w:t>
            </w:r>
          </w:p>
        </w:tc>
      </w:tr>
      <w:tr>
        <w:tc>
          <w:tcPr>
            <w:tcW w:type="dxa" w:w="1007"/>
            <w:vAlign w:val="center"/>
            <w:tcMar>
              <w:top w:w="80" w:type="dxa"/>
              <w:start w:w="120" w:type="dxa"/>
              <w:bottom w:w="80" w:type="dxa"/>
              <w:end w:w="120" w:type="dxa"/>
            </w:tcMar>
          </w:tcPr>
          <w:p>
            <w:pPr>
              <w:spacing w:after="0" w:line="252" w:lineRule="auto"/>
            </w:pPr>
            <w:r/>
            <w:r>
              <w:rPr>
                <w:rFonts w:ascii="Calibri" w:hAnsi="Calibri"/>
                <w:b w:val="0"/>
                <w:sz w:val="17"/>
              </w:rPr>
              <w:t>High</w:t>
            </w:r>
          </w:p>
        </w:tc>
        <w:tc>
          <w:tcPr>
            <w:tcW w:type="dxa" w:w="4031"/>
            <w:vAlign w:val="center"/>
            <w:tcMar>
              <w:top w:w="80" w:type="dxa"/>
              <w:start w:w="120" w:type="dxa"/>
              <w:bottom w:w="80" w:type="dxa"/>
              <w:end w:w="120" w:type="dxa"/>
            </w:tcMar>
          </w:tcPr>
          <w:p>
            <w:pPr>
              <w:spacing w:after="0" w:line="252" w:lineRule="auto"/>
            </w:pPr>
            <w:r/>
            <w:r>
              <w:rPr>
                <w:rFonts w:ascii="Calibri" w:hAnsi="Calibri"/>
                <w:b w:val="0"/>
                <w:sz w:val="17"/>
              </w:rPr>
              <w:t>Research prompt accepts arbitrary question text, and untrusted corpus text is placed into LLM context.</w:t>
            </w:r>
          </w:p>
        </w:tc>
        <w:tc>
          <w:tcPr>
            <w:tcW w:type="dxa" w:w="4320"/>
            <w:vAlign w:val="center"/>
            <w:tcMar>
              <w:top w:w="80" w:type="dxa"/>
              <w:start w:w="120" w:type="dxa"/>
              <w:bottom w:w="80" w:type="dxa"/>
              <w:end w:w="120" w:type="dxa"/>
            </w:tcMar>
          </w:tcPr>
          <w:p>
            <w:pPr>
              <w:spacing w:after="0" w:line="252" w:lineRule="auto"/>
            </w:pPr>
            <w:r/>
            <w:r>
              <w:rPr>
                <w:rFonts w:ascii="Calibri" w:hAnsi="Calibri"/>
                <w:b w:val="0"/>
                <w:sz w:val="17"/>
              </w:rPr>
              <w:t>Add prompt-injection isolation, content delimiters, output schema/citation validation, moderation/risk policy, and audit logs.</w:t>
            </w:r>
          </w:p>
        </w:tc>
      </w:tr>
      <w:tr>
        <w:tc>
          <w:tcPr>
            <w:tcW w:type="dxa" w:w="1007"/>
            <w:vAlign w:val="center"/>
            <w:tcMar>
              <w:top w:w="80" w:type="dxa"/>
              <w:start w:w="120" w:type="dxa"/>
              <w:bottom w:w="80" w:type="dxa"/>
              <w:end w:w="120" w:type="dxa"/>
            </w:tcMar>
          </w:tcPr>
          <w:p>
            <w:pPr>
              <w:spacing w:after="0" w:line="252" w:lineRule="auto"/>
            </w:pPr>
            <w:r/>
            <w:r>
              <w:rPr>
                <w:rFonts w:ascii="Calibri" w:hAnsi="Calibri"/>
                <w:b w:val="0"/>
                <w:sz w:val="17"/>
              </w:rPr>
              <w:t>Medium</w:t>
            </w:r>
          </w:p>
        </w:tc>
        <w:tc>
          <w:tcPr>
            <w:tcW w:type="dxa" w:w="4031"/>
            <w:vAlign w:val="center"/>
            <w:tcMar>
              <w:top w:w="80" w:type="dxa"/>
              <w:start w:w="120" w:type="dxa"/>
              <w:bottom w:w="80" w:type="dxa"/>
              <w:end w:w="120" w:type="dxa"/>
            </w:tcMar>
          </w:tcPr>
          <w:p>
            <w:pPr>
              <w:spacing w:after="0" w:line="252" w:lineRule="auto"/>
            </w:pPr>
            <w:r/>
            <w:r>
              <w:rPr>
                <w:rFonts w:ascii="Calibri" w:hAnsi="Calibri"/>
                <w:b w:val="0"/>
                <w:sz w:val="17"/>
              </w:rPr>
              <w:t>No request-size caps, schema validation library, numeric range enforcement, or shared rate limiting.</w:t>
            </w:r>
          </w:p>
        </w:tc>
        <w:tc>
          <w:tcPr>
            <w:tcW w:type="dxa" w:w="4320"/>
            <w:vAlign w:val="center"/>
            <w:tcMar>
              <w:top w:w="80" w:type="dxa"/>
              <w:start w:w="120" w:type="dxa"/>
              <w:bottom w:w="80" w:type="dxa"/>
              <w:end w:w="120" w:type="dxa"/>
            </w:tcMar>
          </w:tcPr>
          <w:p>
            <w:pPr>
              <w:spacing w:after="0" w:line="252" w:lineRule="auto"/>
            </w:pPr>
            <w:r/>
            <w:r>
              <w:rPr>
                <w:rFonts w:ascii="Calibri" w:hAnsi="Calibri"/>
                <w:b w:val="0"/>
                <w:sz w:val="17"/>
              </w:rPr>
              <w:t>Use Zod/Valibot, body limits, pagination/depth caps, Vercel/Redis rate limiting and abuse monitoring.</w:t>
            </w:r>
          </w:p>
        </w:tc>
      </w:tr>
      <w:tr>
        <w:tc>
          <w:tcPr>
            <w:tcW w:type="dxa" w:w="1007"/>
            <w:vAlign w:val="center"/>
            <w:tcMar>
              <w:top w:w="80" w:type="dxa"/>
              <w:start w:w="120" w:type="dxa"/>
              <w:bottom w:w="80" w:type="dxa"/>
              <w:end w:w="120" w:type="dxa"/>
            </w:tcMar>
          </w:tcPr>
          <w:p>
            <w:pPr>
              <w:spacing w:after="0" w:line="252" w:lineRule="auto"/>
            </w:pPr>
            <w:r/>
            <w:r>
              <w:rPr>
                <w:rFonts w:ascii="Calibri" w:hAnsi="Calibri"/>
                <w:b w:val="0"/>
                <w:sz w:val="17"/>
              </w:rPr>
              <w:t>Medium</w:t>
            </w:r>
          </w:p>
        </w:tc>
        <w:tc>
          <w:tcPr>
            <w:tcW w:type="dxa" w:w="4031"/>
            <w:vAlign w:val="center"/>
            <w:tcMar>
              <w:top w:w="80" w:type="dxa"/>
              <w:start w:w="120" w:type="dxa"/>
              <w:bottom w:w="80" w:type="dxa"/>
              <w:end w:w="120" w:type="dxa"/>
            </w:tcMar>
          </w:tcPr>
          <w:p>
            <w:pPr>
              <w:spacing w:after="0" w:line="252" w:lineRule="auto"/>
            </w:pPr>
            <w:r/>
            <w:r>
              <w:rPr>
                <w:rFonts w:ascii="Calibri" w:hAnsi="Calibri"/>
                <w:b w:val="0"/>
                <w:sz w:val="17"/>
              </w:rPr>
              <w:t>Errors return raw messages; logs may contain source/LLM details.</w:t>
            </w:r>
          </w:p>
        </w:tc>
        <w:tc>
          <w:tcPr>
            <w:tcW w:type="dxa" w:w="4320"/>
            <w:vAlign w:val="center"/>
            <w:tcMar>
              <w:top w:w="80" w:type="dxa"/>
              <w:start w:w="120" w:type="dxa"/>
              <w:bottom w:w="80" w:type="dxa"/>
              <w:end w:w="120" w:type="dxa"/>
            </w:tcMar>
          </w:tcPr>
          <w:p>
            <w:pPr>
              <w:spacing w:after="0" w:line="252" w:lineRule="auto"/>
            </w:pPr>
            <w:r/>
            <w:r>
              <w:rPr>
                <w:rFonts w:ascii="Calibri" w:hAnsi="Calibri"/>
                <w:b w:val="0"/>
                <w:sz w:val="17"/>
              </w:rPr>
              <w:t>Use opaque public error IDs and structured, redacted server logs.</w:t>
            </w:r>
          </w:p>
        </w:tc>
      </w:tr>
      <w:tr>
        <w:tc>
          <w:tcPr>
            <w:tcW w:type="dxa" w:w="1007"/>
            <w:vAlign w:val="center"/>
            <w:tcMar>
              <w:top w:w="80" w:type="dxa"/>
              <w:start w:w="120" w:type="dxa"/>
              <w:bottom w:w="80" w:type="dxa"/>
              <w:end w:w="120" w:type="dxa"/>
            </w:tcMar>
          </w:tcPr>
          <w:p>
            <w:pPr>
              <w:spacing w:after="0" w:line="252" w:lineRule="auto"/>
            </w:pPr>
            <w:r/>
            <w:r>
              <w:rPr>
                <w:rFonts w:ascii="Calibri" w:hAnsi="Calibri"/>
                <w:b w:val="0"/>
                <w:sz w:val="17"/>
              </w:rPr>
              <w:t>Medium</w:t>
            </w:r>
          </w:p>
        </w:tc>
        <w:tc>
          <w:tcPr>
            <w:tcW w:type="dxa" w:w="4031"/>
            <w:vAlign w:val="center"/>
            <w:tcMar>
              <w:top w:w="80" w:type="dxa"/>
              <w:start w:w="120" w:type="dxa"/>
              <w:bottom w:w="80" w:type="dxa"/>
              <w:end w:w="120" w:type="dxa"/>
            </w:tcMar>
          </w:tcPr>
          <w:p>
            <w:pPr>
              <w:spacing w:after="0" w:line="252" w:lineRule="auto"/>
            </w:pPr>
            <w:r/>
            <w:r>
              <w:rPr>
                <w:rFonts w:ascii="Calibri" w:hAnsi="Calibri"/>
                <w:b w:val="0"/>
                <w:sz w:val="17"/>
              </w:rPr>
              <w:t>Workflow dependency order is schedule-based, not event/queue driven.</w:t>
            </w:r>
          </w:p>
        </w:tc>
        <w:tc>
          <w:tcPr>
            <w:tcW w:type="dxa" w:w="4320"/>
            <w:vAlign w:val="center"/>
            <w:tcMar>
              <w:top w:w="80" w:type="dxa"/>
              <w:start w:w="120" w:type="dxa"/>
              <w:bottom w:w="80" w:type="dxa"/>
              <w:end w:w="120" w:type="dxa"/>
            </w:tcMar>
          </w:tcPr>
          <w:p>
            <w:pPr>
              <w:spacing w:after="0" w:line="252" w:lineRule="auto"/>
            </w:pPr>
            <w:r/>
            <w:r>
              <w:rPr>
                <w:rFonts w:ascii="Calibri" w:hAnsi="Calibri"/>
                <w:b w:val="0"/>
                <w:sz w:val="17"/>
              </w:rPr>
              <w:t>Use durable orchestration, idempotency keys, retries/backoff, and job dependency checks.</w:t>
            </w:r>
          </w:p>
        </w:tc>
      </w:tr>
    </w:tbl>
    <w:p>
      <w:pPr>
        <w:spacing w:after="60"/>
      </w:pPr>
    </w:p>
    <w:p>
      <w:pPr>
        <w:spacing w:after="160"/>
      </w:pPr>
      <w:r>
        <w:rPr>
          <w:i w:val="0"/>
        </w:rPr>
        <w:t>OWASP mapping: A01 Broken Access Control applies to disabled RLS and absent authorization; A02 Cryptographic Failures is mitigated only by platform HTTPS/secrets, with no app-level policy; A03 Injection covers LLM prompt injection and unbounded query shapes; A05 Security Misconfiguration includes public table policy and missing migration completeness; A09 Logging/Monitoring is partially addressed by job logs but lacks security audit logging.</w:t>
      </w:r>
    </w:p>
    <w:p>
      <w:pPr>
        <w:pStyle w:val="Heading1"/>
      </w:pPr>
      <w:r>
        <w:t>10. AI and Automation Analysis</w:t>
      </w:r>
    </w:p>
    <w:p>
      <w:pPr>
        <w:spacing w:after="160"/>
      </w:pPr>
      <w:r>
        <w:rPr>
          <w:i w:val="0"/>
        </w:rPr>
        <w:t>CyberTree implements AI-adjacent capabilities at several layers: supervised node typing, semantic embeddings, graph-based similarity, cluster/trend detection, Gemini question answering, and Gemini-assisted hypothesis generation. It is a retrieval-augmented generation system rather than an autonomous decision system; outputs are research aids whose confidence and citation quality must be verified by an analyst.</w:t>
      </w:r>
    </w:p>
    <w:p>
      <w:pPr>
        <w:spacing w:after="120" w:line="240" w:lineRule="auto"/>
        <w:ind w:left="360"/>
      </w:pPr>
      <w:r>
        <w:rPr>
          <w:rFonts w:ascii="Consolas" w:hAnsi="Consolas"/>
          <w:color w:val="1F4D78"/>
          <w:sz w:val="16"/>
        </w:rPr>
        <w:t>flowchart TD</w:t>
        <w:br/>
        <w:t xml:space="preserve">  Q[Question] --&gt; E[Query embedding]</w:t>
        <w:br/>
        <w:t xml:space="preserve">  Q --&gt; F[Full-text search]</w:t>
        <w:br/>
        <w:t xml:space="preserve">  E --&gt; V[pgvector match_nodes]</w:t>
        <w:br/>
        <w:t xml:space="preserve">  F --&gt; M[Merge + rank]</w:t>
        <w:br/>
        <w:t xml:space="preserve">  V --&gt; M</w:t>
        <w:br/>
        <w:t xml:space="preserve">  M --&gt; C[Top 10 compact contexts]</w:t>
        <w:br/>
        <w:t xml:space="preserve">  C --&gt; L[Gemini 2.5 Flash]</w:t>
        <w:br/>
        <w:t xml:space="preserve">  L --&gt; A[Markdown answer + node citations]</w:t>
      </w:r>
    </w:p>
    <w:p>
      <w:pPr>
        <w:spacing w:after="160"/>
      </w:pPr>
      <w:r>
        <w:rPr>
          <w:i w:val="0"/>
        </w:rPr>
        <w:t>The hypothesis engine allows only technology, tool and vulnerability candidates, obtains related vectors and relationships, and calls Gemini with source context. Evidence linking then looks for confirmation/disconfirmation indicators and updates prediction records; learning uses resolved predictions to store metrics and adjust related node confidence. Historical notes reveal prior quality issues, so this closed loop should be treated as experimental until independently measured.</w:t>
      </w:r>
    </w:p>
    <w:p>
      <w:pPr>
        <w:pStyle w:val="Heading1"/>
      </w:pPr>
      <w:r>
        <w:t>11. Workflow Documentation</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160"/>
            <w:shd w:fill="F2F4F7"/>
            <w:vAlign w:val="center"/>
            <w:tcMar>
              <w:top w:w="80" w:type="dxa"/>
              <w:start w:w="120" w:type="dxa"/>
              <w:bottom w:w="80" w:type="dxa"/>
              <w:end w:w="120" w:type="dxa"/>
            </w:tcMar>
          </w:tcPr>
          <w:p>
            <w:pPr>
              <w:spacing w:after="0" w:line="252" w:lineRule="auto"/>
            </w:pPr>
            <w:r/>
            <w:r>
              <w:rPr>
                <w:rFonts w:ascii="Calibri" w:hAnsi="Calibri"/>
                <w:b/>
                <w:sz w:val="18"/>
              </w:rPr>
              <w:t>Workflow</w:t>
            </w:r>
          </w:p>
        </w:tc>
        <w:tc>
          <w:tcPr>
            <w:tcW w:type="dxa" w:w="7200"/>
            <w:shd w:fill="F2F4F7"/>
            <w:vAlign w:val="center"/>
            <w:tcMar>
              <w:top w:w="80" w:type="dxa"/>
              <w:start w:w="120" w:type="dxa"/>
              <w:bottom w:w="80" w:type="dxa"/>
              <w:end w:w="120" w:type="dxa"/>
            </w:tcMar>
          </w:tcPr>
          <w:p>
            <w:pPr>
              <w:spacing w:after="0" w:line="252" w:lineRule="auto"/>
            </w:pPr>
            <w:r/>
            <w:r>
              <w:rPr>
                <w:rFonts w:ascii="Calibri" w:hAnsi="Calibri"/>
                <w:b/>
                <w:sz w:val="18"/>
              </w:rPr>
              <w:t>Implemented sequence</w:t>
            </w:r>
          </w:p>
        </w:tc>
      </w:tr>
      <w:tr>
        <w:tc>
          <w:tcPr>
            <w:tcW w:type="dxa" w:w="2160"/>
            <w:vAlign w:val="center"/>
            <w:tcMar>
              <w:top w:w="80" w:type="dxa"/>
              <w:start w:w="120" w:type="dxa"/>
              <w:bottom w:w="80" w:type="dxa"/>
              <w:end w:w="120" w:type="dxa"/>
            </w:tcMar>
          </w:tcPr>
          <w:p>
            <w:pPr>
              <w:spacing w:after="0" w:line="252" w:lineRule="auto"/>
            </w:pPr>
            <w:r/>
            <w:r>
              <w:rPr>
                <w:rFonts w:ascii="Calibri" w:hAnsi="Calibri"/>
                <w:b w:val="0"/>
                <w:sz w:val="17"/>
              </w:rPr>
              <w:t>User research</w:t>
            </w:r>
          </w:p>
        </w:tc>
        <w:tc>
          <w:tcPr>
            <w:tcW w:type="dxa" w:w="7200"/>
            <w:vAlign w:val="center"/>
            <w:tcMar>
              <w:top w:w="80" w:type="dxa"/>
              <w:start w:w="120" w:type="dxa"/>
              <w:bottom w:w="80" w:type="dxa"/>
              <w:end w:w="120" w:type="dxa"/>
            </w:tcMar>
          </w:tcPr>
          <w:p>
            <w:pPr>
              <w:spacing w:after="0" w:line="252" w:lineRule="auto"/>
            </w:pPr>
            <w:r/>
            <w:r>
              <w:rPr>
                <w:rFonts w:ascii="Calibri" w:hAnsi="Calibri"/>
                <w:b w:val="0"/>
                <w:sz w:val="17"/>
              </w:rPr>
              <w:t>Open dashboard/search/explore -&gt; retrieve node/graph -&gt; optional research question -&gt; inspect returned node references.</w:t>
            </w:r>
          </w:p>
        </w:tc>
      </w:tr>
      <w:tr>
        <w:tc>
          <w:tcPr>
            <w:tcW w:type="dxa" w:w="2160"/>
            <w:vAlign w:val="center"/>
            <w:tcMar>
              <w:top w:w="80" w:type="dxa"/>
              <w:start w:w="120" w:type="dxa"/>
              <w:bottom w:w="80" w:type="dxa"/>
              <w:end w:w="120" w:type="dxa"/>
            </w:tcMar>
          </w:tcPr>
          <w:p>
            <w:pPr>
              <w:spacing w:after="0" w:line="252" w:lineRule="auto"/>
            </w:pPr>
            <w:r/>
            <w:r>
              <w:rPr>
                <w:rFonts w:ascii="Calibri" w:hAnsi="Calibri"/>
                <w:b w:val="0"/>
                <w:sz w:val="17"/>
              </w:rPr>
              <w:t>Collection</w:t>
            </w:r>
          </w:p>
        </w:tc>
        <w:tc>
          <w:tcPr>
            <w:tcW w:type="dxa" w:w="7200"/>
            <w:vAlign w:val="center"/>
            <w:tcMar>
              <w:top w:w="80" w:type="dxa"/>
              <w:start w:w="120" w:type="dxa"/>
              <w:bottom w:w="80" w:type="dxa"/>
              <w:end w:w="120" w:type="dxa"/>
            </w:tcMar>
          </w:tcPr>
          <w:p>
            <w:pPr>
              <w:spacing w:after="0" w:line="252" w:lineRule="auto"/>
            </w:pPr>
            <w:r/>
            <w:r>
              <w:rPr>
                <w:rFonts w:ascii="Calibri" w:hAnsi="Calibri"/>
                <w:b w:val="0"/>
                <w:sz w:val="17"/>
              </w:rPr>
              <w:t>GitHub cron -&gt; collect.py -&gt; fetch feeds -&gt; de-duplicate checksum -&gt; raw_sources -&gt; job log.</w:t>
            </w:r>
          </w:p>
        </w:tc>
      </w:tr>
      <w:tr>
        <w:tc>
          <w:tcPr>
            <w:tcW w:type="dxa" w:w="2160"/>
            <w:vAlign w:val="center"/>
            <w:tcMar>
              <w:top w:w="80" w:type="dxa"/>
              <w:start w:w="120" w:type="dxa"/>
              <w:bottom w:w="80" w:type="dxa"/>
              <w:end w:w="120" w:type="dxa"/>
            </w:tcMar>
          </w:tcPr>
          <w:p>
            <w:pPr>
              <w:spacing w:after="0" w:line="252" w:lineRule="auto"/>
            </w:pPr>
            <w:r/>
            <w:r>
              <w:rPr>
                <w:rFonts w:ascii="Calibri" w:hAnsi="Calibri"/>
                <w:b w:val="0"/>
                <w:sz w:val="17"/>
              </w:rPr>
              <w:t>Processing</w:t>
            </w:r>
          </w:p>
        </w:tc>
        <w:tc>
          <w:tcPr>
            <w:tcW w:type="dxa" w:w="7200"/>
            <w:vAlign w:val="center"/>
            <w:tcMar>
              <w:top w:w="80" w:type="dxa"/>
              <w:start w:w="120" w:type="dxa"/>
              <w:bottom w:w="80" w:type="dxa"/>
              <w:end w:w="120" w:type="dxa"/>
            </w:tcMar>
          </w:tcPr>
          <w:p>
            <w:pPr>
              <w:spacing w:after="0" w:line="252" w:lineRule="auto"/>
            </w:pPr>
            <w:r/>
            <w:r>
              <w:rPr>
                <w:rFonts w:ascii="Calibri" w:hAnsi="Calibri"/>
                <w:b w:val="0"/>
                <w:sz w:val="17"/>
              </w:rPr>
              <w:t>process.py -&gt; obtain source article where possible -&gt; embedding/classification -&gt; nodes -&gt; mark raw source processed -&gt; flush queue.</w:t>
            </w:r>
          </w:p>
        </w:tc>
      </w:tr>
      <w:tr>
        <w:tc>
          <w:tcPr>
            <w:tcW w:type="dxa" w:w="2160"/>
            <w:vAlign w:val="center"/>
            <w:tcMar>
              <w:top w:w="80" w:type="dxa"/>
              <w:start w:w="120" w:type="dxa"/>
              <w:bottom w:w="80" w:type="dxa"/>
              <w:end w:w="120" w:type="dxa"/>
            </w:tcMar>
          </w:tcPr>
          <w:p>
            <w:pPr>
              <w:spacing w:after="0" w:line="252" w:lineRule="auto"/>
            </w:pPr>
            <w:r/>
            <w:r>
              <w:rPr>
                <w:rFonts w:ascii="Calibri" w:hAnsi="Calibri"/>
                <w:b w:val="0"/>
                <w:sz w:val="17"/>
              </w:rPr>
              <w:t>Knowledge enrichment</w:t>
            </w:r>
          </w:p>
        </w:tc>
        <w:tc>
          <w:tcPr>
            <w:tcW w:type="dxa" w:w="7200"/>
            <w:vAlign w:val="center"/>
            <w:tcMar>
              <w:top w:w="80" w:type="dxa"/>
              <w:start w:w="120" w:type="dxa"/>
              <w:bottom w:w="80" w:type="dxa"/>
              <w:end w:w="120" w:type="dxa"/>
            </w:tcMar>
          </w:tcPr>
          <w:p>
            <w:pPr>
              <w:spacing w:after="0" w:line="252" w:lineRule="auto"/>
            </w:pPr>
            <w:r/>
            <w:r>
              <w:rPr>
                <w:rFonts w:ascii="Calibri" w:hAnsi="Calibri"/>
                <w:b w:val="0"/>
                <w:sz w:val="17"/>
              </w:rPr>
              <w:t>relate -&gt; embed -&gt; cluster -&gt; trend/pattern report; schedules are independent and may consume partially prepared data.</w:t>
            </w:r>
          </w:p>
        </w:tc>
      </w:tr>
      <w:tr>
        <w:tc>
          <w:tcPr>
            <w:tcW w:type="dxa" w:w="2160"/>
            <w:vAlign w:val="center"/>
            <w:tcMar>
              <w:top w:w="80" w:type="dxa"/>
              <w:start w:w="120" w:type="dxa"/>
              <w:bottom w:w="80" w:type="dxa"/>
              <w:end w:w="120" w:type="dxa"/>
            </w:tcMar>
          </w:tcPr>
          <w:p>
            <w:pPr>
              <w:spacing w:after="0" w:line="252" w:lineRule="auto"/>
            </w:pPr>
            <w:r/>
            <w:r>
              <w:rPr>
                <w:rFonts w:ascii="Calibri" w:hAnsi="Calibri"/>
                <w:b w:val="0"/>
                <w:sz w:val="17"/>
              </w:rPr>
              <w:t>Prediction learning</w:t>
            </w:r>
          </w:p>
        </w:tc>
        <w:tc>
          <w:tcPr>
            <w:tcW w:type="dxa" w:w="7200"/>
            <w:vAlign w:val="center"/>
            <w:tcMar>
              <w:top w:w="80" w:type="dxa"/>
              <w:start w:w="120" w:type="dxa"/>
              <w:bottom w:w="80" w:type="dxa"/>
              <w:end w:w="120" w:type="dxa"/>
            </w:tcMar>
          </w:tcPr>
          <w:p>
            <w:pPr>
              <w:spacing w:after="0" w:line="252" w:lineRule="auto"/>
            </w:pPr>
            <w:r/>
            <w:r>
              <w:rPr>
                <w:rFonts w:ascii="Calibri" w:hAnsi="Calibri"/>
                <w:b w:val="0"/>
                <w:sz w:val="17"/>
              </w:rPr>
              <w:t>hypothesis engine -&gt; predictions -&gt; daily evidence linker -&gt; resolved states -&gt; learning metrics/confidence -&gt; periodic model update.</w:t>
            </w:r>
          </w:p>
        </w:tc>
      </w:tr>
      <w:tr>
        <w:tc>
          <w:tcPr>
            <w:tcW w:type="dxa" w:w="2160"/>
            <w:vAlign w:val="center"/>
            <w:tcMar>
              <w:top w:w="80" w:type="dxa"/>
              <w:start w:w="120" w:type="dxa"/>
              <w:bottom w:w="80" w:type="dxa"/>
              <w:end w:w="120" w:type="dxa"/>
            </w:tcMar>
          </w:tcPr>
          <w:p>
            <w:pPr>
              <w:spacing w:after="0" w:line="252" w:lineRule="auto"/>
            </w:pPr>
            <w:r/>
            <w:r>
              <w:rPr>
                <w:rFonts w:ascii="Calibri" w:hAnsi="Calibri"/>
                <w:b w:val="0"/>
                <w:sz w:val="17"/>
              </w:rPr>
              <w:t>Source maintenance</w:t>
            </w:r>
          </w:p>
        </w:tc>
        <w:tc>
          <w:tcPr>
            <w:tcW w:type="dxa" w:w="7200"/>
            <w:vAlign w:val="center"/>
            <w:tcMar>
              <w:top w:w="80" w:type="dxa"/>
              <w:start w:w="120" w:type="dxa"/>
              <w:bottom w:w="80" w:type="dxa"/>
              <w:end w:w="120" w:type="dxa"/>
            </w:tcMar>
          </w:tcPr>
          <w:p>
            <w:pPr>
              <w:spacing w:after="0" w:line="252" w:lineRule="auto"/>
            </w:pPr>
            <w:r/>
            <w:r>
              <w:rPr>
                <w:rFonts w:ascii="Calibri" w:hAnsi="Calibri"/>
                <w:b w:val="0"/>
                <w:sz w:val="17"/>
              </w:rPr>
              <w:t>discover referenced domains -&gt; validate RSS -&gt; sources; dead detector checks/replaces/deactivates; healer repairs graph.</w:t>
            </w:r>
          </w:p>
        </w:tc>
      </w:tr>
      <w:tr>
        <w:tc>
          <w:tcPr>
            <w:tcW w:type="dxa" w:w="2160"/>
            <w:vAlign w:val="center"/>
            <w:tcMar>
              <w:top w:w="80" w:type="dxa"/>
              <w:start w:w="120" w:type="dxa"/>
              <w:bottom w:w="80" w:type="dxa"/>
              <w:end w:w="120" w:type="dxa"/>
            </w:tcMar>
          </w:tcPr>
          <w:p>
            <w:pPr>
              <w:spacing w:after="0" w:line="252" w:lineRule="auto"/>
            </w:pPr>
            <w:r/>
            <w:r>
              <w:rPr>
                <w:rFonts w:ascii="Calibri" w:hAnsi="Calibri"/>
                <w:b w:val="0"/>
                <w:sz w:val="17"/>
              </w:rPr>
              <w:t>Deployment</w:t>
            </w:r>
          </w:p>
        </w:tc>
        <w:tc>
          <w:tcPr>
            <w:tcW w:type="dxa" w:w="7200"/>
            <w:vAlign w:val="center"/>
            <w:tcMar>
              <w:top w:w="80" w:type="dxa"/>
              <w:start w:w="120" w:type="dxa"/>
              <w:bottom w:w="80" w:type="dxa"/>
              <w:end w:w="120" w:type="dxa"/>
            </w:tcMar>
          </w:tcPr>
          <w:p>
            <w:pPr>
              <w:spacing w:after="0" w:line="252" w:lineRule="auto"/>
            </w:pPr>
            <w:r/>
            <w:r>
              <w:rPr>
                <w:rFonts w:ascii="Calibri" w:hAnsi="Calibri"/>
                <w:b w:val="0"/>
                <w:sz w:val="17"/>
              </w:rPr>
              <w:t>Push -&gt; Vercel builds Next.js; scheduled workflows separately execute on GitHub Actions.</w:t>
            </w:r>
          </w:p>
        </w:tc>
      </w:tr>
    </w:tbl>
    <w:p>
      <w:pPr>
        <w:spacing w:after="60"/>
      </w:pPr>
    </w:p>
    <w:p>
      <w:pPr>
        <w:spacing w:after="120" w:line="240" w:lineRule="auto"/>
        <w:ind w:left="360"/>
      </w:pPr>
      <w:r>
        <w:rPr>
          <w:rFonts w:ascii="Consolas" w:hAnsi="Consolas"/>
          <w:color w:val="1F4D78"/>
          <w:sz w:val="16"/>
        </w:rPr>
        <w:t>flowchart LR</w:t>
        <w:br/>
        <w:t xml:space="preserve">  C[Collect: 6h] --&gt; R[raw_sources]</w:t>
        <w:br/>
        <w:t xml:space="preserve">  P[Process: 12h] --&gt; N[nodes]</w:t>
        <w:br/>
        <w:t xml:space="preserve">  R --&gt; P</w:t>
        <w:br/>
        <w:t xml:space="preserve">  N --&gt; L[Relate: daily]</w:t>
        <w:br/>
        <w:t xml:space="preserve">  N --&gt; E[Embed: weekly]</w:t>
        <w:br/>
        <w:t xml:space="preserve">  E --&gt; K[Cluster/Trend: weekly]</w:t>
        <w:br/>
        <w:t xml:space="preserve">  K --&gt; H[Hypotheses: weekly]</w:t>
        <w:br/>
        <w:t xml:space="preserve">  H --&gt; V[Evidence: daily]</w:t>
        <w:br/>
        <w:t xml:space="preserve">  V --&gt; LE[Learning: weekly]</w:t>
        <w:br/>
        <w:t xml:space="preserve">  LE --&gt; MU[Model update: monthly]</w:t>
      </w:r>
    </w:p>
    <w:p>
      <w:pPr>
        <w:pStyle w:val="Heading1"/>
      </w:pPr>
      <w:r>
        <w:t>12. UI / UX Analysis</w:t>
      </w:r>
    </w:p>
    <w:p>
      <w:pPr>
        <w:spacing w:after="160"/>
      </w:pPr>
      <w:r>
        <w:rPr>
          <w:i w:val="0"/>
        </w:rPr>
        <w:t>The visual system is a dark “command center” using Tailwind utility styling, color-coded node types, dense status cards, and Recharts. Main navigation exposes Dashboard, Search, Explore, Timeline, Threats, Patterns, Predictions, Model/Intelligence, Sources, and AI Research. The Header’s global search uses a 200 ms debounce and Ctrl/Cmd+K focus shortcut.</w:t>
      </w:r>
    </w:p>
    <w:p>
      <w:pPr>
        <w:spacing w:after="160"/>
      </w:pPr>
      <w:r>
        <w:rPr>
          <w:i w:val="0"/>
        </w:rPr>
        <w:t>Strengths include clear workflow visibility, source-oriented research citations, and direct navigation between knowledge views. Accessibility gaps include emoji-only/visual status signaling, no evidence of full keyboard focus/ARIA audit, and potential long-live-update complexity. Responsive navigation intentionally hides links below large screens but offers no documented mobile alternative menu.</w:t>
      </w:r>
    </w:p>
    <w:p>
      <w:pPr>
        <w:pStyle w:val="Heading1"/>
      </w:pPr>
      <w:r>
        <w:t>13. Deployment Analysis</w:t>
      </w:r>
    </w:p>
    <w:p>
      <w:pPr>
        <w:spacing w:after="160"/>
      </w:pPr>
      <w:r>
        <w:rPr>
          <w:i w:val="0"/>
        </w:rPr>
        <w:t>`vercel.json` declares a Next.js framework build using `npm run build` and `.next`. There is no Dockerfile, container orchestration, infrastructure-as-code, migration runner, environment schema, or documented release procedure. GitHub Actions uses `ubuntu-latest`, Python 3.11, dependency installation from `requirements.txt`, cron, and workflow_dispatch. Some workflows have `contents: write` to commit model/cluster artifacts or publish backups.</w:t>
      </w:r>
    </w:p>
    <w:p>
      <w:pPr>
        <w:spacing w:after="160"/>
      </w:pPr>
      <w:r>
        <w:rPr>
          <w:i w:val="0"/>
        </w:rPr>
        <w:t>Production resilience depends on Vercel, Supabase, GitHub Actions and external provider SLAs. Scale guidance: move scheduled compute to managed workers/queues for predictable runtimes, separate public read replicas/views from write privileges, use vector indexes configured for expected corpus size, and centralize observability across web and jobs.</w:t>
      </w:r>
    </w:p>
    <w:p>
      <w:pPr>
        <w:pStyle w:val="Heading1"/>
      </w:pPr>
      <w:r>
        <w:t>14. Performance Analysis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448"/>
            <w:shd w:fill="F2F4F7"/>
            <w:vAlign w:val="center"/>
            <w:tcMar>
              <w:top w:w="80" w:type="dxa"/>
              <w:start w:w="120" w:type="dxa"/>
              <w:bottom w:w="80" w:type="dxa"/>
              <w:end w:w="120" w:type="dxa"/>
            </w:tcMar>
          </w:tcPr>
          <w:p>
            <w:pPr>
              <w:spacing w:after="0" w:line="252" w:lineRule="auto"/>
            </w:pPr>
            <w:r/>
            <w:r>
              <w:rPr>
                <w:rFonts w:ascii="Calibri" w:hAnsi="Calibri"/>
                <w:b/>
                <w:sz w:val="18"/>
              </w:rPr>
              <w:t>Area</w:t>
            </w:r>
          </w:p>
        </w:tc>
        <w:tc>
          <w:tcPr>
            <w:tcW w:type="dxa" w:w="6912"/>
            <w:shd w:fill="F2F4F7"/>
            <w:vAlign w:val="center"/>
            <w:tcMar>
              <w:top w:w="80" w:type="dxa"/>
              <w:start w:w="120" w:type="dxa"/>
              <w:bottom w:w="80" w:type="dxa"/>
              <w:end w:w="120" w:type="dxa"/>
            </w:tcMar>
          </w:tcPr>
          <w:p>
            <w:pPr>
              <w:spacing w:after="0" w:line="252" w:lineRule="auto"/>
            </w:pPr>
            <w:r/>
            <w:r>
              <w:rPr>
                <w:rFonts w:ascii="Calibri" w:hAnsi="Calibri"/>
                <w:b/>
                <w:sz w:val="18"/>
              </w:rPr>
              <w:t>Bottleneck / improvement</w:t>
            </w:r>
          </w:p>
        </w:tc>
      </w:tr>
      <w:tr>
        <w:tc>
          <w:tcPr>
            <w:tcW w:type="dxa" w:w="2448"/>
            <w:vAlign w:val="center"/>
            <w:tcMar>
              <w:top w:w="80" w:type="dxa"/>
              <w:start w:w="120" w:type="dxa"/>
              <w:bottom w:w="80" w:type="dxa"/>
              <w:end w:w="120" w:type="dxa"/>
            </w:tcMar>
          </w:tcPr>
          <w:p>
            <w:pPr>
              <w:spacing w:after="0" w:line="252" w:lineRule="auto"/>
            </w:pPr>
            <w:r/>
            <w:r>
              <w:rPr>
                <w:rFonts w:ascii="Calibri" w:hAnsi="Calibri"/>
                <w:b w:val="0"/>
                <w:sz w:val="17"/>
              </w:rPr>
              <w:t>SQLite semantic search</w:t>
            </w:r>
          </w:p>
        </w:tc>
        <w:tc>
          <w:tcPr>
            <w:tcW w:type="dxa" w:w="6912"/>
            <w:vAlign w:val="center"/>
            <w:tcMar>
              <w:top w:w="80" w:type="dxa"/>
              <w:start w:w="120" w:type="dxa"/>
              <w:bottom w:w="80" w:type="dxa"/>
              <w:end w:w="120" w:type="dxa"/>
            </w:tcMar>
          </w:tcPr>
          <w:p>
            <w:pPr>
              <w:spacing w:after="0" w:line="252" w:lineRule="auto"/>
            </w:pPr>
            <w:r/>
            <w:r>
              <w:rPr>
                <w:rFonts w:ascii="Calibri" w:hAnsi="Calibri"/>
                <w:b w:val="0"/>
                <w:sz w:val="17"/>
              </w:rPr>
              <w:t>Loads every embedded node and calculates cosine similarity in JS; unsuitable for sizable corpora. Limit local corpus or add a vector extension/index.</w:t>
            </w:r>
          </w:p>
        </w:tc>
      </w:tr>
      <w:tr>
        <w:tc>
          <w:tcPr>
            <w:tcW w:type="dxa" w:w="2448"/>
            <w:vAlign w:val="center"/>
            <w:tcMar>
              <w:top w:w="80" w:type="dxa"/>
              <w:start w:w="120" w:type="dxa"/>
              <w:bottom w:w="80" w:type="dxa"/>
              <w:end w:w="120" w:type="dxa"/>
            </w:tcMar>
          </w:tcPr>
          <w:p>
            <w:pPr>
              <w:spacing w:after="0" w:line="252" w:lineRule="auto"/>
            </w:pPr>
            <w:r/>
            <w:r>
              <w:rPr>
                <w:rFonts w:ascii="Calibri" w:hAnsi="Calibri"/>
                <w:b w:val="0"/>
                <w:sz w:val="17"/>
              </w:rPr>
              <w:t>Graph traversal</w:t>
            </w:r>
          </w:p>
        </w:tc>
        <w:tc>
          <w:tcPr>
            <w:tcW w:type="dxa" w:w="6912"/>
            <w:vAlign w:val="center"/>
            <w:tcMar>
              <w:top w:w="80" w:type="dxa"/>
              <w:start w:w="120" w:type="dxa"/>
              <w:bottom w:w="80" w:type="dxa"/>
              <w:end w:w="120" w:type="dxa"/>
            </w:tcMar>
          </w:tcPr>
          <w:p>
            <w:pPr>
              <w:spacing w:after="0" w:line="252" w:lineRule="auto"/>
            </w:pPr>
            <w:r/>
            <w:r>
              <w:rPr>
                <w:rFonts w:ascii="Calibri" w:hAnsi="Calibri"/>
                <w:b w:val="0"/>
                <w:sz w:val="17"/>
              </w:rPr>
              <w:t>Depth and node count can expand rapidly; current route parses depth without a hard cap. Clamp values, paginate, cache graph neighborhoods.</w:t>
            </w:r>
          </w:p>
        </w:tc>
      </w:tr>
      <w:tr>
        <w:tc>
          <w:tcPr>
            <w:tcW w:type="dxa" w:w="2448"/>
            <w:vAlign w:val="center"/>
            <w:tcMar>
              <w:top w:w="80" w:type="dxa"/>
              <w:start w:w="120" w:type="dxa"/>
              <w:bottom w:w="80" w:type="dxa"/>
              <w:end w:w="120" w:type="dxa"/>
            </w:tcMar>
          </w:tcPr>
          <w:p>
            <w:pPr>
              <w:spacing w:after="0" w:line="252" w:lineRule="auto"/>
            </w:pPr>
            <w:r/>
            <w:r>
              <w:rPr>
                <w:rFonts w:ascii="Calibri" w:hAnsi="Calibri"/>
                <w:b w:val="0"/>
                <w:sz w:val="17"/>
              </w:rPr>
              <w:t>Embedding API</w:t>
            </w:r>
          </w:p>
        </w:tc>
        <w:tc>
          <w:tcPr>
            <w:tcW w:type="dxa" w:w="6912"/>
            <w:vAlign w:val="center"/>
            <w:tcMar>
              <w:top w:w="80" w:type="dxa"/>
              <w:start w:w="120" w:type="dxa"/>
              <w:bottom w:w="80" w:type="dxa"/>
              <w:end w:w="120" w:type="dxa"/>
            </w:tcMar>
          </w:tcPr>
          <w:p>
            <w:pPr>
              <w:spacing w:after="0" w:line="252" w:lineRule="auto"/>
            </w:pPr>
            <w:r/>
            <w:r>
              <w:rPr>
                <w:rFonts w:ascii="Calibri" w:hAnsi="Calibri"/>
                <w:b w:val="0"/>
                <w:sz w:val="17"/>
              </w:rPr>
              <w:t>Remote inference latency/rate limits cause fallback and weak retrieval. Cache embeddings by text hash and monitor provider errors.</w:t>
            </w:r>
          </w:p>
        </w:tc>
      </w:tr>
      <w:tr>
        <w:tc>
          <w:tcPr>
            <w:tcW w:type="dxa" w:w="2448"/>
            <w:vAlign w:val="center"/>
            <w:tcMar>
              <w:top w:w="80" w:type="dxa"/>
              <w:start w:w="120" w:type="dxa"/>
              <w:bottom w:w="80" w:type="dxa"/>
              <w:end w:w="120" w:type="dxa"/>
            </w:tcMar>
          </w:tcPr>
          <w:p>
            <w:pPr>
              <w:spacing w:after="0" w:line="252" w:lineRule="auto"/>
            </w:pPr>
            <w:r/>
            <w:r>
              <w:rPr>
                <w:rFonts w:ascii="Calibri" w:hAnsi="Calibri"/>
                <w:b w:val="0"/>
                <w:sz w:val="17"/>
              </w:rPr>
              <w:t>Research route</w:t>
            </w:r>
          </w:p>
        </w:tc>
        <w:tc>
          <w:tcPr>
            <w:tcW w:type="dxa" w:w="6912"/>
            <w:vAlign w:val="center"/>
            <w:tcMar>
              <w:top w:w="80" w:type="dxa"/>
              <w:start w:w="120" w:type="dxa"/>
              <w:bottom w:w="80" w:type="dxa"/>
              <w:end w:w="120" w:type="dxa"/>
            </w:tcMar>
          </w:tcPr>
          <w:p>
            <w:pPr>
              <w:spacing w:after="0" w:line="252" w:lineRule="auto"/>
            </w:pPr>
            <w:r/>
            <w:r>
              <w:rPr>
                <w:rFonts w:ascii="Calibri" w:hAnsi="Calibri"/>
                <w:b w:val="0"/>
                <w:sz w:val="17"/>
              </w:rPr>
              <w:t>Concurrent retrieval plus Gemini call increases tail latency. Add timeouts, cache frequent queries, stream response, and report retrieval quality.</w:t>
            </w:r>
          </w:p>
        </w:tc>
      </w:tr>
      <w:tr>
        <w:tc>
          <w:tcPr>
            <w:tcW w:type="dxa" w:w="2448"/>
            <w:vAlign w:val="center"/>
            <w:tcMar>
              <w:top w:w="80" w:type="dxa"/>
              <w:start w:w="120" w:type="dxa"/>
              <w:bottom w:w="80" w:type="dxa"/>
              <w:end w:w="120" w:type="dxa"/>
            </w:tcMar>
          </w:tcPr>
          <w:p>
            <w:pPr>
              <w:spacing w:after="0" w:line="252" w:lineRule="auto"/>
            </w:pPr>
            <w:r/>
            <w:r>
              <w:rPr>
                <w:rFonts w:ascii="Calibri" w:hAnsi="Calibri"/>
                <w:b w:val="0"/>
                <w:sz w:val="17"/>
              </w:rPr>
              <w:t>Batch jobs</w:t>
            </w:r>
          </w:p>
        </w:tc>
        <w:tc>
          <w:tcPr>
            <w:tcW w:type="dxa" w:w="6912"/>
            <w:vAlign w:val="center"/>
            <w:tcMar>
              <w:top w:w="80" w:type="dxa"/>
              <w:start w:w="120" w:type="dxa"/>
              <w:bottom w:w="80" w:type="dxa"/>
              <w:end w:w="120" w:type="dxa"/>
            </w:tcMar>
          </w:tcPr>
          <w:p>
            <w:pPr>
              <w:spacing w:after="0" w:line="252" w:lineRule="auto"/>
            </w:pPr>
            <w:r/>
            <w:r>
              <w:rPr>
                <w:rFonts w:ascii="Calibri" w:hAnsi="Calibri"/>
                <w:b w:val="0"/>
                <w:sz w:val="17"/>
              </w:rPr>
              <w:t>Independent cron jobs can overlap and process stale/incomplete input. Use locks, checkpoints and dependency-aware orchestration.</w:t>
            </w:r>
          </w:p>
        </w:tc>
      </w:tr>
      <w:tr>
        <w:tc>
          <w:tcPr>
            <w:tcW w:type="dxa" w:w="2448"/>
            <w:vAlign w:val="center"/>
            <w:tcMar>
              <w:top w:w="80" w:type="dxa"/>
              <w:start w:w="120" w:type="dxa"/>
              <w:bottom w:w="80" w:type="dxa"/>
              <w:end w:w="120" w:type="dxa"/>
            </w:tcMar>
          </w:tcPr>
          <w:p>
            <w:pPr>
              <w:spacing w:after="0" w:line="252" w:lineRule="auto"/>
            </w:pPr>
            <w:r/>
            <w:r>
              <w:rPr>
                <w:rFonts w:ascii="Calibri" w:hAnsi="Calibri"/>
                <w:b w:val="0"/>
                <w:sz w:val="17"/>
              </w:rPr>
              <w:t>Queries</w:t>
            </w:r>
          </w:p>
        </w:tc>
        <w:tc>
          <w:tcPr>
            <w:tcW w:type="dxa" w:w="6912"/>
            <w:vAlign w:val="center"/>
            <w:tcMar>
              <w:top w:w="80" w:type="dxa"/>
              <w:start w:w="120" w:type="dxa"/>
              <w:bottom w:w="80" w:type="dxa"/>
              <w:end w:w="120" w:type="dxa"/>
            </w:tcMar>
          </w:tcPr>
          <w:p>
            <w:pPr>
              <w:spacing w:after="0" w:line="252" w:lineRule="auto"/>
            </w:pPr>
            <w:r/>
            <w:r>
              <w:rPr>
                <w:rFonts w:ascii="Calibri" w:hAnsi="Calibri"/>
                <w:b w:val="0"/>
                <w:sz w:val="17"/>
              </w:rPr>
              <w:t>Several global search/source matches use broad ILIKE patterns. Use dedicated FTS, normalized source domains and indexes.</w:t>
            </w:r>
          </w:p>
        </w:tc>
      </w:tr>
    </w:tbl>
    <w:p>
      <w:pPr>
        <w:spacing w:after="60"/>
      </w:pPr>
    </w:p>
    <w:p>
      <w:pPr>
        <w:pStyle w:val="Heading1"/>
      </w:pPr>
      <w:r>
        <w:t>15. Software Testing</w:t>
      </w:r>
    </w:p>
    <w:p>
      <w:pPr>
        <w:spacing w:after="160"/>
      </w:pPr>
      <w:r>
        <w:rPr>
          <w:i w:val="0"/>
        </w:rPr>
        <w:t>The repository declares pytest but contains no automated test files and no JavaScript test framework/script. Existing `test_tech.py` is a diagnostic script, not a test suite. Therefore no unit, integration, API contract, UI, migration, security, load, or end-to-end test coverage can be substantiated from the workspace.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015"/>
            <w:shd w:fill="F2F4F7"/>
            <w:vAlign w:val="center"/>
            <w:tcMar>
              <w:top w:w="80" w:type="dxa"/>
              <w:start w:w="120" w:type="dxa"/>
              <w:bottom w:w="80" w:type="dxa"/>
              <w:end w:w="120" w:type="dxa"/>
            </w:tcMar>
          </w:tcPr>
          <w:p>
            <w:pPr>
              <w:spacing w:after="0" w:line="252" w:lineRule="auto"/>
            </w:pPr>
            <w:r/>
            <w:r>
              <w:rPr>
                <w:rFonts w:ascii="Calibri" w:hAnsi="Calibri"/>
                <w:b/>
                <w:sz w:val="18"/>
              </w:rPr>
              <w:t>Test layer</w:t>
            </w:r>
          </w:p>
        </w:tc>
        <w:tc>
          <w:tcPr>
            <w:tcW w:type="dxa" w:w="7343"/>
            <w:shd w:fill="F2F4F7"/>
            <w:vAlign w:val="center"/>
            <w:tcMar>
              <w:top w:w="80" w:type="dxa"/>
              <w:start w:w="120" w:type="dxa"/>
              <w:bottom w:w="80" w:type="dxa"/>
              <w:end w:w="120" w:type="dxa"/>
            </w:tcMar>
          </w:tcPr>
          <w:p>
            <w:pPr>
              <w:spacing w:after="0" w:line="252" w:lineRule="auto"/>
            </w:pPr>
            <w:r/>
            <w:r>
              <w:rPr>
                <w:rFonts w:ascii="Calibri" w:hAnsi="Calibri"/>
                <w:b/>
                <w:sz w:val="18"/>
              </w:rPr>
              <w:t>High-value test cases</w:t>
            </w:r>
          </w:p>
        </w:tc>
      </w:tr>
      <w:tr>
        <w:tc>
          <w:tcPr>
            <w:tcW w:type="dxa" w:w="2015"/>
            <w:vAlign w:val="center"/>
            <w:tcMar>
              <w:top w:w="80" w:type="dxa"/>
              <w:start w:w="120" w:type="dxa"/>
              <w:bottom w:w="80" w:type="dxa"/>
              <w:end w:w="120" w:type="dxa"/>
            </w:tcMar>
          </w:tcPr>
          <w:p>
            <w:pPr>
              <w:spacing w:after="0" w:line="252" w:lineRule="auto"/>
            </w:pPr>
            <w:r/>
            <w:r>
              <w:rPr>
                <w:rFonts w:ascii="Calibri" w:hAnsi="Calibri"/>
                <w:b w:val="0"/>
                <w:sz w:val="17"/>
              </w:rPr>
              <w:t>Unit</w:t>
            </w:r>
          </w:p>
        </w:tc>
        <w:tc>
          <w:tcPr>
            <w:tcW w:type="dxa" w:w="7343"/>
            <w:vAlign w:val="center"/>
            <w:tcMar>
              <w:top w:w="80" w:type="dxa"/>
              <w:start w:w="120" w:type="dxa"/>
              <w:bottom w:w="80" w:type="dxa"/>
              <w:end w:w="120" w:type="dxa"/>
            </w:tcMar>
          </w:tcPr>
          <w:p>
            <w:pPr>
              <w:spacing w:after="0" w:line="252" w:lineRule="auto"/>
            </w:pPr>
            <w:r/>
            <w:r>
              <w:rPr>
                <w:rFonts w:ascii="Calibri" w:hAnsi="Calibri"/>
                <w:b w:val="0"/>
                <w:sz w:val="17"/>
              </w:rPr>
              <w:t>Classifier weight parity with Python; embedding provider/fallback behavior; archived-node filter; cosine edge cases; health-window classification.</w:t>
            </w:r>
          </w:p>
        </w:tc>
      </w:tr>
      <w:tr>
        <w:tc>
          <w:tcPr>
            <w:tcW w:type="dxa" w:w="2015"/>
            <w:vAlign w:val="center"/>
            <w:tcMar>
              <w:top w:w="80" w:type="dxa"/>
              <w:start w:w="120" w:type="dxa"/>
              <w:bottom w:w="80" w:type="dxa"/>
              <w:end w:w="120" w:type="dxa"/>
            </w:tcMar>
          </w:tcPr>
          <w:p>
            <w:pPr>
              <w:spacing w:after="0" w:line="252" w:lineRule="auto"/>
            </w:pPr>
            <w:r/>
            <w:r>
              <w:rPr>
                <w:rFonts w:ascii="Calibri" w:hAnsi="Calibri"/>
                <w:b w:val="0"/>
                <w:sz w:val="17"/>
              </w:rPr>
              <w:t>API</w:t>
            </w:r>
          </w:p>
        </w:tc>
        <w:tc>
          <w:tcPr>
            <w:tcW w:type="dxa" w:w="7343"/>
            <w:vAlign w:val="center"/>
            <w:tcMar>
              <w:top w:w="80" w:type="dxa"/>
              <w:start w:w="120" w:type="dxa"/>
              <w:bottom w:w="80" w:type="dxa"/>
              <w:end w:w="120" w:type="dxa"/>
            </w:tcMar>
          </w:tcPr>
          <w:p>
            <w:pPr>
              <w:spacing w:after="0" w:line="252" w:lineRule="auto"/>
            </w:pPr>
            <w:r/>
            <w:r>
              <w:rPr>
                <w:rFonts w:ascii="Calibri" w:hAnsi="Calibri"/>
                <w:b w:val="0"/>
                <w:sz w:val="17"/>
              </w:rPr>
              <w:t>Schema validation, bad numeric bounds, 404s, opaque 500 errors, research rate limits across instances, prompt/citation output schema.</w:t>
            </w:r>
          </w:p>
        </w:tc>
      </w:tr>
      <w:tr>
        <w:tc>
          <w:tcPr>
            <w:tcW w:type="dxa" w:w="2015"/>
            <w:vAlign w:val="center"/>
            <w:tcMar>
              <w:top w:w="80" w:type="dxa"/>
              <w:start w:w="120" w:type="dxa"/>
              <w:bottom w:w="80" w:type="dxa"/>
              <w:end w:w="120" w:type="dxa"/>
            </w:tcMar>
          </w:tcPr>
          <w:p>
            <w:pPr>
              <w:spacing w:after="0" w:line="252" w:lineRule="auto"/>
            </w:pPr>
            <w:r/>
            <w:r>
              <w:rPr>
                <w:rFonts w:ascii="Calibri" w:hAnsi="Calibri"/>
                <w:b w:val="0"/>
                <w:sz w:val="17"/>
              </w:rPr>
              <w:t>Database</w:t>
            </w:r>
          </w:p>
        </w:tc>
        <w:tc>
          <w:tcPr>
            <w:tcW w:type="dxa" w:w="7343"/>
            <w:vAlign w:val="center"/>
            <w:tcMar>
              <w:top w:w="80" w:type="dxa"/>
              <w:start w:w="120" w:type="dxa"/>
              <w:bottom w:w="80" w:type="dxa"/>
              <w:end w:w="120" w:type="dxa"/>
            </w:tcMar>
          </w:tcPr>
          <w:p>
            <w:pPr>
              <w:spacing w:after="0" w:line="252" w:lineRule="auto"/>
            </w:pPr>
            <w:r/>
            <w:r>
              <w:rPr>
                <w:rFonts w:ascii="Calibri" w:hAnsi="Calibri"/>
                <w:b w:val="0"/>
                <w:sz w:val="17"/>
              </w:rPr>
              <w:t>All declared/used tables/RPCs exist; RLS policies; migration smoke test; vector dimension and relationship invariants.</w:t>
            </w:r>
          </w:p>
        </w:tc>
      </w:tr>
      <w:tr>
        <w:tc>
          <w:tcPr>
            <w:tcW w:type="dxa" w:w="2015"/>
            <w:vAlign w:val="center"/>
            <w:tcMar>
              <w:top w:w="80" w:type="dxa"/>
              <w:start w:w="120" w:type="dxa"/>
              <w:bottom w:w="80" w:type="dxa"/>
              <w:end w:w="120" w:type="dxa"/>
            </w:tcMar>
          </w:tcPr>
          <w:p>
            <w:pPr>
              <w:spacing w:after="0" w:line="252" w:lineRule="auto"/>
            </w:pPr>
            <w:r/>
            <w:r>
              <w:rPr>
                <w:rFonts w:ascii="Calibri" w:hAnsi="Calibri"/>
                <w:b w:val="0"/>
                <w:sz w:val="17"/>
              </w:rPr>
              <w:t>Pipeline</w:t>
            </w:r>
          </w:p>
        </w:tc>
        <w:tc>
          <w:tcPr>
            <w:tcW w:type="dxa" w:w="7343"/>
            <w:vAlign w:val="center"/>
            <w:tcMar>
              <w:top w:w="80" w:type="dxa"/>
              <w:start w:w="120" w:type="dxa"/>
              <w:bottom w:w="80" w:type="dxa"/>
              <w:end w:w="120" w:type="dxa"/>
            </w:tcMar>
          </w:tcPr>
          <w:p>
            <w:pPr>
              <w:spacing w:after="0" w:line="252" w:lineRule="auto"/>
            </w:pPr>
            <w:r/>
            <w:r>
              <w:rPr>
                <w:rFonts w:ascii="Calibri" w:hAnsi="Calibri"/>
                <w:b w:val="0"/>
                <w:sz w:val="17"/>
              </w:rPr>
              <w:t>Idempotent collection/process, duplicate prevention, failure/retry, non-empty embeddings, no self-links, archival policy.</w:t>
            </w:r>
          </w:p>
        </w:tc>
      </w:tr>
      <w:tr>
        <w:tc>
          <w:tcPr>
            <w:tcW w:type="dxa" w:w="2015"/>
            <w:vAlign w:val="center"/>
            <w:tcMar>
              <w:top w:w="80" w:type="dxa"/>
              <w:start w:w="120" w:type="dxa"/>
              <w:bottom w:w="80" w:type="dxa"/>
              <w:end w:w="120" w:type="dxa"/>
            </w:tcMar>
          </w:tcPr>
          <w:p>
            <w:pPr>
              <w:spacing w:after="0" w:line="252" w:lineRule="auto"/>
            </w:pPr>
            <w:r/>
            <w:r>
              <w:rPr>
                <w:rFonts w:ascii="Calibri" w:hAnsi="Calibri"/>
                <w:b w:val="0"/>
                <w:sz w:val="17"/>
              </w:rPr>
              <w:t>E2E</w:t>
            </w:r>
          </w:p>
        </w:tc>
        <w:tc>
          <w:tcPr>
            <w:tcW w:type="dxa" w:w="7343"/>
            <w:vAlign w:val="center"/>
            <w:tcMar>
              <w:top w:w="80" w:type="dxa"/>
              <w:start w:w="120" w:type="dxa"/>
              <w:bottom w:w="80" w:type="dxa"/>
              <w:end w:w="120" w:type="dxa"/>
            </w:tcMar>
          </w:tcPr>
          <w:p>
            <w:pPr>
              <w:spacing w:after="0" w:line="252" w:lineRule="auto"/>
            </w:pPr>
            <w:r/>
            <w:r>
              <w:rPr>
                <w:rFonts w:ascii="Calibri" w:hAnsi="Calibri"/>
                <w:b w:val="0"/>
                <w:sz w:val="17"/>
              </w:rPr>
              <w:t>Browse dynamic IDs, search, source detail, graph cap, research source links, mobile navigation and keyboard flow.</w:t>
            </w:r>
          </w:p>
        </w:tc>
      </w:tr>
      <w:tr>
        <w:tc>
          <w:tcPr>
            <w:tcW w:type="dxa" w:w="2015"/>
            <w:vAlign w:val="center"/>
            <w:tcMar>
              <w:top w:w="80" w:type="dxa"/>
              <w:start w:w="120" w:type="dxa"/>
              <w:bottom w:w="80" w:type="dxa"/>
              <w:end w:w="120" w:type="dxa"/>
            </w:tcMar>
          </w:tcPr>
          <w:p>
            <w:pPr>
              <w:spacing w:after="0" w:line="252" w:lineRule="auto"/>
            </w:pPr>
            <w:r/>
            <w:r>
              <w:rPr>
                <w:rFonts w:ascii="Calibri" w:hAnsi="Calibri"/>
                <w:b w:val="0"/>
                <w:sz w:val="17"/>
              </w:rPr>
              <w:t>Security/performance</w:t>
            </w:r>
          </w:p>
        </w:tc>
        <w:tc>
          <w:tcPr>
            <w:tcW w:type="dxa" w:w="7343"/>
            <w:vAlign w:val="center"/>
            <w:tcMar>
              <w:top w:w="80" w:type="dxa"/>
              <w:start w:w="120" w:type="dxa"/>
              <w:bottom w:w="80" w:type="dxa"/>
              <w:end w:w="120" w:type="dxa"/>
            </w:tcMar>
          </w:tcPr>
          <w:p>
            <w:pPr>
              <w:spacing w:after="0" w:line="252" w:lineRule="auto"/>
            </w:pPr>
            <w:r/>
            <w:r>
              <w:rPr>
                <w:rFonts w:ascii="Calibri" w:hAnsi="Calibri"/>
                <w:b w:val="0"/>
                <w:sz w:val="17"/>
              </w:rPr>
              <w:t>Authz matrix, RLS bypass attempts, prompt injection corpus fixtures, query abuse, concurrent job lock, load test search.</w:t>
            </w:r>
          </w:p>
        </w:tc>
      </w:tr>
    </w:tbl>
    <w:p>
      <w:pPr>
        <w:spacing w:after="60"/>
      </w:pPr>
    </w:p>
    <w:p>
      <w:pPr>
        <w:pStyle w:val="Heading1"/>
      </w:pPr>
      <w:r>
        <w:t>16. Code Quality Review</w:t>
      </w:r>
    </w:p>
    <w:p>
      <w:pPr>
        <w:spacing w:after="160"/>
      </w:pPr>
      <w:r>
        <w:rPr>
          <w:i w:val="0"/>
        </w:rPr>
        <w:t>Strengths: the codebase has a clear separation between presentation, API/data access, and batch jobs; descriptive function names; a useful local fallback; historical audit documentation; and job logging. The route handlers are deliberately small and the classification algorithm is implemented transparently in TypeScript for deployment compatibility.</w:t>
      </w:r>
    </w:p>
    <w:p>
      <w:pPr>
        <w:spacing w:after="160"/>
      </w:pPr>
      <w:r>
        <w:rPr>
          <w:i w:val="0"/>
        </w:rPr>
        <w:t>Technical debt: schema drift (`learning_metrics` and a batch metadata RPC are referenced but not migrated); widespread `any` in TypeScript; parallel Supabase/SQLite behavior drift; mixed data lifecycle policies; hardcoded thresholds/windows; comments that no longer match implementation; absent tests; no formal contracts; and no shared validation/error abstraction. `db.ts` is becoming a large multipurpose service that would benefit from typed repositories or bounded domain services.</w:t>
      </w:r>
    </w:p>
    <w:p>
      <w:pPr>
        <w:pStyle w:val="Heading1"/>
      </w:pPr>
      <w:r>
        <w:t>17. Future Roadmap</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1872"/>
            <w:shd w:fill="F2F4F7"/>
            <w:vAlign w:val="center"/>
            <w:tcMar>
              <w:top w:w="80" w:type="dxa"/>
              <w:start w:w="120" w:type="dxa"/>
              <w:bottom w:w="80" w:type="dxa"/>
              <w:end w:w="120" w:type="dxa"/>
            </w:tcMar>
          </w:tcPr>
          <w:p>
            <w:pPr>
              <w:spacing w:after="0" w:line="252" w:lineRule="auto"/>
            </w:pPr>
            <w:r/>
            <w:r>
              <w:rPr>
                <w:rFonts w:ascii="Calibri" w:hAnsi="Calibri"/>
                <w:b/>
                <w:sz w:val="18"/>
              </w:rPr>
              <w:t>Horizon</w:t>
            </w:r>
          </w:p>
        </w:tc>
        <w:tc>
          <w:tcPr>
            <w:tcW w:type="dxa" w:w="7488"/>
            <w:shd w:fill="F2F4F7"/>
            <w:vAlign w:val="center"/>
            <w:tcMar>
              <w:top w:w="80" w:type="dxa"/>
              <w:start w:w="120" w:type="dxa"/>
              <w:bottom w:w="80" w:type="dxa"/>
              <w:end w:w="120" w:type="dxa"/>
            </w:tcMar>
          </w:tcPr>
          <w:p>
            <w:pPr>
              <w:spacing w:after="0" w:line="252" w:lineRule="auto"/>
            </w:pPr>
            <w:r/>
            <w:r>
              <w:rPr>
                <w:rFonts w:ascii="Calibri" w:hAnsi="Calibri"/>
                <w:b/>
                <w:sz w:val="18"/>
              </w:rPr>
              <w:t>Prioritized work</w:t>
            </w:r>
          </w:p>
        </w:tc>
      </w:tr>
      <w:tr>
        <w:tc>
          <w:tcPr>
            <w:tcW w:type="dxa" w:w="1872"/>
            <w:vAlign w:val="center"/>
            <w:tcMar>
              <w:top w:w="80" w:type="dxa"/>
              <w:start w:w="120" w:type="dxa"/>
              <w:bottom w:w="80" w:type="dxa"/>
              <w:end w:w="120" w:type="dxa"/>
            </w:tcMar>
          </w:tcPr>
          <w:p>
            <w:pPr>
              <w:spacing w:after="0" w:line="252" w:lineRule="auto"/>
            </w:pPr>
            <w:r/>
            <w:r>
              <w:rPr>
                <w:rFonts w:ascii="Calibri" w:hAnsi="Calibri"/>
                <w:b w:val="0"/>
                <w:sz w:val="17"/>
              </w:rPr>
              <w:t>Immediate</w:t>
            </w:r>
          </w:p>
        </w:tc>
        <w:tc>
          <w:tcPr>
            <w:tcW w:type="dxa" w:w="7488"/>
            <w:vAlign w:val="center"/>
            <w:tcMar>
              <w:top w:w="80" w:type="dxa"/>
              <w:start w:w="120" w:type="dxa"/>
              <w:bottom w:w="80" w:type="dxa"/>
              <w:end w:w="120" w:type="dxa"/>
            </w:tcMar>
          </w:tcPr>
          <w:p>
            <w:pPr>
              <w:spacing w:after="0" w:line="252" w:lineRule="auto"/>
            </w:pPr>
            <w:r/>
            <w:r>
              <w:rPr>
                <w:rFonts w:ascii="Calibri" w:hAnsi="Calibri"/>
                <w:b w:val="0"/>
                <w:sz w:val="17"/>
              </w:rPr>
              <w:t>Restore least-privilege data access; add authentication/roles; make supplied migrations complete; remove public error detail; validate/bound all API inputs; replace hash embedding fallback.</w:t>
            </w:r>
          </w:p>
        </w:tc>
      </w:tr>
      <w:tr>
        <w:tc>
          <w:tcPr>
            <w:tcW w:type="dxa" w:w="1872"/>
            <w:vAlign w:val="center"/>
            <w:tcMar>
              <w:top w:w="80" w:type="dxa"/>
              <w:start w:w="120" w:type="dxa"/>
              <w:bottom w:w="80" w:type="dxa"/>
              <w:end w:w="120" w:type="dxa"/>
            </w:tcMar>
          </w:tcPr>
          <w:p>
            <w:pPr>
              <w:spacing w:after="0" w:line="252" w:lineRule="auto"/>
            </w:pPr>
            <w:r/>
            <w:r>
              <w:rPr>
                <w:rFonts w:ascii="Calibri" w:hAnsi="Calibri"/>
                <w:b w:val="0"/>
                <w:sz w:val="17"/>
              </w:rPr>
              <w:t>Near term</w:t>
            </w:r>
          </w:p>
        </w:tc>
        <w:tc>
          <w:tcPr>
            <w:tcW w:type="dxa" w:w="7488"/>
            <w:vAlign w:val="center"/>
            <w:tcMar>
              <w:top w:w="80" w:type="dxa"/>
              <w:start w:w="120" w:type="dxa"/>
              <w:bottom w:w="80" w:type="dxa"/>
              <w:end w:w="120" w:type="dxa"/>
            </w:tcMar>
          </w:tcPr>
          <w:p>
            <w:pPr>
              <w:spacing w:after="0" w:line="252" w:lineRule="auto"/>
            </w:pPr>
            <w:r/>
            <w:r>
              <w:rPr>
                <w:rFonts w:ascii="Calibri" w:hAnsi="Calibri"/>
                <w:b w:val="0"/>
                <w:sz w:val="17"/>
              </w:rPr>
              <w:t>Add tests and CI gates; introduce migration/version management; route logs to centralized observability; enforce graph/embedding/prediction quality invariants.</w:t>
            </w:r>
          </w:p>
        </w:tc>
      </w:tr>
      <w:tr>
        <w:tc>
          <w:tcPr>
            <w:tcW w:type="dxa" w:w="1872"/>
            <w:vAlign w:val="center"/>
            <w:tcMar>
              <w:top w:w="80" w:type="dxa"/>
              <w:start w:w="120" w:type="dxa"/>
              <w:bottom w:w="80" w:type="dxa"/>
              <w:end w:w="120" w:type="dxa"/>
            </w:tcMar>
          </w:tcPr>
          <w:p>
            <w:pPr>
              <w:spacing w:after="0" w:line="252" w:lineRule="auto"/>
            </w:pPr>
            <w:r/>
            <w:r>
              <w:rPr>
                <w:rFonts w:ascii="Calibri" w:hAnsi="Calibri"/>
                <w:b w:val="0"/>
                <w:sz w:val="17"/>
              </w:rPr>
              <w:t>Medium term</w:t>
            </w:r>
          </w:p>
        </w:tc>
        <w:tc>
          <w:tcPr>
            <w:tcW w:type="dxa" w:w="7488"/>
            <w:vAlign w:val="center"/>
            <w:tcMar>
              <w:top w:w="80" w:type="dxa"/>
              <w:start w:w="120" w:type="dxa"/>
              <w:bottom w:w="80" w:type="dxa"/>
              <w:end w:w="120" w:type="dxa"/>
            </w:tcMar>
          </w:tcPr>
          <w:p>
            <w:pPr>
              <w:spacing w:after="0" w:line="252" w:lineRule="auto"/>
            </w:pPr>
            <w:r/>
            <w:r>
              <w:rPr>
                <w:rFonts w:ascii="Calibri" w:hAnsi="Calibri"/>
                <w:b w:val="0"/>
                <w:sz w:val="17"/>
              </w:rPr>
              <w:t>Durable pipeline orchestration with locks and dependency state; source quality scoring and evidence provenance; user feedback loop for classifications/predictions.</w:t>
            </w:r>
          </w:p>
        </w:tc>
      </w:tr>
      <w:tr>
        <w:tc>
          <w:tcPr>
            <w:tcW w:type="dxa" w:w="1872"/>
            <w:vAlign w:val="center"/>
            <w:tcMar>
              <w:top w:w="80" w:type="dxa"/>
              <w:start w:w="120" w:type="dxa"/>
              <w:bottom w:w="80" w:type="dxa"/>
              <w:end w:w="120" w:type="dxa"/>
            </w:tcMar>
          </w:tcPr>
          <w:p>
            <w:pPr>
              <w:spacing w:after="0" w:line="252" w:lineRule="auto"/>
            </w:pPr>
            <w:r/>
            <w:r>
              <w:rPr>
                <w:rFonts w:ascii="Calibri" w:hAnsi="Calibri"/>
                <w:b w:val="0"/>
                <w:sz w:val="17"/>
              </w:rPr>
              <w:t>Long term</w:t>
            </w:r>
          </w:p>
        </w:tc>
        <w:tc>
          <w:tcPr>
            <w:tcW w:type="dxa" w:w="7488"/>
            <w:vAlign w:val="center"/>
            <w:tcMar>
              <w:top w:w="80" w:type="dxa"/>
              <w:start w:w="120" w:type="dxa"/>
              <w:bottom w:w="80" w:type="dxa"/>
              <w:end w:w="120" w:type="dxa"/>
            </w:tcMar>
          </w:tcPr>
          <w:p>
            <w:pPr>
              <w:spacing w:after="0" w:line="252" w:lineRule="auto"/>
            </w:pPr>
            <w:r/>
            <w:r>
              <w:rPr>
                <w:rFonts w:ascii="Calibri" w:hAnsi="Calibri"/>
                <w:b w:val="0"/>
                <w:sz w:val="17"/>
              </w:rPr>
              <w:t>Tenant-aware intelligence workspaces, analyst review queues, explainable graph confidence, scalable vector retrieval, and governed model evaluation.</w:t>
            </w:r>
          </w:p>
        </w:tc>
      </w:tr>
    </w:tbl>
    <w:p>
      <w:pPr>
        <w:spacing w:after="60"/>
      </w:pPr>
    </w:p>
    <w:p>
      <w:pPr>
        <w:pStyle w:val="Heading1"/>
      </w:pPr>
      <w:r>
        <w:t>18. Conclusion</w:t>
      </w:r>
    </w:p>
    <w:p>
      <w:pPr>
        <w:spacing w:after="160"/>
      </w:pPr>
      <w:r>
        <w:rPr>
          <w:i w:val="0"/>
        </w:rPr>
        <w:t>CyberTree is a credible full-stack cybersecurity intelligence prototype with an unusually broad autonomous pipeline: it collects, enriches, relates, embeds, clusters, forecasts, maintains and exposes knowledge through a polished dashboard. Its core design is understandable and maintainable, especially the database-centered separation between batch processing and web access.</w:t>
      </w:r>
    </w:p>
    <w:p>
      <w:pPr>
        <w:spacing w:after="160"/>
      </w:pPr>
      <w:r>
        <w:rPr>
          <w:i w:val="0"/>
        </w:rPr>
        <w:t>The most important next step is hardening rather than feature growth. The current lack of authentication/authorization, disabled RLS, incomplete migration package, weak semantic fallback, and missing automated tests prevent a production-security assessment above prototype/early pilot maturity. With those foundations corrected, the platform can evolve into a defensible analyst-facing system.</w:t>
      </w:r>
    </w:p>
    <w:p>
      <w:pPr>
        <w:pStyle w:val="Heading1"/>
      </w:pPr>
      <w:r>
        <w:t>19. Bibliography and References</w:t>
      </w:r>
    </w:p>
    <w:p>
      <w:pPr>
        <w:pStyle w:val="ListBullet"/>
      </w:pPr>
      <w:r>
        <w:t>Project source snapshot: package.json, README.md, schema.sql, supabase_setup.sql, src/, scripts/, .github/workflows/, STRUCTURE.md, STRUCTURE_V2.md, NOTE.md (analyzed 17 July 2026).</w:t>
      </w:r>
    </w:p>
    <w:p>
      <w:pPr>
        <w:pStyle w:val="ListBullet"/>
      </w:pPr>
      <w:r>
        <w:t>Next.js documentation: App Router and Route Handlers.</w:t>
      </w:r>
    </w:p>
    <w:p>
      <w:pPr>
        <w:pStyle w:val="ListBullet"/>
      </w:pPr>
      <w:r>
        <w:t>Supabase documentation: JavaScript client, PostgreSQL, Row Level Security, pgvector integration.</w:t>
      </w:r>
    </w:p>
    <w:p>
      <w:pPr>
        <w:pStyle w:val="ListBullet"/>
      </w:pPr>
      <w:r>
        <w:t>PostgreSQL documentation: full-text search and GIN indexes; pgvector documentation: vector similarity search.</w:t>
      </w:r>
    </w:p>
    <w:p>
      <w:pPr>
        <w:pStyle w:val="ListBullet"/>
      </w:pPr>
      <w:r>
        <w:t>MITRE ATT&amp;CK, CAPEC, CWE, NVD and CISA public cybersecurity knowledge resources referenced by ingestion scripts.</w:t>
      </w:r>
    </w:p>
    <w:p>
      <w:pPr>
        <w:pStyle w:val="ListBullet"/>
      </w:pPr>
      <w:r>
        <w:t>OWASP Top 10 (2021) and OWASP guidance on access control, configuration, injection and logging.</w:t>
      </w:r>
    </w:p>
    <w:p>
      <w:pPr>
        <w:pStyle w:val="ListBullet"/>
      </w:pPr>
      <w:r>
        <w:t>Hugging Face sentence-transformers `all-MiniLM-L6-v2` model documentation; Google Gemini API documentation.</w:t>
      </w:r>
    </w:p>
    <w:p>
      <w:pPr>
        <w:pStyle w:val="Heading1"/>
      </w:pPr>
      <w:r>
        <w:t>Appendix A. Complete Project Map</w:t>
      </w:r>
    </w:p>
    <w:p>
      <w:pPr>
        <w:spacing w:after="160"/>
      </w:pPr>
      <w:r>
        <w:rPr>
          <w:i w:val="0"/>
        </w:rPr>
        <w:t>The following inventory includes every accessible, non-generated source/configuration/document file discovered in the repository. Excluded directories were node_modules, venv, .next, data_cache and binary model/database assets except where their purpose is evident from names and calling code.</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2088"/>
            <w:shd w:fill="F2F4F7"/>
            <w:vAlign w:val="center"/>
            <w:tcMar>
              <w:top w:w="80" w:type="dxa"/>
              <w:start w:w="120" w:type="dxa"/>
              <w:bottom w:w="80" w:type="dxa"/>
              <w:end w:w="120" w:type="dxa"/>
            </w:tcMar>
          </w:tcPr>
          <w:p>
            <w:pPr>
              <w:spacing w:after="0" w:line="252" w:lineRule="auto"/>
            </w:pPr>
            <w:r/>
            <w:r>
              <w:rPr>
                <w:rFonts w:ascii="Calibri" w:hAnsi="Calibri"/>
                <w:b/>
                <w:sz w:val="18"/>
              </w:rPr>
              <w:t>Path group</w:t>
            </w:r>
          </w:p>
        </w:tc>
        <w:tc>
          <w:tcPr>
            <w:tcW w:type="dxa" w:w="7272"/>
            <w:shd w:fill="F2F4F7"/>
            <w:vAlign w:val="center"/>
            <w:tcMar>
              <w:top w:w="80" w:type="dxa"/>
              <w:start w:w="120" w:type="dxa"/>
              <w:bottom w:w="80" w:type="dxa"/>
              <w:end w:w="120" w:type="dxa"/>
            </w:tcMar>
          </w:tcPr>
          <w:p>
            <w:pPr>
              <w:spacing w:after="0" w:line="252" w:lineRule="auto"/>
            </w:pPr>
            <w:r/>
            <w:r>
              <w:rPr>
                <w:rFonts w:ascii="Calibri" w:hAnsi="Calibri"/>
                <w:b/>
                <w:sz w:val="18"/>
              </w:rPr>
              <w:t>Files / purpose</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7"/>
              </w:rPr>
              <w:t>Root configuration</w:t>
            </w:r>
          </w:p>
        </w:tc>
        <w:tc>
          <w:tcPr>
            <w:tcW w:type="dxa" w:w="7272"/>
            <w:vAlign w:val="center"/>
            <w:tcMar>
              <w:top w:w="80" w:type="dxa"/>
              <w:start w:w="120" w:type="dxa"/>
              <w:bottom w:w="80" w:type="dxa"/>
              <w:end w:w="120" w:type="dxa"/>
            </w:tcMar>
          </w:tcPr>
          <w:p>
            <w:pPr>
              <w:spacing w:after="0" w:line="252" w:lineRule="auto"/>
            </w:pPr>
            <w:r/>
            <w:r>
              <w:rPr>
                <w:rFonts w:ascii="Calibri" w:hAnsi="Calibri"/>
                <w:b w:val="0"/>
                <w:sz w:val="17"/>
              </w:rPr>
              <w:t>package.json/package-lock.json (Node dependencies); requirements.txt (Python dependencies); next.config.ts; tsconfig.json; eslint.config.mjs; postcss.config.mjs; vercel.json; .gitignore; .env variants (not reproduced to avoid secret disclosure).</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7"/>
              </w:rPr>
              <w:t>Root documentation/schema</w:t>
            </w:r>
          </w:p>
        </w:tc>
        <w:tc>
          <w:tcPr>
            <w:tcW w:type="dxa" w:w="7272"/>
            <w:vAlign w:val="center"/>
            <w:tcMar>
              <w:top w:w="80" w:type="dxa"/>
              <w:start w:w="120" w:type="dxa"/>
              <w:bottom w:w="80" w:type="dxa"/>
              <w:end w:w="120" w:type="dxa"/>
            </w:tcMar>
          </w:tcPr>
          <w:p>
            <w:pPr>
              <w:spacing w:after="0" w:line="252" w:lineRule="auto"/>
            </w:pPr>
            <w:r/>
            <w:r>
              <w:rPr>
                <w:rFonts w:ascii="Calibri" w:hAnsi="Calibri"/>
                <w:b w:val="0"/>
                <w:sz w:val="17"/>
              </w:rPr>
              <w:t>README.md; NOTE.md; STRUCTURE.md; STRUCTURE_V2.md; phase_12_predictions_audit.md; schema.sql; supabase_setup.sql.</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7"/>
              </w:rPr>
              <w:t>Assets/models/data</w:t>
            </w:r>
          </w:p>
        </w:tc>
        <w:tc>
          <w:tcPr>
            <w:tcW w:type="dxa" w:w="7272"/>
            <w:vAlign w:val="center"/>
            <w:tcMar>
              <w:top w:w="80" w:type="dxa"/>
              <w:start w:w="120" w:type="dxa"/>
              <w:bottom w:w="80" w:type="dxa"/>
              <w:end w:w="120" w:type="dxa"/>
            </w:tcMar>
          </w:tcPr>
          <w:p>
            <w:pPr>
              <w:spacing w:after="0" w:line="252" w:lineRule="auto"/>
            </w:pPr>
            <w:r/>
            <w:r>
              <w:rPr>
                <w:rFonts w:ascii="Calibri" w:hAnsi="Calibri"/>
                <w:b w:val="0"/>
                <w:sz w:val="17"/>
              </w:rPr>
              <w:t>public/*.svg baseline icons; models/classifier.json and classifier.pkl trained artifacts; models/cluster_summary.json; models/training_data.csv and training_report.txt; cyber_tree_local.db local fallback store.</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7"/>
              </w:rPr>
              <w:t>src/app</w:t>
            </w:r>
          </w:p>
        </w:tc>
        <w:tc>
          <w:tcPr>
            <w:tcW w:type="dxa" w:w="7272"/>
            <w:vAlign w:val="center"/>
            <w:tcMar>
              <w:top w:w="80" w:type="dxa"/>
              <w:start w:w="120" w:type="dxa"/>
              <w:bottom w:w="80" w:type="dxa"/>
              <w:end w:w="120" w:type="dxa"/>
            </w:tcMar>
          </w:tcPr>
          <w:p>
            <w:pPr>
              <w:spacing w:after="0" w:line="252" w:lineRule="auto"/>
            </w:pPr>
            <w:r/>
            <w:r>
              <w:rPr>
                <w:rFonts w:ascii="Calibri" w:hAnsi="Calibri"/>
                <w:b w:val="0"/>
                <w:sz w:val="17"/>
              </w:rPr>
              <w:t>layout.tsx, globals.css, page.tsx; UI routes: explore, intelligence, patterns, predictions, research, search, similar, sources, threats, timeline.</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7"/>
              </w:rPr>
              <w:t>src/app/api</w:t>
            </w:r>
          </w:p>
        </w:tc>
        <w:tc>
          <w:tcPr>
            <w:tcW w:type="dxa" w:w="7272"/>
            <w:vAlign w:val="center"/>
            <w:tcMar>
              <w:top w:w="80" w:type="dxa"/>
              <w:start w:w="120" w:type="dxa"/>
              <w:bottom w:w="80" w:type="dxa"/>
              <w:end w:w="120" w:type="dxa"/>
            </w:tcMar>
          </w:tcPr>
          <w:p>
            <w:pPr>
              <w:spacing w:after="0" w:line="252" w:lineRule="auto"/>
            </w:pPr>
            <w:r/>
            <w:r>
              <w:rPr>
                <w:rFonts w:ascii="Calibri" w:hAnsi="Calibri"/>
                <w:b w:val="0"/>
                <w:sz w:val="17"/>
              </w:rPr>
              <w:t>classify, global-search, graph, intelligence, nodes/[id], nodes, patterns, predictions/[id], predictions, research, similar/[id], sources/[id], sources, stats, system-health.</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7"/>
              </w:rPr>
              <w:t>src/components and lib</w:t>
            </w:r>
          </w:p>
        </w:tc>
        <w:tc>
          <w:tcPr>
            <w:tcW w:type="dxa" w:w="7272"/>
            <w:vAlign w:val="center"/>
            <w:tcMar>
              <w:top w:w="80" w:type="dxa"/>
              <w:start w:w="120" w:type="dxa"/>
              <w:bottom w:w="80" w:type="dxa"/>
              <w:end w:w="120" w:type="dxa"/>
            </w:tcMar>
          </w:tcPr>
          <w:p>
            <w:pPr>
              <w:spacing w:after="0" w:line="252" w:lineRule="auto"/>
            </w:pPr>
            <w:r/>
            <w:r>
              <w:rPr>
                <w:rFonts w:ascii="Calibri" w:hAnsi="Calibri"/>
                <w:b w:val="0"/>
                <w:sz w:val="17"/>
              </w:rPr>
              <w:t>Header.tsx; db.ts; embeddings.ts; classifier.ts.</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7"/>
              </w:rPr>
              <w:t>scripts</w:t>
            </w:r>
          </w:p>
        </w:tc>
        <w:tc>
          <w:tcPr>
            <w:tcW w:type="dxa" w:w="7272"/>
            <w:vAlign w:val="center"/>
            <w:tcMar>
              <w:top w:w="80" w:type="dxa"/>
              <w:start w:w="120" w:type="dxa"/>
              <w:bottom w:w="80" w:type="dxa"/>
              <w:end w:w="120" w:type="dxa"/>
            </w:tcMar>
          </w:tcPr>
          <w:p>
            <w:pPr>
              <w:spacing w:after="0" w:line="252" w:lineRule="auto"/>
            </w:pPr>
            <w:r/>
            <w:r>
              <w:rPr>
                <w:rFonts w:ascii="Calibri" w:hAnsi="Calibri"/>
                <w:b w:val="0"/>
                <w:sz w:val="17"/>
              </w:rPr>
              <w:t>backup, classify, cluster_nodes, collect, db_client, dead_source_detector, embed_nodes, evidence_linker, export_training_data, hypothesis_engine, ingest_capec/cisa/cwe/mitre/nvd, knowledge_healer, learning_engine, maintain, model_updater, monitor, pattern_report, process, relabel_and_train, relate, research_assistant, source_discoverer, test_tech, train_classifier, trend_detector.</w:t>
            </w:r>
          </w:p>
        </w:tc>
      </w:tr>
      <w:tr>
        <w:tc>
          <w:tcPr>
            <w:tcW w:type="dxa" w:w="2088"/>
            <w:vAlign w:val="center"/>
            <w:tcMar>
              <w:top w:w="80" w:type="dxa"/>
              <w:start w:w="120" w:type="dxa"/>
              <w:bottom w:w="80" w:type="dxa"/>
              <w:end w:w="120" w:type="dxa"/>
            </w:tcMar>
          </w:tcPr>
          <w:p>
            <w:pPr>
              <w:spacing w:after="0" w:line="252" w:lineRule="auto"/>
            </w:pPr>
            <w:r/>
            <w:r>
              <w:rPr>
                <w:rFonts w:ascii="Calibri" w:hAnsi="Calibri"/>
                <w:b w:val="0"/>
                <w:sz w:val="17"/>
              </w:rPr>
              <w:t>.github/workflows</w:t>
            </w:r>
          </w:p>
        </w:tc>
        <w:tc>
          <w:tcPr>
            <w:tcW w:type="dxa" w:w="7272"/>
            <w:vAlign w:val="center"/>
            <w:tcMar>
              <w:top w:w="80" w:type="dxa"/>
              <w:start w:w="120" w:type="dxa"/>
              <w:bottom w:w="80" w:type="dxa"/>
              <w:end w:w="120" w:type="dxa"/>
            </w:tcMar>
          </w:tcPr>
          <w:p>
            <w:pPr>
              <w:spacing w:after="0" w:line="252" w:lineRule="auto"/>
            </w:pPr>
            <w:r/>
            <w:r>
              <w:rPr>
                <w:rFonts w:ascii="Calibri" w:hAnsi="Calibri"/>
                <w:b w:val="0"/>
                <w:sz w:val="17"/>
              </w:rPr>
              <w:t>backup, classify, collect, embed, health_check, hypothesize, learn, maintain, monitor, patterns, process, relate: cron/manual automation.</w:t>
            </w:r>
          </w:p>
        </w:tc>
      </w:tr>
    </w:tbl>
    <w:p>
      <w:pPr>
        <w:spacing w:after="60"/>
      </w:pPr>
    </w:p>
    <w:p>
      <w:pPr>
        <w:pStyle w:val="Heading1"/>
      </w:pPr>
      <w:r>
        <w:t>Appendix B. Verification and Assumptions</w:t>
      </w:r>
    </w:p>
    <w:p>
      <w:pPr>
        <w:pStyle w:val="ListBullet"/>
      </w:pPr>
      <w:r>
        <w:t>Every non-excluded text/code/configuration file was inventoried and the executable modules, APIs, schema, workflows and documentation were inspected. Binary/database/model artifacts were not reverse engineered; their documented/call-site roles are reported.</w:t>
      </w:r>
    </w:p>
    <w:p>
      <w:pPr>
        <w:pStyle w:val="ListBullet"/>
      </w:pPr>
      <w:r>
        <w:t>No production credential, database, Vercel, GitHub Actions or external provider connection was made. Historical production outcomes quoted by repository audits are treated as historical evidence, not current measurements.</w:t>
      </w:r>
    </w:p>
    <w:p>
      <w:pPr>
        <w:pStyle w:val="ListBullet"/>
      </w:pPr>
      <w:r>
        <w:t>The report identifies `learning_metrics` and `update_node_metadata_batch` as deployment dependencies because source calls them even though supplied migration files do not create them.</w:t>
      </w:r>
    </w:p>
    <w:p>
      <w:pPr>
        <w:pStyle w:val="ListBullet"/>
      </w:pPr>
      <w:r>
        <w:t>Mermaid diagrams are supplied as portable diagram source in monospace blocks because DOCX does not natively render Mermaid. They can be pasted into a Mermaid renderer for visual export.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6"/>
      </w:rPr>
      <w:t>CYBER TREE  |  COMPLETE TECHNICAL ANALYSIS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