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PlantFish — Ambiente Analítico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Roteiro do Vídeo de Apresentação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Trabalho 1 — Business Analytics | Link School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Duração total: 8 minutos</w:t>
      </w:r>
    </w:p>
    <w:p>
      <w:pPr>
        <w:shd w:fill="FFF8E1" w:val="clear"/>
        <w:spacing w:after="12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Como usar este roteiro: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 texto em fonte normal é a fala exata. Os blocos em azul indicam ação de tela. Use o roteiro para ensaiar e adaptar ao seu jeito — não leia palavra por palavra.</w:t>
      </w:r>
    </w:p>
    <w:p>
      <w:pPr>
        <w:pBdr>
          <w:bottom w:val="single" w:color="1B3A5C" w:sz="6" w:space="4"/>
        </w:pBdr>
        <w:spacing w:after="160" w:before="160"/>
      </w:pPr>
    </w:p>
    <w:p>
      <w:pPr>
        <w:shd w:fill="EBF3FA" w:val="clear"/>
        <w:spacing w:after="8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⏱ 0:00 – 0:45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ABERTURA — Contexto e missão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Bom dia. Somos [seu nome] e [nome do parceiro], e aqui vamos apresentar o ambiente analítico que construímos para 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PlantFish</w:t>
      </w:r>
      <w:r>
        <w:rPr>
          <w:rFonts w:ascii="Arial" w:cs="Arial" w:eastAsia="Arial" w:hAnsi="Arial"/>
          <w:sz w:val="22"/>
          <w:szCs w:val="22"/>
        </w:rPr>
        <w:t xml:space="preserve"> — a primeira food tech do Brasil a fabricar peixes a partir de impressoras 3D com conteúdo 100% vegetal.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Nosso papel como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CMO e COO</w:t>
      </w:r>
      <w:r>
        <w:rPr>
          <w:rFonts w:ascii="Arial" w:cs="Arial" w:eastAsia="Arial" w:hAnsi="Arial"/>
          <w:sz w:val="22"/>
          <w:szCs w:val="22"/>
        </w:rPr>
        <w:t xml:space="preserve"> foi receber a base de dados operacional da empresa — bruta, inconsistente, cheia de problemas — e transformá-la em uma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estrutura analítica inicial e robusta</w:t>
      </w:r>
      <w:r>
        <w:rPr>
          <w:rFonts w:ascii="Arial" w:cs="Arial" w:eastAsia="Arial" w:hAnsi="Arial"/>
          <w:sz w:val="22"/>
          <w:szCs w:val="22"/>
        </w:rPr>
        <w:t xml:space="preserve">, capaz de apoiar as decisões da liderança nos próximos três anos.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 que vou mostrar agora é exatamente isso: como organizamos os dados, quais dashboards construímos, os principais insights que encontramos e um experimento concreto para acelerar o crescimento da PlantFish.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 [AÇÃO: abrir o dashboard no navegador] </w:t>
      </w:r>
    </w:p>
    <w:p>
      <w:pPr>
        <w:pBdr>
          <w:bottom w:val="single" w:color="1B3A5C" w:sz="6" w:space="4"/>
        </w:pBdr>
        <w:spacing w:after="160" w:before="160"/>
      </w:pPr>
    </w:p>
    <w:p>
      <w:pPr>
        <w:shd w:fill="EBF3FA" w:val="clear"/>
        <w:spacing w:after="8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⏱ 0:45 – 2:30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PARTE 1 — Como organizamos os dados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</w:rPr>
        <w:t xml:space="preserve">Arquitetura Medallion: Bronze → Silver → Gold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base que recebemos tinha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cinco tabelas operacionais</w:t>
      </w:r>
      <w:r>
        <w:rPr>
          <w:rFonts w:ascii="Arial" w:cs="Arial" w:eastAsia="Arial" w:hAnsi="Arial"/>
          <w:sz w:val="22"/>
          <w:szCs w:val="22"/>
        </w:rPr>
        <w:t xml:space="preserve">: vendas, produção, clientes, matéria-prima e eventos de marketing. À primeira vista, parecia dados — mas na prática eram um campo minado.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Encontramos 10 problemas críticos de qualidade: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108 linhas duplicadas</w:t>
      </w:r>
      <w:r>
        <w:rPr>
          <w:rFonts w:ascii="Arial" w:cs="Arial" w:eastAsia="Arial" w:hAnsi="Arial"/>
          <w:sz w:val="22"/>
          <w:szCs w:val="22"/>
        </w:rPr>
        <w:t xml:space="preserve"> nas vendas — que inflavam a receita em cerca de R$12 mil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1.224 datas em formato errado</w:t>
      </w:r>
      <w:r>
        <w:rPr>
          <w:rFonts w:ascii="Arial" w:cs="Arial" w:eastAsia="Arial" w:hAnsi="Arial"/>
          <w:sz w:val="22"/>
          <w:szCs w:val="22"/>
        </w:rPr>
        <w:t xml:space="preserve"> (DD/MM/YYYY) — o que tornava impossível qualquer análise temporal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15 variações de nome</w:t>
      </w:r>
      <w:r>
        <w:rPr>
          <w:rFonts w:ascii="Arial" w:cs="Arial" w:eastAsia="Arial" w:hAnsi="Arial"/>
          <w:sz w:val="22"/>
          <w:szCs w:val="22"/>
        </w:rPr>
        <w:t xml:space="preserve"> para apenas 5 fornecedores reais de matéria-prima — fragmentando relatórios de custo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1.789 vendas com cálculo incorreto</w:t>
      </w:r>
      <w:r>
        <w:rPr>
          <w:rFonts w:ascii="Arial" w:cs="Arial" w:eastAsia="Arial" w:hAnsi="Arial"/>
          <w:sz w:val="22"/>
          <w:szCs w:val="22"/>
        </w:rPr>
        <w:t xml:space="preserve"> de valor total no sistema de origem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Para resolver isso, adotamos 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arquitetura Medallion</w:t>
      </w:r>
      <w:r>
        <w:rPr>
          <w:rFonts w:ascii="Arial" w:cs="Arial" w:eastAsia="Arial" w:hAnsi="Arial"/>
          <w:sz w:val="22"/>
          <w:szCs w:val="22"/>
        </w:rPr>
        <w:t xml:space="preserve"> — o mesmo padrão utilizado por empresas como Databricks e iFood: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fizemos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D7F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Bronze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Ingestão bruta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originais preservados sem alteração — replicação fiel da fonte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8A9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Silver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Limpo e enriquecido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Duplicatas removidas, datas padronizadas, fornecedores normalizados, campos recalculados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Visão executiva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tabelas analíticas prontas para dashboard: KPIs, receita mensal/produto, produção, segmentação, custo de MP e funil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 [AÇÃO: mostrar aba Qualidade_Dados no Excel — apontar problemas encontrados e tratamentos] 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"Preservamos os dados originais na camada Bronze — isso é governança. O Silver é onde acontece o tratamento. O Gold é onde a liderança toma decisões."</w:t>
      </w:r>
    </w:p>
    <w:p>
      <w:pPr>
        <w:pBdr>
          <w:bottom w:val="single" w:color="1B3A5C" w:sz="6" w:space="4"/>
        </w:pBdr>
        <w:spacing w:after="160" w:before="160"/>
      </w:pPr>
    </w:p>
    <w:p>
      <w:pPr>
        <w:shd w:fill="EBF3FA" w:val="clear"/>
        <w:spacing w:after="8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⏱ 2:30 – 4:30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PARTE 2 — Dashboards e indicadores operacionais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</w:rPr>
        <w:t xml:space="preserve">Navegando pelo ambiente analítico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 [AÇÃO: abrir dashboard HTML — aba Overview / KPIs Executivos] 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Construímos um dashboard interativo com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cinco seções</w:t>
      </w:r>
      <w:r>
        <w:rPr>
          <w:rFonts w:ascii="Arial" w:cs="Arial" w:eastAsia="Arial" w:hAnsi="Arial"/>
          <w:sz w:val="22"/>
          <w:szCs w:val="22"/>
        </w:rPr>
        <w:t xml:space="preserve">: visão geral, vendas, produção, matéria-prima e insights. Aqui estão os KPIs que qualquer líder da PlantFish precisa ver no dia a dia: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302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Receita Total (pedidos concluídos)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R$ 320.478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3 anos de operação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de Pedidos Concluídos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2.867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Médio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R$ 111,78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Clientes Únicos Compradores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818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de 850 cadastrados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 de Cancelamento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11,8%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Atenção!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 de Devolução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12,9%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Atenção!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Produção Total (unidades)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104.355 un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 de Rejeição Produção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3,04%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Saudável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 Total de Matéria-Prima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R$ 1,85M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3 anos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Impressoras Ativas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3 modelos diferentes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 [AÇÃO: navegar para Receita Mensal — mostrar gráfico de evolução] 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No painel de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vendas</w:t>
      </w:r>
      <w:r>
        <w:rPr>
          <w:rFonts w:ascii="Arial" w:cs="Arial" w:eastAsia="Arial" w:hAnsi="Arial"/>
          <w:sz w:val="22"/>
          <w:szCs w:val="22"/>
        </w:rPr>
        <w:t xml:space="preserve">, podemos ver a evolução mensal da receita ao longo dos três anos. A tendência é de crescimento consistente — com pico em dezembro de 2024, que atingiu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R$21.700 — a maior receita mensal</w:t>
      </w:r>
      <w:r>
        <w:rPr>
          <w:rFonts w:ascii="Arial" w:cs="Arial" w:eastAsia="Arial" w:hAnsi="Arial"/>
          <w:sz w:val="22"/>
          <w:szCs w:val="22"/>
        </w:rPr>
        <w:t xml:space="preserve"> da empresa até agora.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 [AÇÃO: mostrar gráfico por canal de venda] 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Ao olhar por canal: o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e-commerce responde por 39% da receita</w:t>
      </w:r>
      <w:r>
        <w:rPr>
          <w:rFonts w:ascii="Arial" w:cs="Arial" w:eastAsia="Arial" w:hAnsi="Arial"/>
          <w:sz w:val="22"/>
          <w:szCs w:val="22"/>
        </w:rPr>
        <w:t xml:space="preserve"> (R$127k). Marketplace e B2B direto estão empatados com cerca de R$82k cada. O canal PDV parceiro tem a menor participação, com 11% — sinalizando oportunidade ou ineficiência.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 [AÇÃO: navegar para aba de Produção] 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No painel de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produção</w:t>
      </w:r>
      <w:r>
        <w:rPr>
          <w:rFonts w:ascii="Arial" w:cs="Arial" w:eastAsia="Arial" w:hAnsi="Arial"/>
          <w:sz w:val="22"/>
          <w:szCs w:val="22"/>
        </w:rPr>
        <w:t xml:space="preserve">, separamos por linha de produção. A Linha C — equipada com as impressoras FoodForge Ultra 5000 — produz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11,7 unidades por hora</w:t>
      </w:r>
      <w:r>
        <w:rPr>
          <w:rFonts w:ascii="Arial" w:cs="Arial" w:eastAsia="Arial" w:hAnsi="Arial"/>
          <w:sz w:val="22"/>
          <w:szCs w:val="22"/>
        </w:rPr>
        <w:t xml:space="preserve">, contra 4,9 un/hora da Linha A. Taxa de rejeição similar em torno de 3% em todas as linhas. Isso importa na hora de decidir onde investir em expansão.</w:t>
      </w:r>
    </w:p>
    <w:p>
      <w:pPr>
        <w:pBdr>
          <w:bottom w:val="single" w:color="1B3A5C" w:sz="6" w:space="4"/>
        </w:pBdr>
        <w:spacing w:after="160" w:before="160"/>
      </w:pPr>
    </w:p>
    <w:p>
      <w:pPr>
        <w:shd w:fill="EBF3FA" w:val="clear"/>
        <w:spacing w:after="8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⏱ 4:30 – 6:15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PARTE 3 — Insights de negócio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</w:rPr>
        <w:t xml:space="preserve">O que os dados nos dizem sobre o futuro da PlantFish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5F8A"/>
          <w:sz w:val="20"/>
          <w:szCs w:val="20"/>
        </w:rPr>
        <w:t xml:space="preserve"> [AÇÃO: navegar para aba Insights no dashboard] 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Insight 1 — Crescimento real com sazonalidade explorável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PlantFish cresce consistentemente ano após ano. Abril e dezembro concentram os picos de venda.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Ação: campanha de pré-temporada</w:t>
      </w:r>
      <w:r>
        <w:rPr>
          <w:rFonts w:ascii="Arial" w:cs="Arial" w:eastAsia="Arial" w:hAnsi="Arial"/>
          <w:sz w:val="22"/>
          <w:szCs w:val="22"/>
        </w:rPr>
        <w:t xml:space="preserve"> nesses meses pode amplificar ainda mais esses picos.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Insight 2 — B2B: menos clientes, mais valor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B2B representa apenas 20% dos clientes, mas tem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ticket médio 5% maior</w:t>
      </w:r>
      <w:r>
        <w:rPr>
          <w:rFonts w:ascii="Arial" w:cs="Arial" w:eastAsia="Arial" w:hAnsi="Arial"/>
          <w:sz w:val="22"/>
          <w:szCs w:val="22"/>
        </w:rPr>
        <w:t xml:space="preserve"> que B2C (R$116 vs R$111). Um programa de expansão B2B bem estruturado pode melhorar margem sem aumentar volume operacional.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Insight 3 — Alerta vermelho: 24,7% dos pedidos não concluem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Cancelamentos (11,8%) + devoluções (12,9%)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= R$80 mil de receita potencial perdida por ano</w:t>
      </w:r>
      <w:r>
        <w:rPr>
          <w:rFonts w:ascii="Arial" w:cs="Arial" w:eastAsia="Arial" w:hAnsi="Arial"/>
          <w:sz w:val="22"/>
          <w:szCs w:val="22"/>
        </w:rPr>
        <w:t xml:space="preserve">. É o insight mais crítico desta análise. Investigar e agir aqui é prioridade imediata.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Insight 4 — Expansão de capacidade tem endereço certo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Linha C (Ultra 5000) é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2,4x mais produtiva</w:t>
      </w:r>
      <w:r>
        <w:rPr>
          <w:rFonts w:ascii="Arial" w:cs="Arial" w:eastAsia="Arial" w:hAnsi="Arial"/>
          <w:sz w:val="22"/>
          <w:szCs w:val="22"/>
        </w:rPr>
        <w:t xml:space="preserve"> que a Linha A — com a mesma taxa de rejeição. Se a PlantFish precisar escalar produção, o caminho é investir em mais máquinas do modelo Ultra 5000.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Insight 5 — Óleo de microalgas: o ponto de vulnerabilidade no custo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Um único insumo — o óleo de microalgas da NaturOil — representa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28% de todo o custo de matéria-prima</w:t>
      </w:r>
      <w:r>
        <w:rPr>
          <w:rFonts w:ascii="Arial" w:cs="Arial" w:eastAsia="Arial" w:hAnsi="Arial"/>
          <w:sz w:val="22"/>
          <w:szCs w:val="22"/>
        </w:rPr>
        <w:t xml:space="preserve"> (R$511k de R$1,85M). Dependência elevada de um fornecedor. Negociar contratos longos ou qualificar alternativas reduz risco e pode melhorar a margem.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Insight 6 — Funil: a retenção é boa. O problema está na ativação.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De 850 cadastros,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71% dos compradores recompram</w:t>
      </w:r>
      <w:r>
        <w:rPr>
          <w:rFonts w:ascii="Arial" w:cs="Arial" w:eastAsia="Arial" w:hAnsi="Arial"/>
          <w:sz w:val="22"/>
          <w:szCs w:val="22"/>
        </w:rPr>
        <w:t xml:space="preserve"> — excelente retenção. Mas apenas 41% dos cadastrados chegam a fazer a primeira compra.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 gargalo está na conversão cadastro → primeira compra.</w:t>
      </w:r>
      <w:r>
        <w:rPr>
          <w:rFonts w:ascii="Arial" w:cs="Arial" w:eastAsia="Arial" w:hAnsi="Arial"/>
          <w:sz w:val="22"/>
          <w:szCs w:val="22"/>
        </w:rPr>
        <w:t xml:space="preserve"> Campanhas de ativação têm potencial alto aqui.</w:t>
      </w:r>
    </w:p>
    <w:p>
      <w:pPr>
        <w:pBdr>
          <w:bottom w:val="single" w:color="1B3A5C" w:sz="6" w:space="4"/>
        </w:pBdr>
        <w:spacing w:after="160" w:before="160"/>
      </w:pPr>
    </w:p>
    <w:p>
      <w:pPr>
        <w:shd w:fill="EBF3FA" w:val="clear"/>
        <w:spacing w:after="8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⏱ 6:15 – 7:30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PARTE 4 — Experimento recomendado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</w:rPr>
        <w:t xml:space="preserve">Teste A/B: E-mail de follow-up para reduzir devoluções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Com base no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Insight 3</w:t>
      </w:r>
      <w:r>
        <w:rPr>
          <w:rFonts w:ascii="Arial" w:cs="Arial" w:eastAsia="Arial" w:hAnsi="Arial"/>
          <w:sz w:val="22"/>
          <w:szCs w:val="22"/>
        </w:rPr>
        <w:t xml:space="preserve">, propusemos um experimento direto, de baixo custo e alto impacto potencial: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Hipótese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um e-mail personalizado 24h após a compra — com instruções de preparo e receitas — reduz a taxa de devolução em pelo menos 20% (de 12,9% para ~10,3%).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Lógica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Parte das devoluções pode vir de expectativa desalinhada com o produto vegetal. Educar o cliente no momento certo muda o comportamento.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Desenho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Controle (95%): fluxo atual. Teste (5%): e-mail 24h pós-compra com fotos, receitas e FAQ. Alocação aleatória por customer_id.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Duração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semanas de coleta + 1 semana de maturação de devoluções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Métrica primária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 de devolução. Métricas secundárias: taxa de abertura do e-mail, NPS e recompra em 30 dias.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estimado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~120 pedidos salvos por ano = R$13.400 de receita recuperada. Custo: quase zero (e-mail automatizado).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Critério de escalonamento: se a redução for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estatisticamente significativa (p &lt; 0,05)</w:t>
      </w:r>
      <w:r>
        <w:rPr>
          <w:rFonts w:ascii="Arial" w:cs="Arial" w:eastAsia="Arial" w:hAnsi="Arial"/>
          <w:sz w:val="22"/>
          <w:szCs w:val="22"/>
        </w:rPr>
        <w:t xml:space="preserve"> e superior a 15% de melhoria — escalamos para toda a base.</w:t>
      </w:r>
    </w:p>
    <w:p>
      <w:pPr>
        <w:pBdr>
          <w:bottom w:val="single" w:color="1B3A5C" w:sz="6" w:space="4"/>
        </w:pBdr>
        <w:spacing w:after="160" w:before="160"/>
      </w:pPr>
    </w:p>
    <w:p>
      <w:pPr>
        <w:shd w:fill="EBF3FA" w:val="clear"/>
        <w:spacing w:after="8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⏱ 7:30 – 8:00 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FECHAMENTO — Síntese e chamada à ação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</w:rPr>
        <w:t xml:space="preserve">Por que esse ambiente analítico importa para a PlantFish?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Em resumo: recebemos uma base operacional inconsistente e entregamos uma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estrutura analítica funcional</w:t>
      </w:r>
      <w:r>
        <w:rPr>
          <w:rFonts w:ascii="Arial" w:cs="Arial" w:eastAsia="Arial" w:hAnsi="Arial"/>
          <w:sz w:val="22"/>
          <w:szCs w:val="22"/>
        </w:rPr>
        <w:t xml:space="preserve">, com dados limpos, dashboards operacionais e uma visão clara do que está acontecendo na empresa.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Os dados mostram uma empresa em crescimento real — mas com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um problema urgente de 24,7% de pedidos não concluídos</w:t>
      </w:r>
      <w:r>
        <w:rPr>
          <w:rFonts w:ascii="Arial" w:cs="Arial" w:eastAsia="Arial" w:hAnsi="Arial"/>
          <w:sz w:val="22"/>
          <w:szCs w:val="22"/>
        </w:rPr>
        <w:t xml:space="preserve">. Resolver isso, expandir B2B estrategicamente e escalar a Linha C são os três movimentos de maior impacto nos próximos 12 meses.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 experimento que propomos é o primeiro passo concreto: baixo custo, hipótese clara, métrica definida —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é assim que decisões baseadas em dados funcionam na prática.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Obrigado pela atenção. Fico à disposição para perguntas.</w:t>
      </w:r>
    </w:p>
    <w:p>
      <w:pPr>
        <w:pBdr>
          <w:bottom w:val="single" w:color="1B3A5C" w:sz="6" w:space="4"/>
        </w:pBdr>
        <w:spacing w:after="160" w:before="16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5C"/>
        </w:rPr>
        <w:t xml:space="preserve">Guia de Tempo — Referência Rápida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 principal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0:00 – 0:45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Abertura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Apresentar empresa, missão e estrutura do vídeo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0:45 – 2:30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Organização dos dados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Problemas encontrados + arquitetura Bronze/Silver/Gold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2:30 – 4:30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Dashboards e KPIs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Navegar no dashboard: KPIs, receita, produção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4:30 – 6:15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Insights de negócio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insights com implicação clara de decisão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6:15 – 7:30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Experimento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 A/B: hipótese, desenho, impacto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7:30 – 8:00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Fechamento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Síntese + próximos passos + chamada à ação</w:t>
            </w:r>
          </w:p>
        </w:tc>
      </w:tr>
    </w:tbl>
    <w:p>
      <w:pPr>
        <w:spacing w:after="60" w:before="300"/>
      </w:pP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Dica final: ensaie ao menos 2x antes de gravar. O vídeo deve soar como uma conversa com liderança — não como leitura de roteiro.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2026-04-14T02:51:55.340Z</dcterms:created>
  <dcterms:modified xsi:type="dcterms:W3CDTF">2026-04-14T02:51:55.340Z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