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4D" w:rsidRPr="00C13AEB" w:rsidRDefault="00A41AD6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П</w:t>
      </w:r>
      <w:r w:rsidR="00B60C4D"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риложение 7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к Методическим рекомендациям</w:t>
      </w:r>
    </w:p>
    <w:p w:rsidR="00B60C4D" w:rsidRPr="00C13AEB" w:rsidRDefault="00B60C4D" w:rsidP="00B60C4D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C13AEB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>Форма сведений об объекте информационных систем и ресурсов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5E6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Сведения об объекте ИСиР </w:t>
      </w:r>
    </w:p>
    <w:p w:rsidR="00B60C4D" w:rsidRPr="00355E6E" w:rsidRDefault="00B60C4D" w:rsidP="00B60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Style w:val="TableGrid"/>
        <w:tblW w:w="9856" w:type="dxa"/>
        <w:tblInd w:w="-113" w:type="dxa"/>
        <w:tblCellMar>
          <w:top w:w="9" w:type="dxa"/>
          <w:left w:w="106" w:type="dxa"/>
          <w:right w:w="23" w:type="dxa"/>
        </w:tblCellMar>
        <w:tblLook w:val="04A0" w:firstRow="1" w:lastRow="0" w:firstColumn="1" w:lastColumn="0" w:noHBand="0" w:noVBand="1"/>
      </w:tblPr>
      <w:tblGrid>
        <w:gridCol w:w="437"/>
        <w:gridCol w:w="3773"/>
        <w:gridCol w:w="5646"/>
      </w:tblGrid>
      <w:tr w:rsidR="00B60C4D" w:rsidRPr="00355E6E" w:rsidTr="00B60C4D">
        <w:trPr>
          <w:trHeight w:val="516"/>
          <w:tblHeader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left="2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ind w:right="8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Информация (пояснения по заполнению) </w:t>
            </w:r>
          </w:p>
        </w:tc>
      </w:tr>
      <w:tr w:rsidR="00B60C4D" w:rsidRPr="00355E6E" w:rsidTr="00B60C4D">
        <w:trPr>
          <w:trHeight w:val="47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-9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ИСиР</w:t>
            </w:r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объекта (наименование информационной системы, автоматизированной системы управления или информационно-телекоммуникационной сети)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304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Адреса размещения объекта, в том числе адреса обособленных подразделений (филиалов, представительств) субъекта критической информационной инфраструктуры, в которых размещаются сегменты распределенного объекта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spacing w:after="3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Сфера (область) деятельности, в которой функционирует объект, в соответствии с пунктом 8 статьи 2 Федерального закона от 26 июля 2017 г. № 187-ФЗ «О безопасности критической информационной инфраструктуры Российской Федерации»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Назначение объекта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139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Тип объекта (информационная система, автоматизированная система управления, информационно-телекоммуникационная сеть)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203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Архитектура объекта (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одноранговая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сеть, клиент-серверная система, технология "тонкий клиент", сеть передачи данных, система диспетчерского управления и контроля, распределенная система управления, иная архитектура)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67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8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программно-аппаратных средств (пользовательских компьютеров, серверов, телекоммуникационного оборудования, средств беспроводного доступа, иных средств) и их количество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1781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5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Наименования прикладных программ, обеспечивающих выполнение функций объекта по его назначению (за исключением прикладных программ, входящих в состав дистрибутивов операционных систем)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3553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сети электросвязи (общего пользования, выделенная, технологическая, присоединенная к сети связи общего пользования, специального назначения, другая сеть связи для передачи информации при помощи электромагнитных систем) или сведения об отсутствии взаимодействия объекта критической информационной инфраструктуры с сетями электросвязи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Наименование оператора связи и (или) провайдера хостинга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Сведения об угрозах безопасности информации ИСиР</w:t>
            </w:r>
          </w:p>
        </w:tc>
      </w:tr>
      <w:tr w:rsidR="00B60C4D" w:rsidRPr="00355E6E" w:rsidTr="00B60C4D">
        <w:trPr>
          <w:trHeight w:val="228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нарушителя (внешний или внутренний), краткая характеристика основных возможностей нарушителя по реализации угроз безопасности информации в части его оснащенности, знаний, мотивации или краткое обоснование невозможности нарушителем реализовать угрозы безопасности информации ИСиР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866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Основные угрозы безопасности информации или обоснование их неактуальности ИСиР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4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Типы компьютерных инцидентов, которые могут произойти в результате реализации угроз безопасности информации, в том числе вследствие целенаправленных компьютерных атак (отказ в обслуживании, несанкционированный доступ, утечка данных (нарушение конфиденциальности), модификация (подмена) данных, </w:t>
            </w: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нарушение функционирования технических средств, несанкционированное использование вычислительных ресурсов объекта), или обоснование невозможности наступления компьютерных инцидентов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0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Сведения об реализованных мерах по обеспечению безопасности ИСиР </w:t>
            </w:r>
          </w:p>
        </w:tc>
      </w:tr>
      <w:tr w:rsidR="00B60C4D" w:rsidRPr="00355E6E" w:rsidTr="00B60C4D">
        <w:trPr>
          <w:trHeight w:val="518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Реализованные организационные меры защиты 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1965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Применяемые средства защиты информации (в том числе встроенные в общесистемное, прикладное программное обеспечение) (наименования средств защиты информации, реквизиты сертификатов соответствия, иных документов, содержащих результаты оценки соответствия средств защиты информации или сведения о </w:t>
            </w:r>
            <w:proofErr w:type="spellStart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непроведении</w:t>
            </w:r>
            <w:proofErr w:type="spellEnd"/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такой оценки) или сведения об отсутствии средств защиты информации.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23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Сведения о рекомендуемой к присвоению ИСиР категории значимости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60C4D" w:rsidRPr="00355E6E" w:rsidTr="00B60C4D">
        <w:trPr>
          <w:trHeight w:val="492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Категория значимости рекомендуемая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>
            <w:r/>
          </w:p>
        </w:tc>
      </w:tr>
      <w:tr w:rsidR="00B60C4D" w:rsidRPr="00355E6E" w:rsidTr="00B60C4D">
        <w:trPr>
          <w:trHeight w:val="702"/>
        </w:trPr>
        <w:tc>
          <w:tcPr>
            <w:tcW w:w="9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0C4D" w:rsidRPr="00355E6E" w:rsidRDefault="00B60C4D" w:rsidP="00B60C4D">
            <w:pPr>
              <w:spacing w:after="22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КИИ (ФСТЭК России) </w:t>
            </w:r>
          </w:p>
        </w:tc>
      </w:tr>
      <w:tr w:rsidR="00B60C4D" w:rsidRPr="00355E6E" w:rsidTr="00B60C4D">
        <w:trPr>
          <w:trHeight w:val="4529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left="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C4D" w:rsidRPr="00355E6E" w:rsidRDefault="00B60C4D" w:rsidP="00B60C4D">
            <w:pPr>
              <w:ind w:right="22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5E6E">
              <w:rPr>
                <w:rFonts w:ascii="Times New Roman" w:eastAsia="Arial" w:hAnsi="Times New Roman" w:cs="Times New Roman"/>
                <w:sz w:val="24"/>
                <w:szCs w:val="24"/>
              </w:rPr>
              <w:t>Организационные меры (установление контролируемой зоны, контроль физического доступа к объекту, разработка документов (регламентов, инструкций, руководств) по обеспечению безопасности объекта) и Технические меры по идентификации и аутентификации, управлению доступом, ограничению программной среды, антивирусной защите и иные в соответствии с требованиями по обеспечению безопасности значимых объектов</w:t>
            </w:r>
          </w:p>
        </w:tc>
        <w:tc>
          <w:tcPr>
            <w:tcW w:w="5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</w:tbl>
    <w:p w:rsidR="00B60C4D" w:rsidRPr="00355E6E" w:rsidRDefault="00B60C4D" w:rsidP="00A41AD6">
      <w:pPr>
        <w:rPr>
          <w:rFonts w:ascii="Times New Roman" w:hAnsi="Times New Roman" w:cs="Times New Roman"/>
          <w:sz w:val="28"/>
          <w:szCs w:val="28"/>
        </w:rPr>
      </w:pPr>
    </w:p>
    <w:sectPr w:rsidR="00B60C4D" w:rsidRPr="00355E6E" w:rsidSect="00B60C4D">
      <w:headerReference w:type="default" r:id="rId48"/>
      <w:footerReference w:type="default" r:id="rId49"/>
      <w:headerReference w:type="first" r:id="rId50"/>
      <w:footerReference w:type="first" r:id="rId51"/>
      <w:pgSz w:w="11906" w:h="16838"/>
      <w:pgMar w:top="1134" w:right="1133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C6" w:rsidRDefault="006F3BC6">
      <w:pPr>
        <w:spacing w:after="0" w:line="240" w:lineRule="auto"/>
      </w:pPr>
      <w:r>
        <w:separator/>
      </w:r>
    </w:p>
  </w:endnote>
  <w:endnote w:type="continuationSeparator" w:id="0">
    <w:p w:rsidR="006F3BC6" w:rsidRDefault="006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>
    <w:pPr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Pr="00B60184" w:rsidRDefault="0051420A" w:rsidP="00B60C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C6" w:rsidRDefault="006F3BC6">
      <w:pPr>
        <w:spacing w:after="0" w:line="240" w:lineRule="auto"/>
      </w:pPr>
      <w:r>
        <w:separator/>
      </w:r>
    </w:p>
  </w:footnote>
  <w:footnote w:type="continuationSeparator" w:id="0">
    <w:p w:rsidR="006F3BC6" w:rsidRDefault="006F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4819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1420A" w:rsidRPr="008366C0" w:rsidRDefault="0051420A" w:rsidP="00B60C4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366C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366C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192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8366C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20A" w:rsidRDefault="0051420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26"/>
    <w:multiLevelType w:val="hybridMultilevel"/>
    <w:tmpl w:val="E9C481B0"/>
    <w:lvl w:ilvl="0" w:tplc="A2784568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108D8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2232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826C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A27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D2DB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4F1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6DD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03D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F6617"/>
    <w:multiLevelType w:val="hybridMultilevel"/>
    <w:tmpl w:val="AA42112C"/>
    <w:lvl w:ilvl="0" w:tplc="06E6F560">
      <w:start w:val="1"/>
      <w:numFmt w:val="bullet"/>
      <w:lvlText w:val="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0CFA07BD"/>
    <w:multiLevelType w:val="hybridMultilevel"/>
    <w:tmpl w:val="08BC57A0"/>
    <w:lvl w:ilvl="0" w:tplc="0090FE6A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465882">
      <w:start w:val="1"/>
      <w:numFmt w:val="bullet"/>
      <w:lvlText w:val="o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03C06">
      <w:start w:val="1"/>
      <w:numFmt w:val="bullet"/>
      <w:lvlText w:val="▪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9CB32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8B484">
      <w:start w:val="1"/>
      <w:numFmt w:val="bullet"/>
      <w:lvlText w:val="o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ACD3D2">
      <w:start w:val="1"/>
      <w:numFmt w:val="bullet"/>
      <w:lvlText w:val="▪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006A2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6FDB6">
      <w:start w:val="1"/>
      <w:numFmt w:val="bullet"/>
      <w:lvlText w:val="o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6270A">
      <w:start w:val="1"/>
      <w:numFmt w:val="bullet"/>
      <w:lvlText w:val="▪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921C4A"/>
    <w:multiLevelType w:val="hybridMultilevel"/>
    <w:tmpl w:val="A246EEBE"/>
    <w:lvl w:ilvl="0" w:tplc="8808108A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D6DE3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45776">
      <w:start w:val="1"/>
      <w:numFmt w:val="bullet"/>
      <w:lvlText w:val="▪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6FF60">
      <w:start w:val="1"/>
      <w:numFmt w:val="bullet"/>
      <w:lvlText w:val="•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A910C">
      <w:start w:val="1"/>
      <w:numFmt w:val="bullet"/>
      <w:lvlText w:val="o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5AAF80">
      <w:start w:val="1"/>
      <w:numFmt w:val="bullet"/>
      <w:lvlText w:val="▪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C0F8A">
      <w:start w:val="1"/>
      <w:numFmt w:val="bullet"/>
      <w:lvlText w:val="•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875F2">
      <w:start w:val="1"/>
      <w:numFmt w:val="bullet"/>
      <w:lvlText w:val="o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C65B4">
      <w:start w:val="1"/>
      <w:numFmt w:val="bullet"/>
      <w:lvlText w:val="▪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B7C10"/>
    <w:multiLevelType w:val="hybridMultilevel"/>
    <w:tmpl w:val="66204C20"/>
    <w:lvl w:ilvl="0" w:tplc="EA26349E">
      <w:start w:val="1"/>
      <w:numFmt w:val="bullet"/>
      <w:lvlText w:val="-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2270E4">
      <w:start w:val="1"/>
      <w:numFmt w:val="bullet"/>
      <w:lvlText w:val="o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668810">
      <w:start w:val="1"/>
      <w:numFmt w:val="bullet"/>
      <w:lvlText w:val="▪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84C86">
      <w:start w:val="1"/>
      <w:numFmt w:val="bullet"/>
      <w:lvlText w:val="•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9A70">
      <w:start w:val="1"/>
      <w:numFmt w:val="bullet"/>
      <w:lvlText w:val="o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0C1A4">
      <w:start w:val="1"/>
      <w:numFmt w:val="bullet"/>
      <w:lvlText w:val="▪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4F5CE">
      <w:start w:val="1"/>
      <w:numFmt w:val="bullet"/>
      <w:lvlText w:val="•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F6796A">
      <w:start w:val="1"/>
      <w:numFmt w:val="bullet"/>
      <w:lvlText w:val="o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C98C">
      <w:start w:val="1"/>
      <w:numFmt w:val="bullet"/>
      <w:lvlText w:val="▪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A2"/>
    <w:multiLevelType w:val="hybridMultilevel"/>
    <w:tmpl w:val="6AA0F340"/>
    <w:lvl w:ilvl="0" w:tplc="AE768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pStyle w:val="AZ33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A93392"/>
    <w:multiLevelType w:val="hybridMultilevel"/>
    <w:tmpl w:val="54187F84"/>
    <w:lvl w:ilvl="0" w:tplc="6FAC8CF6">
      <w:start w:val="1"/>
      <w:numFmt w:val="decimal"/>
      <w:lvlText w:val="%1)"/>
      <w:lvlJc w:val="left"/>
      <w:pPr>
        <w:ind w:left="708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301880">
      <w:start w:val="1"/>
      <w:numFmt w:val="bullet"/>
      <w:lvlText w:val="-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BC9A00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676D2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0809AE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A710C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C85D8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0D1D0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2C2E46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B51A67"/>
    <w:multiLevelType w:val="hybridMultilevel"/>
    <w:tmpl w:val="FD122E8C"/>
    <w:lvl w:ilvl="0" w:tplc="F67A3A9C">
      <w:start w:val="2"/>
      <w:numFmt w:val="decimal"/>
      <w:lvlText w:val="%1)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4CF946">
      <w:start w:val="1"/>
      <w:numFmt w:val="lowerLetter"/>
      <w:pStyle w:val="BZ2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7033C8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ECB3F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CC7728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8DDF8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26951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C413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4FAB6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E56811"/>
    <w:multiLevelType w:val="hybridMultilevel"/>
    <w:tmpl w:val="3FFAC952"/>
    <w:lvl w:ilvl="0" w:tplc="98EC1E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2A87295"/>
    <w:multiLevelType w:val="hybridMultilevel"/>
    <w:tmpl w:val="2EBC6D54"/>
    <w:lvl w:ilvl="0" w:tplc="9DC2A27E">
      <w:start w:val="1"/>
      <w:numFmt w:val="decimal"/>
      <w:lvlText w:val="%1.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72ADE2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32180A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E2E2A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7ECA9C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525DD6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E0B7C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54F976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AEA864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4223CC"/>
    <w:multiLevelType w:val="hybridMultilevel"/>
    <w:tmpl w:val="E2269212"/>
    <w:lvl w:ilvl="0" w:tplc="06E6F5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D87FF4"/>
    <w:multiLevelType w:val="hybridMultilevel"/>
    <w:tmpl w:val="2AD467E0"/>
    <w:lvl w:ilvl="0" w:tplc="B914E906">
      <w:start w:val="1"/>
      <w:numFmt w:val="bullet"/>
      <w:lvlText w:val="–"/>
      <w:lvlJc w:val="left"/>
      <w:pPr>
        <w:ind w:left="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56E37917"/>
    <w:multiLevelType w:val="hybridMultilevel"/>
    <w:tmpl w:val="7A60402A"/>
    <w:lvl w:ilvl="0" w:tplc="A8822A7C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6E6F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CC7040"/>
    <w:multiLevelType w:val="hybridMultilevel"/>
    <w:tmpl w:val="FFE6BDA6"/>
    <w:lvl w:ilvl="0" w:tplc="F918A03C">
      <w:start w:val="1"/>
      <w:numFmt w:val="decimal"/>
      <w:lvlText w:val="%1."/>
      <w:lvlJc w:val="left"/>
      <w:pPr>
        <w:ind w:left="1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B635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4A60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1F8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C4A6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AEE9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5E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68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82F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F"/>
    <w:rsid w:val="00177573"/>
    <w:rsid w:val="001C01CB"/>
    <w:rsid w:val="00307282"/>
    <w:rsid w:val="00323550"/>
    <w:rsid w:val="003D20DF"/>
    <w:rsid w:val="0051420A"/>
    <w:rsid w:val="006D4B9D"/>
    <w:rsid w:val="006F3BC6"/>
    <w:rsid w:val="007219C1"/>
    <w:rsid w:val="0076238C"/>
    <w:rsid w:val="00A41AD6"/>
    <w:rsid w:val="00B60C4D"/>
    <w:rsid w:val="00C00BEE"/>
    <w:rsid w:val="00CA227C"/>
    <w:rsid w:val="00CD08BB"/>
    <w:rsid w:val="00D33A37"/>
    <w:rsid w:val="00D42FC3"/>
    <w:rsid w:val="00D6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92B1"/>
  <w15:chartTrackingRefBased/>
  <w15:docId w15:val="{A1F38F09-B85A-4625-9CA4-73CEC9C8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4D"/>
  </w:style>
  <w:style w:type="paragraph" w:styleId="1">
    <w:name w:val="heading 1"/>
    <w:basedOn w:val="a"/>
    <w:next w:val="a"/>
    <w:link w:val="10"/>
    <w:uiPriority w:val="9"/>
    <w:qFormat/>
    <w:rsid w:val="00B60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0C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C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C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next w:val="a"/>
    <w:link w:val="70"/>
    <w:uiPriority w:val="9"/>
    <w:unhideWhenUsed/>
    <w:qFormat/>
    <w:rsid w:val="00B60C4D"/>
    <w:pPr>
      <w:keepNext/>
      <w:keepLines/>
      <w:pBdr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</w:pBdr>
      <w:spacing w:after="114"/>
      <w:ind w:left="10" w:hanging="10"/>
      <w:outlineLvl w:val="6"/>
    </w:pPr>
    <w:rPr>
      <w:rFonts w:ascii="Arial" w:eastAsia="Arial" w:hAnsi="Arial" w:cs="Arial"/>
      <w:b/>
      <w:color w:val="C45911"/>
      <w:sz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C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60C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60C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0C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B60C4D"/>
    <w:rPr>
      <w:rFonts w:ascii="Arial" w:eastAsia="Arial" w:hAnsi="Arial" w:cs="Arial"/>
      <w:b/>
      <w:color w:val="C45911"/>
      <w:sz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60C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60">
    <w:name w:val="Заголовок 6 Знак"/>
    <w:basedOn w:val="a0"/>
    <w:link w:val="6"/>
    <w:uiPriority w:val="9"/>
    <w:semiHidden/>
    <w:rsid w:val="00B60C4D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Grid">
    <w:name w:val="TableGrid"/>
    <w:rsid w:val="00B60C4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60C4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60C4D"/>
  </w:style>
  <w:style w:type="paragraph" w:styleId="a6">
    <w:name w:val="header"/>
    <w:basedOn w:val="a"/>
    <w:link w:val="a7"/>
    <w:uiPriority w:val="99"/>
    <w:unhideWhenUsed/>
    <w:rsid w:val="00B60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0C4D"/>
  </w:style>
  <w:style w:type="paragraph" w:customStyle="1" w:styleId="footnotedescription">
    <w:name w:val="footnote description"/>
    <w:next w:val="a"/>
    <w:link w:val="footnotedescriptionChar"/>
    <w:hidden/>
    <w:rsid w:val="00B60C4D"/>
    <w:pPr>
      <w:spacing w:after="0"/>
    </w:pPr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B60C4D"/>
    <w:rPr>
      <w:rFonts w:ascii="Calibri" w:eastAsia="Calibri" w:hAnsi="Calibri" w:cs="Calibri"/>
      <w:color w:val="000000"/>
      <w:sz w:val="24"/>
      <w:lang w:eastAsia="ru-RU"/>
    </w:rPr>
  </w:style>
  <w:style w:type="character" w:customStyle="1" w:styleId="footnotemark">
    <w:name w:val="footnote mark"/>
    <w:hidden/>
    <w:rsid w:val="00B60C4D"/>
    <w:rPr>
      <w:rFonts w:ascii="Arial" w:eastAsia="Arial" w:hAnsi="Arial" w:cs="Arial"/>
      <w:color w:val="000000"/>
      <w:sz w:val="20"/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0C4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60C4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0C4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0C4D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60C4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60C4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60C4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60C4D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60C4D"/>
    <w:pPr>
      <w:spacing w:after="0"/>
      <w:ind w:left="1760"/>
    </w:pPr>
    <w:rPr>
      <w:rFonts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B60C4D"/>
    <w:rPr>
      <w:color w:val="0563C1" w:themeColor="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rsid w:val="00B60C4D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B60C4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12">
    <w:name w:val="Дефис 1"/>
    <w:basedOn w:val="a"/>
    <w:link w:val="13"/>
    <w:autoRedefine/>
    <w:qFormat/>
    <w:rsid w:val="00B60C4D"/>
    <w:pPr>
      <w:tabs>
        <w:tab w:val="num" w:pos="1068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3">
    <w:name w:val="Дефис 1 Знак"/>
    <w:basedOn w:val="a0"/>
    <w:link w:val="12"/>
    <w:rsid w:val="00B60C4D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BZ">
    <w:name w:val="BZ_Содержание Знак"/>
    <w:link w:val="BZ0"/>
    <w:rsid w:val="00B60C4D"/>
    <w:rPr>
      <w:rFonts w:ascii="Times New Roman" w:eastAsia="Times New Roman" w:hAnsi="Times New Roman"/>
      <w:b/>
      <w:sz w:val="28"/>
      <w:szCs w:val="28"/>
    </w:rPr>
  </w:style>
  <w:style w:type="paragraph" w:customStyle="1" w:styleId="BZ0">
    <w:name w:val="BZ_Содержание"/>
    <w:link w:val="BZ"/>
    <w:rsid w:val="00B60C4D"/>
    <w:pPr>
      <w:pageBreakBefore/>
      <w:spacing w:after="200" w:line="276" w:lineRule="auto"/>
      <w:jc w:val="center"/>
    </w:pPr>
    <w:rPr>
      <w:rFonts w:ascii="Times New Roman" w:eastAsia="Times New Roman" w:hAnsi="Times New Roman"/>
      <w:b/>
      <w:sz w:val="28"/>
      <w:szCs w:val="28"/>
    </w:rPr>
  </w:style>
  <w:style w:type="character" w:customStyle="1" w:styleId="ab">
    <w:name w:val="Текст сноски Знак"/>
    <w:basedOn w:val="a0"/>
    <w:link w:val="ac"/>
    <w:uiPriority w:val="99"/>
    <w:semiHidden/>
    <w:rsid w:val="00B60C4D"/>
    <w:rPr>
      <w:sz w:val="20"/>
      <w:szCs w:val="20"/>
    </w:rPr>
  </w:style>
  <w:style w:type="paragraph" w:styleId="ac">
    <w:name w:val="footnote text"/>
    <w:basedOn w:val="a"/>
    <w:link w:val="ab"/>
    <w:uiPriority w:val="99"/>
    <w:semiHidden/>
    <w:unhideWhenUsed/>
    <w:rsid w:val="00B60C4D"/>
    <w:pPr>
      <w:spacing w:after="0" w:line="240" w:lineRule="auto"/>
    </w:pPr>
    <w:rPr>
      <w:sz w:val="20"/>
      <w:szCs w:val="20"/>
    </w:rPr>
  </w:style>
  <w:style w:type="paragraph" w:customStyle="1" w:styleId="SB2">
    <w:name w:val="SB_Зг_2"/>
    <w:basedOn w:val="a"/>
    <w:next w:val="a"/>
    <w:link w:val="SB20"/>
    <w:qFormat/>
    <w:rsid w:val="00B60C4D"/>
    <w:pPr>
      <w:keepNext/>
      <w:tabs>
        <w:tab w:val="left" w:pos="1276"/>
      </w:tabs>
      <w:spacing w:before="120" w:after="120" w:line="288" w:lineRule="auto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SB20">
    <w:name w:val="SB_Зг_2 Знак"/>
    <w:link w:val="SB2"/>
    <w:rsid w:val="00B60C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SB">
    <w:name w:val="SB_Таб_Ш"/>
    <w:link w:val="SB0"/>
    <w:qFormat/>
    <w:rsid w:val="00B60C4D"/>
    <w:pPr>
      <w:spacing w:before="60" w:after="6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SB0">
    <w:name w:val="SB_Таб_Ш Знак"/>
    <w:link w:val="SB"/>
    <w:rsid w:val="00B60C4D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d">
    <w:name w:val="Таб. по центру"/>
    <w:basedOn w:val="a"/>
    <w:link w:val="ae"/>
    <w:qFormat/>
    <w:rsid w:val="00B60C4D"/>
    <w:pPr>
      <w:keepLines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Таб. по центру Знак"/>
    <w:link w:val="ad"/>
    <w:rsid w:val="00B60C4D"/>
    <w:rPr>
      <w:rFonts w:ascii="Times New Roman" w:eastAsia="Times New Roman" w:hAnsi="Times New Roman" w:cs="Times New Roman"/>
      <w:sz w:val="24"/>
      <w:szCs w:val="24"/>
    </w:rPr>
  </w:style>
  <w:style w:type="paragraph" w:customStyle="1" w:styleId="af">
    <w:name w:val="Название Таблица"/>
    <w:basedOn w:val="a"/>
    <w:next w:val="a"/>
    <w:autoRedefine/>
    <w:qFormat/>
    <w:rsid w:val="00B60C4D"/>
    <w:pPr>
      <w:keepNext/>
      <w:keepLines/>
      <w:spacing w:before="120" w:after="120" w:line="240" w:lineRule="auto"/>
      <w:ind w:left="170"/>
      <w:jc w:val="right"/>
    </w:pPr>
    <w:rPr>
      <w:rFonts w:ascii="Times New Roman" w:eastAsia="Times New Roman" w:hAnsi="Times New Roman" w:cs="Times New Roman"/>
      <w:b/>
      <w:sz w:val="24"/>
      <w:szCs w:val="27"/>
      <w:lang w:val="en-US" w:eastAsia="ru-RU"/>
    </w:rPr>
  </w:style>
  <w:style w:type="paragraph" w:customStyle="1" w:styleId="SB1">
    <w:name w:val="SB_А"/>
    <w:basedOn w:val="a"/>
    <w:link w:val="SB3"/>
    <w:qFormat/>
    <w:rsid w:val="00B60C4D"/>
    <w:pPr>
      <w:spacing w:before="60" w:after="60" w:line="288" w:lineRule="auto"/>
      <w:ind w:firstLine="720"/>
      <w:jc w:val="both"/>
    </w:pPr>
    <w:rPr>
      <w:rFonts w:ascii="Times New Roman" w:eastAsia="Calibri" w:hAnsi="Times New Roman" w:cs="Times New Roman"/>
      <w:sz w:val="26"/>
      <w:szCs w:val="26"/>
    </w:rPr>
  </w:style>
  <w:style w:type="character" w:customStyle="1" w:styleId="SB3">
    <w:name w:val="SB_А Знак"/>
    <w:link w:val="SB1"/>
    <w:rsid w:val="00B60C4D"/>
    <w:rPr>
      <w:rFonts w:ascii="Times New Roman" w:eastAsia="Calibri" w:hAnsi="Times New Roman" w:cs="Times New Roman"/>
      <w:sz w:val="26"/>
      <w:szCs w:val="26"/>
    </w:rPr>
  </w:style>
  <w:style w:type="character" w:customStyle="1" w:styleId="af0">
    <w:name w:val="Текст примечания Знак"/>
    <w:basedOn w:val="a0"/>
    <w:link w:val="af1"/>
    <w:uiPriority w:val="99"/>
    <w:semiHidden/>
    <w:rsid w:val="00B60C4D"/>
    <w:rPr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rsid w:val="00B60C4D"/>
    <w:pPr>
      <w:spacing w:line="240" w:lineRule="auto"/>
    </w:pPr>
    <w:rPr>
      <w:sz w:val="20"/>
      <w:szCs w:val="20"/>
    </w:rPr>
  </w:style>
  <w:style w:type="character" w:customStyle="1" w:styleId="af2">
    <w:name w:val="Тема примечания Знак"/>
    <w:basedOn w:val="af0"/>
    <w:link w:val="af3"/>
    <w:uiPriority w:val="99"/>
    <w:semiHidden/>
    <w:rsid w:val="00B60C4D"/>
    <w:rPr>
      <w:b/>
      <w:bCs/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rsid w:val="00B60C4D"/>
    <w:rPr>
      <w:b/>
      <w:bCs/>
    </w:rPr>
  </w:style>
  <w:style w:type="paragraph" w:customStyle="1" w:styleId="SB4">
    <w:name w:val="SB_Таб_Т"/>
    <w:basedOn w:val="SB1"/>
    <w:link w:val="SB5"/>
    <w:qFormat/>
    <w:rsid w:val="00B60C4D"/>
    <w:pPr>
      <w:spacing w:line="240" w:lineRule="auto"/>
      <w:ind w:firstLine="0"/>
    </w:pPr>
    <w:rPr>
      <w:sz w:val="24"/>
      <w:szCs w:val="24"/>
    </w:rPr>
  </w:style>
  <w:style w:type="character" w:customStyle="1" w:styleId="SB5">
    <w:name w:val="SB_Таб_Т Знак"/>
    <w:link w:val="SB4"/>
    <w:rsid w:val="00B60C4D"/>
    <w:rPr>
      <w:rFonts w:ascii="Times New Roman" w:eastAsia="Calibri" w:hAnsi="Times New Roman" w:cs="Times New Roman"/>
      <w:sz w:val="24"/>
      <w:szCs w:val="24"/>
    </w:rPr>
  </w:style>
  <w:style w:type="paragraph" w:customStyle="1" w:styleId="BZ1">
    <w:name w:val="BZ_А"/>
    <w:basedOn w:val="a"/>
    <w:link w:val="BZ3"/>
    <w:qFormat/>
    <w:rsid w:val="00B60C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8"/>
    </w:rPr>
  </w:style>
  <w:style w:type="character" w:customStyle="1" w:styleId="BZ3">
    <w:name w:val="BZ_А Знак"/>
    <w:link w:val="BZ1"/>
    <w:rsid w:val="00B60C4D"/>
    <w:rPr>
      <w:rFonts w:ascii="Times New Roman" w:eastAsia="Times New Roman" w:hAnsi="Times New Roman" w:cs="Times New Roman"/>
      <w:sz w:val="26"/>
      <w:szCs w:val="28"/>
    </w:rPr>
  </w:style>
  <w:style w:type="table" w:styleId="af4">
    <w:name w:val="Table Grid"/>
    <w:basedOn w:val="a1"/>
    <w:rsid w:val="00B60C4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">
    <w:name w:val="Iau?iu"/>
    <w:rsid w:val="00B60C4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No Spacing"/>
    <w:uiPriority w:val="1"/>
    <w:qFormat/>
    <w:rsid w:val="00B60C4D"/>
    <w:pPr>
      <w:spacing w:after="0" w:line="240" w:lineRule="auto"/>
    </w:pPr>
  </w:style>
  <w:style w:type="paragraph" w:customStyle="1" w:styleId="ConsPlusNormal">
    <w:name w:val="ConsPlusNormal"/>
    <w:rsid w:val="00B60C4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60C4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Z2">
    <w:name w:val="BZ_Зг_2"/>
    <w:basedOn w:val="a"/>
    <w:link w:val="BZ20"/>
    <w:qFormat/>
    <w:rsid w:val="00B60C4D"/>
    <w:pPr>
      <w:keepNext/>
      <w:numPr>
        <w:ilvl w:val="1"/>
        <w:numId w:val="5"/>
      </w:numPr>
      <w:tabs>
        <w:tab w:val="left" w:pos="1134"/>
      </w:tabs>
      <w:spacing w:before="120" w:after="12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</w:rPr>
  </w:style>
  <w:style w:type="character" w:customStyle="1" w:styleId="BZ20">
    <w:name w:val="BZ_Зг_2 Знак"/>
    <w:link w:val="BZ2"/>
    <w:rsid w:val="00B60C4D"/>
    <w:rPr>
      <w:rFonts w:ascii="Times New Roman" w:eastAsia="Times New Roman" w:hAnsi="Times New Roman" w:cs="Times New Roman"/>
      <w:b/>
      <w:sz w:val="28"/>
    </w:rPr>
  </w:style>
  <w:style w:type="paragraph" w:customStyle="1" w:styleId="AZ33">
    <w:name w:val="AZ_33"/>
    <w:basedOn w:val="a"/>
    <w:link w:val="AZ330"/>
    <w:qFormat/>
    <w:rsid w:val="00B60C4D"/>
    <w:pPr>
      <w:keepNext/>
      <w:numPr>
        <w:ilvl w:val="2"/>
        <w:numId w:val="11"/>
      </w:numPr>
      <w:spacing w:before="120" w:after="0" w:line="240" w:lineRule="auto"/>
      <w:jc w:val="both"/>
      <w:outlineLvl w:val="2"/>
    </w:pPr>
    <w:rPr>
      <w:rFonts w:ascii="Times New Roman" w:eastAsia="Calibri" w:hAnsi="Times New Roman" w:cs="Times New Roman"/>
      <w:b/>
      <w:sz w:val="26"/>
      <w:szCs w:val="26"/>
      <w:lang w:val="en-US" w:eastAsia="ru-RU"/>
    </w:rPr>
  </w:style>
  <w:style w:type="character" w:customStyle="1" w:styleId="AZ330">
    <w:name w:val="AZ_33 Знак"/>
    <w:link w:val="AZ33"/>
    <w:rsid w:val="00B60C4D"/>
    <w:rPr>
      <w:rFonts w:ascii="Times New Roman" w:eastAsia="Calibri" w:hAnsi="Times New Roman" w:cs="Times New Roman"/>
      <w:b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fstec.ru/en/53-normotvorcheskaya/akty/prikazy/1592-prikaz-fstek-rossii-ot-25-dekabrya-2017-g-n-239" TargetMode="External"/><Relationship Id="rId18" Type="http://schemas.openxmlformats.org/officeDocument/2006/relationships/hyperlink" Target="https://fstec.ru/en/53-normotvorcheskaya/akty/prikazy/1592-prikaz-fstek-rossii-ot-25-dekabrya-2017-g-n-239" TargetMode="External"/><Relationship Id="rId26" Type="http://schemas.openxmlformats.org/officeDocument/2006/relationships/hyperlink" Target="https://fstec.ru/en/53-normotvorcheskaya/akty/prikazy/1592-prikaz-fstek-rossii-ot-25-dekabrya-2017-g-n-239" TargetMode="External"/><Relationship Id="rId39" Type="http://schemas.openxmlformats.org/officeDocument/2006/relationships/hyperlink" Target="https://fstec.ru/en/53-normotvorcheskaya/akty/prikazy/1592-prikaz-fstek-rossii-ot-25-dekabrya-2017-g-n-2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stec.ru/en/53-normotvorcheskaya/akty/prikazy/1592-prikaz-fstek-rossii-ot-25-dekabrya-2017-g-n-239" TargetMode="External"/><Relationship Id="rId34" Type="http://schemas.openxmlformats.org/officeDocument/2006/relationships/hyperlink" Target="https://fstec.ru/en/53-normotvorcheskaya/akty/prikazy/1592-prikaz-fstek-rossii-ot-25-dekabrya-2017-g-n-239" TargetMode="External"/><Relationship Id="rId42" Type="http://schemas.openxmlformats.org/officeDocument/2006/relationships/hyperlink" Target="https://fstec.ru/en/53-normotvorcheskaya/akty/prikazy/1592-prikaz-fstek-rossii-ot-25-dekabrya-2017-g-n-239" TargetMode="External"/><Relationship Id="rId47" Type="http://schemas.openxmlformats.org/officeDocument/2006/relationships/hyperlink" Target="https://fstec.ru/en/53-normotvorcheskaya/akty/prikazy/1592-prikaz-fstek-rossii-ot-25-dekabrya-2017-g-n-239" TargetMode="External"/><Relationship Id="rId50" Type="http://schemas.openxmlformats.org/officeDocument/2006/relationships/header" Target="header2.xml"/><Relationship Id="rId7" Type="http://schemas.openxmlformats.org/officeDocument/2006/relationships/hyperlink" Target="https://fstec.ru/en/53-normotvorcheskaya/akty/prikazy/1592-prikaz-fstek-rossii-ot-25-dekabrya-2017-g-n-239" TargetMode="External"/><Relationship Id="rId12" Type="http://schemas.openxmlformats.org/officeDocument/2006/relationships/hyperlink" Target="https://fstec.ru/en/53-normotvorcheskaya/akty/prikazy/1592-prikaz-fstek-rossii-ot-25-dekabrya-2017-g-n-239" TargetMode="External"/><Relationship Id="rId17" Type="http://schemas.openxmlformats.org/officeDocument/2006/relationships/hyperlink" Target="https://fstec.ru/en/53-normotvorcheskaya/akty/prikazy/1592-prikaz-fstek-rossii-ot-25-dekabrya-2017-g-n-239" TargetMode="External"/><Relationship Id="rId25" Type="http://schemas.openxmlformats.org/officeDocument/2006/relationships/hyperlink" Target="https://fstec.ru/en/53-normotvorcheskaya/akty/prikazy/1592-prikaz-fstek-rossii-ot-25-dekabrya-2017-g-n-239" TargetMode="External"/><Relationship Id="rId33" Type="http://schemas.openxmlformats.org/officeDocument/2006/relationships/hyperlink" Target="https://fstec.ru/en/53-normotvorcheskaya/akty/prikazy/1592-prikaz-fstek-rossii-ot-25-dekabrya-2017-g-n-239" TargetMode="External"/><Relationship Id="rId38" Type="http://schemas.openxmlformats.org/officeDocument/2006/relationships/hyperlink" Target="https://fstec.ru/en/53-normotvorcheskaya/akty/prikazy/1592-prikaz-fstek-rossii-ot-25-dekabrya-2017-g-n-239" TargetMode="External"/><Relationship Id="rId46" Type="http://schemas.openxmlformats.org/officeDocument/2006/relationships/hyperlink" Target="https://fstec.ru/en/53-normotvorcheskaya/akty/prikazy/1592-prikaz-fstek-rossii-ot-25-dekabrya-2017-g-n-2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fstec.ru/en/53-normotvorcheskaya/akty/prikazy/1592-prikaz-fstek-rossii-ot-25-dekabrya-2017-g-n-239" TargetMode="External"/><Relationship Id="rId20" Type="http://schemas.openxmlformats.org/officeDocument/2006/relationships/hyperlink" Target="https://fstec.ru/en/53-normotvorcheskaya/akty/prikazy/1592-prikaz-fstek-rossii-ot-25-dekabrya-2017-g-n-239" TargetMode="External"/><Relationship Id="rId29" Type="http://schemas.openxmlformats.org/officeDocument/2006/relationships/hyperlink" Target="https://fstec.ru/en/53-normotvorcheskaya/akty/prikazy/1592-prikaz-fstek-rossii-ot-25-dekabrya-2017-g-n-239" TargetMode="External"/><Relationship Id="rId41" Type="http://schemas.openxmlformats.org/officeDocument/2006/relationships/hyperlink" Target="https://fstec.ru/en/53-normotvorcheskaya/akty/prikazy/1592-prikaz-fstek-rossii-ot-25-dekabrya-2017-g-n-2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stec.ru/en/53-normotvorcheskaya/akty/prikazy/1592-prikaz-fstek-rossii-ot-25-dekabrya-2017-g-n-239" TargetMode="External"/><Relationship Id="rId24" Type="http://schemas.openxmlformats.org/officeDocument/2006/relationships/hyperlink" Target="https://fstec.ru/en/53-normotvorcheskaya/akty/prikazy/1592-prikaz-fstek-rossii-ot-25-dekabrya-2017-g-n-239" TargetMode="External"/><Relationship Id="rId32" Type="http://schemas.openxmlformats.org/officeDocument/2006/relationships/hyperlink" Target="https://fstec.ru/en/53-normotvorcheskaya/akty/prikazy/1592-prikaz-fstek-rossii-ot-25-dekabrya-2017-g-n-239" TargetMode="External"/><Relationship Id="rId37" Type="http://schemas.openxmlformats.org/officeDocument/2006/relationships/hyperlink" Target="https://fstec.ru/en/53-normotvorcheskaya/akty/prikazy/1592-prikaz-fstek-rossii-ot-25-dekabrya-2017-g-n-239" TargetMode="External"/><Relationship Id="rId40" Type="http://schemas.openxmlformats.org/officeDocument/2006/relationships/hyperlink" Target="https://fstec.ru/en/53-normotvorcheskaya/akty/prikazy/1592-prikaz-fstek-rossii-ot-25-dekabrya-2017-g-n-239" TargetMode="External"/><Relationship Id="rId45" Type="http://schemas.openxmlformats.org/officeDocument/2006/relationships/hyperlink" Target="https://fstec.ru/en/53-normotvorcheskaya/akty/prikazy/1592-prikaz-fstek-rossii-ot-25-dekabrya-2017-g-n-239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stec.ru/en/53-normotvorcheskaya/akty/prikazy/1592-prikaz-fstek-rossii-ot-25-dekabrya-2017-g-n-239" TargetMode="External"/><Relationship Id="rId23" Type="http://schemas.openxmlformats.org/officeDocument/2006/relationships/hyperlink" Target="https://fstec.ru/en/53-normotvorcheskaya/akty/prikazy/1592-prikaz-fstek-rossii-ot-25-dekabrya-2017-g-n-239" TargetMode="External"/><Relationship Id="rId28" Type="http://schemas.openxmlformats.org/officeDocument/2006/relationships/hyperlink" Target="https://fstec.ru/en/53-normotvorcheskaya/akty/prikazy/1592-prikaz-fstek-rossii-ot-25-dekabrya-2017-g-n-239" TargetMode="External"/><Relationship Id="rId36" Type="http://schemas.openxmlformats.org/officeDocument/2006/relationships/hyperlink" Target="https://fstec.ru/en/53-normotvorcheskaya/akty/prikazy/1592-prikaz-fstek-rossii-ot-25-dekabrya-2017-g-n-239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fstec.ru/en/53-normotvorcheskaya/akty/prikazy/1592-prikaz-fstek-rossii-ot-25-dekabrya-2017-g-n-239" TargetMode="External"/><Relationship Id="rId19" Type="http://schemas.openxmlformats.org/officeDocument/2006/relationships/hyperlink" Target="https://fstec.ru/en/53-normotvorcheskaya/akty/prikazy/1592-prikaz-fstek-rossii-ot-25-dekabrya-2017-g-n-239" TargetMode="External"/><Relationship Id="rId31" Type="http://schemas.openxmlformats.org/officeDocument/2006/relationships/hyperlink" Target="https://fstec.ru/en/53-normotvorcheskaya/akty/prikazy/1592-prikaz-fstek-rossii-ot-25-dekabrya-2017-g-n-239" TargetMode="External"/><Relationship Id="rId44" Type="http://schemas.openxmlformats.org/officeDocument/2006/relationships/hyperlink" Target="https://fstec.ru/en/53-normotvorcheskaya/akty/prikazy/1592-prikaz-fstek-rossii-ot-25-dekabrya-2017-g-n-239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tec.ru/en/53-normotvorcheskaya/akty/prikazy/1592-prikaz-fstek-rossii-ot-25-dekabrya-2017-g-n-239" TargetMode="External"/><Relationship Id="rId14" Type="http://schemas.openxmlformats.org/officeDocument/2006/relationships/hyperlink" Target="https://fstec.ru/en/53-normotvorcheskaya/akty/prikazy/1592-prikaz-fstek-rossii-ot-25-dekabrya-2017-g-n-239" TargetMode="External"/><Relationship Id="rId22" Type="http://schemas.openxmlformats.org/officeDocument/2006/relationships/hyperlink" Target="https://fstec.ru/en/53-normotvorcheskaya/akty/prikazy/1592-prikaz-fstek-rossii-ot-25-dekabrya-2017-g-n-239" TargetMode="External"/><Relationship Id="rId27" Type="http://schemas.openxmlformats.org/officeDocument/2006/relationships/hyperlink" Target="https://fstec.ru/en/53-normotvorcheskaya/akty/prikazy/1592-prikaz-fstek-rossii-ot-25-dekabrya-2017-g-n-239" TargetMode="External"/><Relationship Id="rId30" Type="http://schemas.openxmlformats.org/officeDocument/2006/relationships/hyperlink" Target="https://fstec.ru/en/53-normotvorcheskaya/akty/prikazy/1592-prikaz-fstek-rossii-ot-25-dekabrya-2017-g-n-239" TargetMode="External"/><Relationship Id="rId35" Type="http://schemas.openxmlformats.org/officeDocument/2006/relationships/hyperlink" Target="https://fstec.ru/en/53-normotvorcheskaya/akty/prikazy/1592-prikaz-fstek-rossii-ot-25-dekabrya-2017-g-n-239" TargetMode="External"/><Relationship Id="rId43" Type="http://schemas.openxmlformats.org/officeDocument/2006/relationships/hyperlink" Target="https://fstec.ru/en/53-normotvorcheskaya/akty/prikazy/1592-prikaz-fstek-rossii-ot-25-dekabrya-2017-g-n-239" TargetMode="External"/><Relationship Id="rId48" Type="http://schemas.openxmlformats.org/officeDocument/2006/relationships/header" Target="header1.xml"/><Relationship Id="rId8" Type="http://schemas.openxmlformats.org/officeDocument/2006/relationships/hyperlink" Target="https://fstec.ru/en/53-normotvorcheskaya/akty/prikazy/1592-prikaz-fstek-rossii-ot-25-dekabrya-2017-g-n-239" TargetMode="External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kursant17</dc:creator>
  <cp:keywords/>
  <dc:description/>
  <cp:lastModifiedBy>Разиль Хатыпов</cp:lastModifiedBy>
  <cp:revision>10</cp:revision>
  <dcterms:created xsi:type="dcterms:W3CDTF">2022-12-02T06:09:00Z</dcterms:created>
  <dcterms:modified xsi:type="dcterms:W3CDTF">2023-01-27T16:05:00Z</dcterms:modified>
</cp:coreProperties>
</file>