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3A8AAD" w14:textId="77777777" w:rsidR="00FD2E92" w:rsidRDefault="00A23D13">
      <w:pPr>
        <w:spacing w:after="80"/>
        <w:jc w:val="center"/>
      </w:pPr>
      <w:r>
        <w:rPr>
          <w:b/>
          <w:bCs/>
          <w:color w:val="1F3864"/>
          <w:sz w:val="36"/>
          <w:szCs w:val="36"/>
        </w:rPr>
        <w:t>A Comprehensive Review of Zero Trust Architecture:</w:t>
      </w:r>
    </w:p>
    <w:p w14:paraId="05E6F1AF" w14:textId="77777777" w:rsidR="00FD2E92" w:rsidRDefault="00A23D13">
      <w:pPr>
        <w:spacing w:after="200"/>
        <w:jc w:val="center"/>
      </w:pPr>
      <w:r>
        <w:rPr>
          <w:b/>
          <w:bCs/>
          <w:color w:val="2E75B6"/>
          <w:sz w:val="30"/>
          <w:szCs w:val="30"/>
        </w:rPr>
        <w:t>Frameworks, Implementation Strategies, and Future Directions</w:t>
      </w:r>
    </w:p>
    <w:p w14:paraId="07D26A18" w14:textId="77777777" w:rsidR="00FD2E92" w:rsidRPr="00B40A77" w:rsidRDefault="00A23D13" w:rsidP="00B40A77">
      <w:pPr>
        <w:spacing w:after="60"/>
        <w:jc w:val="center"/>
        <w:rPr>
          <w:sz w:val="24"/>
          <w:szCs w:val="24"/>
        </w:rPr>
      </w:pPr>
      <w:r w:rsidRPr="00B40A77">
        <w:rPr>
          <w:color w:val="444444"/>
          <w:sz w:val="24"/>
          <w:szCs w:val="24"/>
        </w:rPr>
        <w:t>Author: Zero Trust</w:t>
      </w:r>
    </w:p>
    <w:p w14:paraId="2E3CD1F1" w14:textId="5C41DC77" w:rsidR="00FD2E92" w:rsidRDefault="007E58D0" w:rsidP="00B40A77">
      <w:pPr>
        <w:spacing w:after="320"/>
        <w:jc w:val="center"/>
        <w:rPr>
          <w:color w:val="444444"/>
          <w:sz w:val="24"/>
          <w:szCs w:val="24"/>
        </w:rPr>
      </w:pPr>
      <w:r>
        <w:rPr>
          <w:noProof/>
          <w:sz w:val="24"/>
          <w:szCs w:val="24"/>
        </w:rPr>
        <mc:AlternateContent>
          <mc:Choice Requires="wps">
            <w:drawing>
              <wp:anchor distT="0" distB="0" distL="114300" distR="114300" simplePos="0" relativeHeight="251659264" behindDoc="0" locked="0" layoutInCell="1" allowOverlap="1" wp14:anchorId="1E6CAEE0" wp14:editId="65526ADE">
                <wp:simplePos x="0" y="0"/>
                <wp:positionH relativeFrom="margin">
                  <wp:align>left</wp:align>
                </wp:positionH>
                <wp:positionV relativeFrom="paragraph">
                  <wp:posOffset>291580</wp:posOffset>
                </wp:positionV>
                <wp:extent cx="5708073"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5708073" cy="0"/>
                        </a:xfrm>
                        <a:prstGeom prst="line">
                          <a:avLst/>
                        </a:prstGeom>
                        <a:ln w="1905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791D651" id="Straight Connector 3" o:spid="_x0000_s1026" style="position:absolute;z-index:251659264;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 from="0,22.95pt" to="449.45pt,2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" strokecolor="#4472c4 [3204]" strokeweight="1.5pt">
                <v:stroke joinstyle="miter"/>
                <w10:wrap anchorx="margin"/>
              </v:line>
            </w:pict>
          </mc:Fallback>
        </mc:AlternateContent>
      </w:r>
      <w:r w:rsidR="00A23D13" w:rsidRPr="00B40A77">
        <w:rPr>
          <w:color w:val="444444"/>
          <w:sz w:val="24"/>
          <w:szCs w:val="24"/>
        </w:rPr>
        <w:t>Date: May 4, 2026</w:t>
      </w:r>
    </w:p>
    <w:p w14:paraId="68675A1D" w14:textId="77777777" w:rsidR="007E58D0" w:rsidRPr="007E58D0" w:rsidRDefault="007E58D0">
      <w:pPr>
        <w:pStyle w:val="Heading1"/>
        <w:rPr>
          <w:sz w:val="6"/>
          <w:szCs w:val="6"/>
        </w:rPr>
      </w:pPr>
    </w:p>
    <w:p w14:paraId="62DC0AAA" w14:textId="272598E5" w:rsidR="00FD2E92" w:rsidRDefault="00A23D13">
      <w:pPr>
        <w:pStyle w:val="Heading1"/>
      </w:pPr>
      <w:r>
        <w:t>Abstract</w:t>
      </w:r>
    </w:p>
    <w:p w14:paraId="2E91FCCB" w14:textId="50216255" w:rsidR="00FD2E92" w:rsidRDefault="00A23D13" w:rsidP="002A3736">
      <w:pPr>
        <w:spacing w:after="100" w:line="288" w:lineRule="auto"/>
        <w:jc w:val="both"/>
      </w:pPr>
      <w:r>
        <w:t xml:space="preserve">The way we think about network security has changed dramatically over the past decade. Traditional perimeter-based </w:t>
      </w:r>
      <w:r w:rsidR="00445D19">
        <w:t>models the</w:t>
      </w:r>
      <w:r>
        <w:t xml:space="preserve"> ones built on the idea that everything inside your network is </w:t>
      </w:r>
      <w:r w:rsidR="00445D19">
        <w:t>safe simply</w:t>
      </w:r>
      <w:r>
        <w:t xml:space="preserve"> do not hold up anymore. As organizations embrace cloud services, remote work, and increasingly complex IT environments, the old </w:t>
      </w:r>
      <w:r>
        <w:rPr>
          <w:i/>
          <w:iCs/>
        </w:rPr>
        <w:t>castle-and-moat</w:t>
      </w:r>
      <w:r>
        <w:t xml:space="preserve"> approach has become more of a liability than a shield.</w:t>
      </w:r>
    </w:p>
    <w:p w14:paraId="319BB3D7" w14:textId="33A9F15A" w:rsidR="00FD2E92" w:rsidRDefault="00A23D13" w:rsidP="002A3736">
      <w:pPr>
        <w:spacing w:after="100" w:line="288" w:lineRule="auto"/>
        <w:jc w:val="both"/>
      </w:pPr>
      <w:r>
        <w:t xml:space="preserve">Zero Trust Architecture (ZTA) has emerged as a practical, well-grounded response to this reality. Built on the principle of </w:t>
      </w:r>
      <w:r>
        <w:rPr>
          <w:i/>
          <w:iCs/>
        </w:rPr>
        <w:t>“never trust, always verify,”</w:t>
      </w:r>
      <w:r>
        <w:t xml:space="preserve"> it treats every access request as potentially suspicious, regardless of where it originates. This paper takes a close look at </w:t>
      </w:r>
      <w:r w:rsidR="00B40A77">
        <w:t>ZTA what</w:t>
      </w:r>
      <w:r>
        <w:t xml:space="preserve"> it is, where it comes from, and how organizations are actually putting it into practice.</w:t>
      </w:r>
    </w:p>
    <w:p w14:paraId="3D4F0C82" w14:textId="77777777" w:rsidR="00FD2E92" w:rsidRDefault="00A23D13" w:rsidP="002A3736">
      <w:pPr>
        <w:spacing w:after="100" w:line="288" w:lineRule="auto"/>
        <w:jc w:val="both"/>
      </w:pPr>
      <w:r>
        <w:t>We examine the foundational frameworks developed by NIST, CISA, and the U.S. Department of Defense (DoD), explore the five core pillars that structure a mature Zero Trust environment, and address the real-world challenges that come with implementation. We also look ahead at how artificial intelligence and quantum-resistant cryptography are shaping the future of Zero Trust. The goal of this review is to provide a clear, actionable roadmap for any organization working toward a stronger, more resilient security posture.</w:t>
      </w:r>
    </w:p>
    <w:p w14:paraId="1C9FA30E" w14:textId="68B26BB0" w:rsidR="00FD2E92" w:rsidRDefault="00FD2E92">
      <w:pPr>
        <w:spacing w:after="80"/>
      </w:pPr>
    </w:p>
    <w:p w14:paraId="1FDA1B07" w14:textId="77777777" w:rsidR="005660DA" w:rsidRDefault="005660DA">
      <w:pPr>
        <w:spacing w:after="80"/>
      </w:pPr>
    </w:p>
    <w:p w14:paraId="333F2308" w14:textId="77777777" w:rsidR="00FD2E92" w:rsidRDefault="00A23D13">
      <w:pPr>
        <w:pStyle w:val="Heading1"/>
      </w:pPr>
      <w:r>
        <w:t>1. Introduction</w:t>
      </w:r>
    </w:p>
    <w:p w14:paraId="182FC6AC" w14:textId="77777777" w:rsidR="00FD2E92" w:rsidRDefault="00A23D13" w:rsidP="002A3736">
      <w:pPr>
        <w:spacing w:after="100" w:line="288" w:lineRule="auto"/>
        <w:jc w:val="both"/>
      </w:pPr>
      <w:r>
        <w:t>Not long ago, securing a corporate network felt relatively straightforward. You built a strong perimeter, set up firewalls, and operated under the assumption that anyone who had made it inside the network could be trusted. That assumption, once reasonable, is now one of the biggest risks in modern cybersecurity.</w:t>
      </w:r>
    </w:p>
    <w:p w14:paraId="7BE56303" w14:textId="77777777" w:rsidR="00FD2E92" w:rsidRDefault="00A23D13" w:rsidP="002A3736">
      <w:pPr>
        <w:spacing w:after="100" w:line="288" w:lineRule="auto"/>
        <w:jc w:val="both"/>
      </w:pPr>
      <w:r>
        <w:t>The digital environment has shifted in ways that make perimeter-based security increasingly difficult to sustain. Cloud computing means that data and services live outside the traditional network boundary. Remote and hybrid work means that users connect from home networks, coffee shops, and mobile devices. Advanced persistent threats mean that attackers are patient, methodical, and often already inside the network before anyone notices.</w:t>
      </w:r>
    </w:p>
    <w:p w14:paraId="2A146294" w14:textId="3C9E6AA9" w:rsidR="00FD2E92" w:rsidRDefault="00A23D13" w:rsidP="002A3736">
      <w:pPr>
        <w:spacing w:after="100" w:line="288" w:lineRule="auto"/>
        <w:jc w:val="both"/>
      </w:pPr>
      <w:r>
        <w:t xml:space="preserve">This is the core problem that Zero Trust Architecture (ZTA) is designed to solve. Rather than asking </w:t>
      </w:r>
      <w:r>
        <w:rPr>
          <w:i/>
          <w:iCs/>
        </w:rPr>
        <w:t>“Where is the user connecting from?”</w:t>
      </w:r>
      <w:r>
        <w:t xml:space="preserve"> ZTA asks </w:t>
      </w:r>
      <w:r>
        <w:rPr>
          <w:i/>
          <w:iCs/>
        </w:rPr>
        <w:t>“Who is this user, what device are they using, and do they genuinely need access to this resource right now?”</w:t>
      </w:r>
      <w:r>
        <w:t xml:space="preserve"> The shift is subtle but </w:t>
      </w:r>
      <w:r w:rsidR="00B40A77">
        <w:t>profound from</w:t>
      </w:r>
      <w:r>
        <w:t xml:space="preserve"> trusting the network to trusting the identity, context, and behavior of every individual request.</w:t>
      </w:r>
    </w:p>
    <w:p w14:paraId="6B167E3C" w14:textId="77777777" w:rsidR="00FD2E92" w:rsidRDefault="00A23D13" w:rsidP="002A3736">
      <w:pPr>
        <w:spacing w:after="100" w:line="288" w:lineRule="auto"/>
        <w:jc w:val="both"/>
      </w:pPr>
      <w:r>
        <w:lastRenderedPageBreak/>
        <w:t>This paper reviews the current state of Zero Trust thinking, drawing on the major frameworks that have been developed to guide its adoption, examining the practical challenges organizations face, and looking ahead at the technologies that will define its future.</w:t>
      </w:r>
    </w:p>
    <w:p w14:paraId="58F5C605" w14:textId="0D4B9817" w:rsidR="00FD2E92" w:rsidRDefault="00FD2E92">
      <w:pPr>
        <w:spacing w:after="80"/>
      </w:pPr>
    </w:p>
    <w:p w14:paraId="281654D7" w14:textId="77777777" w:rsidR="005660DA" w:rsidRDefault="005660DA">
      <w:pPr>
        <w:spacing w:after="80"/>
      </w:pPr>
    </w:p>
    <w:p w14:paraId="67BAA254" w14:textId="77777777" w:rsidR="00FD2E92" w:rsidRDefault="00A23D13">
      <w:pPr>
        <w:pStyle w:val="Heading1"/>
      </w:pPr>
      <w:r>
        <w:t>2. Foundational Frameworks and Models</w:t>
      </w:r>
    </w:p>
    <w:p w14:paraId="7DF25BA9" w14:textId="5E13BCB2" w:rsidR="00FD2E92" w:rsidRDefault="00A23D13" w:rsidP="002A3736">
      <w:pPr>
        <w:spacing w:after="100" w:line="288" w:lineRule="auto"/>
        <w:jc w:val="both"/>
      </w:pPr>
      <w:r>
        <w:t xml:space="preserve">Zero Trust is not a single product or </w:t>
      </w:r>
      <w:r w:rsidR="00B40A77">
        <w:t>technology it</w:t>
      </w:r>
      <w:r>
        <w:t xml:space="preserve"> is a philosophy backed by a growing body of standards, models, and reference architectures. Three organizations in particular have done the most to define what Zero Trust looks like in practice: the National Institute of Standards and Technology (NIST), the Cybersecurity and Infrastructure Security Agency (CISA), and the U.S. Department of Defense (DoD).</w:t>
      </w:r>
    </w:p>
    <w:p w14:paraId="21B9FE66" w14:textId="7761551C" w:rsidR="008E6C4F" w:rsidRDefault="00A23D13" w:rsidP="008E6C4F">
      <w:pPr>
        <w:spacing w:after="100" w:line="288" w:lineRule="auto"/>
        <w:jc w:val="both"/>
      </w:pPr>
      <w:r>
        <w:t>Each of these frameworks approaches Zero Trust from a slightly different angle, reflecting the needs and priorities of the audiences they serve. A side-by-side look at these models helps clarify both their differences and their common ground.</w:t>
      </w:r>
    </w:p>
    <w:p w14:paraId="1CE00617" w14:textId="77777777" w:rsidR="00FD2E92" w:rsidRDefault="00A23D13" w:rsidP="008E6C4F">
      <w:pPr>
        <w:spacing w:after="120"/>
      </w:pPr>
      <w:r>
        <w:rPr>
          <w:b/>
          <w:bCs/>
          <w:i/>
          <w:iCs/>
          <w:color w:val="444444"/>
        </w:rPr>
        <w:t>Table 1: Comparison of Major Zero Trust Frameworks</w:t>
      </w:r>
    </w:p>
    <w:tbl>
      <w:tblPr>
        <w:tblW w:w="89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0"/>
        <w:gridCol w:w="1920"/>
        <w:gridCol w:w="1805"/>
        <w:gridCol w:w="3342"/>
      </w:tblGrid>
      <w:tr w:rsidR="00FD2E92" w14:paraId="67B36B1B" w14:textId="77777777" w:rsidTr="007E58D0">
        <w:trPr>
          <w:trHeight w:val="249"/>
          <w:tblHeader/>
        </w:trPr>
        <w:tc>
          <w:tcPr>
            <w:tcW w:w="192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40" w:type="dxa"/>
              <w:bottom w:w="80" w:type="dxa"/>
              <w:right w:w="140" w:type="dxa"/>
            </w:tcMar>
            <w:vAlign w:val="center"/>
          </w:tcPr>
          <w:p w14:paraId="5956601E" w14:textId="77777777" w:rsidR="00FD2E92" w:rsidRDefault="00A23D13">
            <w:pPr>
              <w:jc w:val="center"/>
            </w:pPr>
            <w:r>
              <w:rPr>
                <w:b/>
                <w:bCs/>
                <w:color w:val="FFFFFF"/>
                <w:sz w:val="20"/>
                <w:szCs w:val="20"/>
              </w:rPr>
              <w:t>Framework</w:t>
            </w:r>
          </w:p>
        </w:tc>
        <w:tc>
          <w:tcPr>
            <w:tcW w:w="192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40" w:type="dxa"/>
              <w:bottom w:w="80" w:type="dxa"/>
              <w:right w:w="140" w:type="dxa"/>
            </w:tcMar>
            <w:vAlign w:val="center"/>
          </w:tcPr>
          <w:p w14:paraId="61B24ED7" w14:textId="77777777" w:rsidR="00FD2E92" w:rsidRDefault="00A23D13">
            <w:pPr>
              <w:jc w:val="center"/>
            </w:pPr>
            <w:r>
              <w:rPr>
                <w:b/>
                <w:bCs/>
                <w:color w:val="FFFFFF"/>
                <w:sz w:val="20"/>
                <w:szCs w:val="20"/>
              </w:rPr>
              <w:t>Lead Organization</w:t>
            </w:r>
          </w:p>
        </w:tc>
        <w:tc>
          <w:tcPr>
            <w:tcW w:w="1805" w:type="dxa"/>
            <w:tcBorders>
              <w:top w:val="single" w:sz="1" w:space="0" w:color="AAAAAA"/>
              <w:left w:val="single" w:sz="1" w:space="0" w:color="AAAAAA"/>
              <w:bottom w:val="single" w:sz="1" w:space="0" w:color="AAAAAA"/>
              <w:right w:val="single" w:sz="1" w:space="0" w:color="AAAAAA"/>
            </w:tcBorders>
            <w:shd w:val="clear" w:color="auto" w:fill="1F3864"/>
            <w:tcMar>
              <w:top w:w="80" w:type="dxa"/>
              <w:left w:w="140" w:type="dxa"/>
              <w:bottom w:w="80" w:type="dxa"/>
              <w:right w:w="140" w:type="dxa"/>
            </w:tcMar>
            <w:vAlign w:val="center"/>
          </w:tcPr>
          <w:p w14:paraId="1087762F" w14:textId="77777777" w:rsidR="00FD2E92" w:rsidRDefault="00A23D13">
            <w:pPr>
              <w:jc w:val="center"/>
            </w:pPr>
            <w:r>
              <w:rPr>
                <w:b/>
                <w:bCs/>
                <w:color w:val="FFFFFF"/>
                <w:sz w:val="20"/>
                <w:szCs w:val="20"/>
              </w:rPr>
              <w:t>Primary Audience</w:t>
            </w:r>
          </w:p>
        </w:tc>
        <w:tc>
          <w:tcPr>
            <w:tcW w:w="3342" w:type="dxa"/>
            <w:tcBorders>
              <w:top w:val="single" w:sz="1" w:space="0" w:color="AAAAAA"/>
              <w:left w:val="single" w:sz="1" w:space="0" w:color="AAAAAA"/>
              <w:bottom w:val="single" w:sz="1" w:space="0" w:color="AAAAAA"/>
              <w:right w:val="single" w:sz="1" w:space="0" w:color="AAAAAA"/>
            </w:tcBorders>
            <w:shd w:val="clear" w:color="auto" w:fill="1F3864"/>
            <w:tcMar>
              <w:top w:w="80" w:type="dxa"/>
              <w:left w:w="140" w:type="dxa"/>
              <w:bottom w:w="80" w:type="dxa"/>
              <w:right w:w="140" w:type="dxa"/>
            </w:tcMar>
            <w:vAlign w:val="center"/>
          </w:tcPr>
          <w:p w14:paraId="37CDA804" w14:textId="77777777" w:rsidR="00FD2E92" w:rsidRDefault="00A23D13">
            <w:pPr>
              <w:jc w:val="center"/>
            </w:pPr>
            <w:r>
              <w:rPr>
                <w:b/>
                <w:bCs/>
                <w:color w:val="FFFFFF"/>
                <w:sz w:val="20"/>
                <w:szCs w:val="20"/>
              </w:rPr>
              <w:t>Key Characteristics</w:t>
            </w:r>
          </w:p>
        </w:tc>
      </w:tr>
      <w:tr w:rsidR="00FD2E92" w14:paraId="6EC1B9B8" w14:textId="77777777" w:rsidTr="007E58D0">
        <w:trPr>
          <w:trHeight w:val="1020"/>
        </w:trPr>
        <w:tc>
          <w:tcPr>
            <w:tcW w:w="1920" w:type="dxa"/>
            <w:tcBorders>
              <w:top w:val="single" w:sz="1" w:space="0" w:color="AAAAAA"/>
              <w:left w:val="single" w:sz="1" w:space="0" w:color="AAAAAA"/>
              <w:bottom w:val="single" w:sz="1" w:space="0" w:color="AAAAAA"/>
              <w:right w:val="single" w:sz="1" w:space="0" w:color="AAAAAA"/>
            </w:tcBorders>
            <w:shd w:val="clear" w:color="auto" w:fill="EAF3FB"/>
            <w:tcMar>
              <w:top w:w="80" w:type="dxa"/>
              <w:left w:w="140" w:type="dxa"/>
              <w:bottom w:w="80" w:type="dxa"/>
              <w:right w:w="140" w:type="dxa"/>
            </w:tcMar>
            <w:vAlign w:val="center"/>
          </w:tcPr>
          <w:p w14:paraId="6920D9DA" w14:textId="77777777" w:rsidR="00FD2E92" w:rsidRDefault="00A23D13">
            <w:r>
              <w:rPr>
                <w:color w:val="000000"/>
                <w:sz w:val="20"/>
                <w:szCs w:val="20"/>
              </w:rPr>
              <w:t>NIST SP 800-207</w:t>
            </w:r>
          </w:p>
        </w:tc>
        <w:tc>
          <w:tcPr>
            <w:tcW w:w="1920" w:type="dxa"/>
            <w:tcBorders>
              <w:top w:val="single" w:sz="1" w:space="0" w:color="AAAAAA"/>
              <w:left w:val="single" w:sz="1" w:space="0" w:color="AAAAAA"/>
              <w:bottom w:val="single" w:sz="1" w:space="0" w:color="AAAAAA"/>
              <w:right w:val="single" w:sz="1" w:space="0" w:color="AAAAAA"/>
            </w:tcBorders>
            <w:shd w:val="clear" w:color="auto" w:fill="EAF3FB"/>
            <w:tcMar>
              <w:top w:w="80" w:type="dxa"/>
              <w:left w:w="140" w:type="dxa"/>
              <w:bottom w:w="80" w:type="dxa"/>
              <w:right w:w="140" w:type="dxa"/>
            </w:tcMar>
            <w:vAlign w:val="center"/>
          </w:tcPr>
          <w:p w14:paraId="2C526161" w14:textId="77777777" w:rsidR="00FD2E92" w:rsidRDefault="00A23D13">
            <w:r>
              <w:rPr>
                <w:color w:val="000000"/>
                <w:sz w:val="20"/>
                <w:szCs w:val="20"/>
              </w:rPr>
              <w:t>National Institute of Standards and Technology</w:t>
            </w:r>
          </w:p>
        </w:tc>
        <w:tc>
          <w:tcPr>
            <w:tcW w:w="1805" w:type="dxa"/>
            <w:tcBorders>
              <w:top w:val="single" w:sz="1" w:space="0" w:color="AAAAAA"/>
              <w:left w:val="single" w:sz="1" w:space="0" w:color="AAAAAA"/>
              <w:bottom w:val="single" w:sz="1" w:space="0" w:color="AAAAAA"/>
              <w:right w:val="single" w:sz="1" w:space="0" w:color="AAAAAA"/>
            </w:tcBorders>
            <w:shd w:val="clear" w:color="auto" w:fill="EAF3FB"/>
            <w:tcMar>
              <w:top w:w="80" w:type="dxa"/>
              <w:left w:w="140" w:type="dxa"/>
              <w:bottom w:w="80" w:type="dxa"/>
              <w:right w:w="140" w:type="dxa"/>
            </w:tcMar>
            <w:vAlign w:val="center"/>
          </w:tcPr>
          <w:p w14:paraId="6F6E9044" w14:textId="77777777" w:rsidR="00FD2E92" w:rsidRDefault="00A23D13">
            <w:r>
              <w:rPr>
                <w:color w:val="000000"/>
                <w:sz w:val="20"/>
                <w:szCs w:val="20"/>
              </w:rPr>
              <w:t>All enterprises</w:t>
            </w:r>
          </w:p>
        </w:tc>
        <w:tc>
          <w:tcPr>
            <w:tcW w:w="3342" w:type="dxa"/>
            <w:tcBorders>
              <w:top w:val="single" w:sz="1" w:space="0" w:color="AAAAAA"/>
              <w:left w:val="single" w:sz="1" w:space="0" w:color="AAAAAA"/>
              <w:bottom w:val="single" w:sz="1" w:space="0" w:color="AAAAAA"/>
              <w:right w:val="single" w:sz="1" w:space="0" w:color="AAAAAA"/>
            </w:tcBorders>
            <w:shd w:val="clear" w:color="auto" w:fill="EAF3FB"/>
            <w:tcMar>
              <w:top w:w="80" w:type="dxa"/>
              <w:left w:w="140" w:type="dxa"/>
              <w:bottom w:w="80" w:type="dxa"/>
              <w:right w:w="140" w:type="dxa"/>
            </w:tcMar>
            <w:vAlign w:val="center"/>
          </w:tcPr>
          <w:p w14:paraId="7FA16C39" w14:textId="77777777" w:rsidR="00FD2E92" w:rsidRDefault="00A23D13">
            <w:r>
              <w:rPr>
                <w:color w:val="000000"/>
                <w:sz w:val="20"/>
                <w:szCs w:val="20"/>
              </w:rPr>
              <w:t>Vendor-neutral; defines 7 core tenets; introduces logical components (Policy Decision Point / Policy Enforcement Point)</w:t>
            </w:r>
          </w:p>
        </w:tc>
      </w:tr>
      <w:tr w:rsidR="00FD2E92" w14:paraId="53D16D36" w14:textId="77777777" w:rsidTr="007E58D0">
        <w:trPr>
          <w:trHeight w:val="1009"/>
        </w:trPr>
        <w:tc>
          <w:tcPr>
            <w:tcW w:w="192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vAlign w:val="center"/>
          </w:tcPr>
          <w:p w14:paraId="18FEC128" w14:textId="77777777" w:rsidR="00FD2E92" w:rsidRDefault="00A23D13">
            <w:r>
              <w:rPr>
                <w:color w:val="000000"/>
                <w:sz w:val="20"/>
                <w:szCs w:val="20"/>
              </w:rPr>
              <w:t>ZT Maturity Model v2.0</w:t>
            </w:r>
          </w:p>
        </w:tc>
        <w:tc>
          <w:tcPr>
            <w:tcW w:w="192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vAlign w:val="center"/>
          </w:tcPr>
          <w:p w14:paraId="0044D202" w14:textId="77777777" w:rsidR="00FD2E92" w:rsidRDefault="00A23D13">
            <w:r>
              <w:rPr>
                <w:color w:val="000000"/>
                <w:sz w:val="20"/>
                <w:szCs w:val="20"/>
              </w:rPr>
              <w:t>CISA</w:t>
            </w:r>
          </w:p>
        </w:tc>
        <w:tc>
          <w:tcPr>
            <w:tcW w:w="1805"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vAlign w:val="center"/>
          </w:tcPr>
          <w:p w14:paraId="6B394C39" w14:textId="77777777" w:rsidR="00FD2E92" w:rsidRDefault="00A23D13">
            <w:r>
              <w:rPr>
                <w:color w:val="000000"/>
                <w:sz w:val="20"/>
                <w:szCs w:val="20"/>
              </w:rPr>
              <w:t>U.S. Federal Agencies</w:t>
            </w:r>
          </w:p>
        </w:tc>
        <w:tc>
          <w:tcPr>
            <w:tcW w:w="3342"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vAlign w:val="center"/>
          </w:tcPr>
          <w:p w14:paraId="102E1B13" w14:textId="77777777" w:rsidR="00FD2E92" w:rsidRDefault="00A23D13">
            <w:r>
              <w:rPr>
                <w:color w:val="000000"/>
                <w:sz w:val="20"/>
                <w:szCs w:val="20"/>
              </w:rPr>
              <w:t>Defines 5 pillars: Identity, Device, Network, Application, Data; graduated maturity levels; supported by cross-cutting functions</w:t>
            </w:r>
          </w:p>
        </w:tc>
      </w:tr>
      <w:tr w:rsidR="00FD2E92" w14:paraId="4148FD9D" w14:textId="77777777" w:rsidTr="007E58D0">
        <w:trPr>
          <w:trHeight w:val="748"/>
        </w:trPr>
        <w:tc>
          <w:tcPr>
            <w:tcW w:w="1920" w:type="dxa"/>
            <w:tcBorders>
              <w:top w:val="single" w:sz="1" w:space="0" w:color="AAAAAA"/>
              <w:left w:val="single" w:sz="1" w:space="0" w:color="AAAAAA"/>
              <w:bottom w:val="single" w:sz="1" w:space="0" w:color="AAAAAA"/>
              <w:right w:val="single" w:sz="1" w:space="0" w:color="AAAAAA"/>
            </w:tcBorders>
            <w:shd w:val="clear" w:color="auto" w:fill="EAF3FB"/>
            <w:tcMar>
              <w:top w:w="80" w:type="dxa"/>
              <w:left w:w="140" w:type="dxa"/>
              <w:bottom w:w="80" w:type="dxa"/>
              <w:right w:w="140" w:type="dxa"/>
            </w:tcMar>
            <w:vAlign w:val="center"/>
          </w:tcPr>
          <w:p w14:paraId="24578B22" w14:textId="77777777" w:rsidR="00FD2E92" w:rsidRDefault="00A23D13">
            <w:r>
              <w:rPr>
                <w:color w:val="000000"/>
                <w:sz w:val="20"/>
                <w:szCs w:val="20"/>
              </w:rPr>
              <w:t>ZT Reference Architecture</w:t>
            </w:r>
          </w:p>
        </w:tc>
        <w:tc>
          <w:tcPr>
            <w:tcW w:w="1920" w:type="dxa"/>
            <w:tcBorders>
              <w:top w:val="single" w:sz="1" w:space="0" w:color="AAAAAA"/>
              <w:left w:val="single" w:sz="1" w:space="0" w:color="AAAAAA"/>
              <w:bottom w:val="single" w:sz="1" w:space="0" w:color="AAAAAA"/>
              <w:right w:val="single" w:sz="1" w:space="0" w:color="AAAAAA"/>
            </w:tcBorders>
            <w:shd w:val="clear" w:color="auto" w:fill="EAF3FB"/>
            <w:tcMar>
              <w:top w:w="80" w:type="dxa"/>
              <w:left w:w="140" w:type="dxa"/>
              <w:bottom w:w="80" w:type="dxa"/>
              <w:right w:w="140" w:type="dxa"/>
            </w:tcMar>
            <w:vAlign w:val="center"/>
          </w:tcPr>
          <w:p w14:paraId="4D815B03" w14:textId="77777777" w:rsidR="00FD2E92" w:rsidRDefault="00A23D13">
            <w:r>
              <w:rPr>
                <w:color w:val="000000"/>
                <w:sz w:val="20"/>
                <w:szCs w:val="20"/>
              </w:rPr>
              <w:t>Department of Defense (DoD)</w:t>
            </w:r>
          </w:p>
        </w:tc>
        <w:tc>
          <w:tcPr>
            <w:tcW w:w="1805" w:type="dxa"/>
            <w:tcBorders>
              <w:top w:val="single" w:sz="1" w:space="0" w:color="AAAAAA"/>
              <w:left w:val="single" w:sz="1" w:space="0" w:color="AAAAAA"/>
              <w:bottom w:val="single" w:sz="1" w:space="0" w:color="AAAAAA"/>
              <w:right w:val="single" w:sz="1" w:space="0" w:color="AAAAAA"/>
            </w:tcBorders>
            <w:shd w:val="clear" w:color="auto" w:fill="EAF3FB"/>
            <w:tcMar>
              <w:top w:w="80" w:type="dxa"/>
              <w:left w:w="140" w:type="dxa"/>
              <w:bottom w:w="80" w:type="dxa"/>
              <w:right w:w="140" w:type="dxa"/>
            </w:tcMar>
            <w:vAlign w:val="center"/>
          </w:tcPr>
          <w:p w14:paraId="768D5CC0" w14:textId="77777777" w:rsidR="00FD2E92" w:rsidRDefault="00A23D13">
            <w:r>
              <w:rPr>
                <w:color w:val="000000"/>
                <w:sz w:val="20"/>
                <w:szCs w:val="20"/>
              </w:rPr>
              <w:t>Military &amp; defense</w:t>
            </w:r>
          </w:p>
        </w:tc>
        <w:tc>
          <w:tcPr>
            <w:tcW w:w="3342" w:type="dxa"/>
            <w:tcBorders>
              <w:top w:val="single" w:sz="1" w:space="0" w:color="AAAAAA"/>
              <w:left w:val="single" w:sz="1" w:space="0" w:color="AAAAAA"/>
              <w:bottom w:val="single" w:sz="1" w:space="0" w:color="AAAAAA"/>
              <w:right w:val="single" w:sz="1" w:space="0" w:color="AAAAAA"/>
            </w:tcBorders>
            <w:shd w:val="clear" w:color="auto" w:fill="EAF3FB"/>
            <w:tcMar>
              <w:top w:w="80" w:type="dxa"/>
              <w:left w:w="140" w:type="dxa"/>
              <w:bottom w:w="80" w:type="dxa"/>
              <w:right w:w="140" w:type="dxa"/>
            </w:tcMar>
            <w:vAlign w:val="center"/>
          </w:tcPr>
          <w:p w14:paraId="282C29B6" w14:textId="77777777" w:rsidR="00FD2E92" w:rsidRDefault="00A23D13">
            <w:r>
              <w:rPr>
                <w:color w:val="000000"/>
                <w:sz w:val="20"/>
                <w:szCs w:val="20"/>
              </w:rPr>
              <w:t>Highly prescriptive; data-centric; mission-critical focus; maps to 7 pillars and over 90 ZT activities</w:t>
            </w:r>
          </w:p>
        </w:tc>
      </w:tr>
    </w:tbl>
    <w:p w14:paraId="2836495A" w14:textId="77777777" w:rsidR="00FD2E92" w:rsidRDefault="00FD2E92">
      <w:pPr>
        <w:spacing w:after="80"/>
      </w:pPr>
    </w:p>
    <w:p w14:paraId="45A8C8F4" w14:textId="4CF75A08" w:rsidR="00FD2E92" w:rsidRDefault="00A23D13">
      <w:pPr>
        <w:pStyle w:val="Heading2"/>
      </w:pPr>
      <w:r>
        <w:t>2.1 NIST SP 800-207: The Seven Tenets</w:t>
      </w:r>
    </w:p>
    <w:p w14:paraId="77320883" w14:textId="159A92B0" w:rsidR="00FD2E92" w:rsidRDefault="00A23D13" w:rsidP="00F201A7">
      <w:pPr>
        <w:spacing w:afterLines="50" w:after="120" w:line="24" w:lineRule="atLeast"/>
        <w:jc w:val="both"/>
      </w:pPr>
      <w:r>
        <w:t xml:space="preserve">Published in 2020, NIST SP 800-207 is widely regarded as the foundational reference document for Zero Trust. What makes it particularly valuable is its vendor-neutral </w:t>
      </w:r>
      <w:r w:rsidR="00B40A77">
        <w:t>stance it</w:t>
      </w:r>
      <w:r>
        <w:t xml:space="preserve"> does not tell you which products to buy, but rather articulates the underlying principles that any Zero Trust implementation should embody.</w:t>
      </w:r>
    </w:p>
    <w:p w14:paraId="557D7B8E" w14:textId="77777777" w:rsidR="00FD2E92" w:rsidRDefault="00A23D13" w:rsidP="002A3736">
      <w:pPr>
        <w:spacing w:afterLines="100" w:after="240" w:line="24" w:lineRule="atLeast"/>
        <w:jc w:val="both"/>
      </w:pPr>
      <w:r>
        <w:t>At the heart of the NIST framework are seven core tenets. These are not rigid rules so much as guiding principles that help organizations think clearly about access, trust, and security:</w:t>
      </w:r>
    </w:p>
    <w:p w14:paraId="49F9DB11" w14:textId="40FFE409" w:rsidR="00FD2E92" w:rsidRDefault="00A23D13" w:rsidP="00F201A7">
      <w:pPr>
        <w:pStyle w:val="ListParagraph"/>
        <w:numPr>
          <w:ilvl w:val="0"/>
          <w:numId w:val="2"/>
        </w:numPr>
        <w:spacing w:afterLines="100" w:after="240" w:line="24" w:lineRule="atLeast"/>
        <w:jc w:val="both"/>
      </w:pPr>
      <w:r>
        <w:t>All data sources and computing services are treated as resources that need protection this includes devices, servers, and cloud services alike.</w:t>
      </w:r>
    </w:p>
    <w:p w14:paraId="1155E4E9" w14:textId="77777777" w:rsidR="00FD2E92" w:rsidRDefault="00A23D13" w:rsidP="00F201A7">
      <w:pPr>
        <w:pStyle w:val="ListParagraph"/>
        <w:numPr>
          <w:ilvl w:val="0"/>
          <w:numId w:val="2"/>
        </w:numPr>
        <w:spacing w:afterLines="100" w:after="240" w:line="24" w:lineRule="atLeast"/>
        <w:jc w:val="both"/>
      </w:pPr>
      <w:r>
        <w:t>All communication is secured regardless of where it takes place. There is no such thing as a trusted internal network.</w:t>
      </w:r>
    </w:p>
    <w:p w14:paraId="273B67EF" w14:textId="77777777" w:rsidR="00FD2E92" w:rsidRDefault="00A23D13" w:rsidP="005660DA">
      <w:pPr>
        <w:pStyle w:val="ListParagraph"/>
        <w:numPr>
          <w:ilvl w:val="0"/>
          <w:numId w:val="2"/>
        </w:numPr>
        <w:spacing w:afterLines="50" w:after="120" w:line="24" w:lineRule="atLeast"/>
        <w:jc w:val="both"/>
      </w:pPr>
      <w:r>
        <w:lastRenderedPageBreak/>
        <w:t>Access to individual resources is granted on a per-session basis only. Each request is evaluated independently.</w:t>
      </w:r>
    </w:p>
    <w:p w14:paraId="2D0EF286" w14:textId="77777777" w:rsidR="00FD2E92" w:rsidRDefault="00A23D13" w:rsidP="005660DA">
      <w:pPr>
        <w:pStyle w:val="ListParagraph"/>
        <w:numPr>
          <w:ilvl w:val="0"/>
          <w:numId w:val="2"/>
        </w:numPr>
        <w:spacing w:afterLines="50" w:after="120" w:line="24" w:lineRule="atLeast"/>
        <w:jc w:val="both"/>
      </w:pPr>
      <w:r>
        <w:t>Access decisions are driven by dynamic policy, taking into account user identity, device health, and contextual signals in real time.</w:t>
      </w:r>
    </w:p>
    <w:p w14:paraId="317AC916" w14:textId="77777777" w:rsidR="00FD2E92" w:rsidRDefault="00A23D13" w:rsidP="005660DA">
      <w:pPr>
        <w:pStyle w:val="ListParagraph"/>
        <w:numPr>
          <w:ilvl w:val="0"/>
          <w:numId w:val="2"/>
        </w:numPr>
        <w:spacing w:afterLines="50" w:after="120" w:line="24" w:lineRule="atLeast"/>
        <w:jc w:val="both"/>
      </w:pPr>
      <w:r>
        <w:t>The enterprise continuously monitors and measures the integrity and security posture of all assets.</w:t>
      </w:r>
    </w:p>
    <w:p w14:paraId="4E8112A1" w14:textId="4A862001" w:rsidR="00FD2E92" w:rsidRDefault="00A23D13" w:rsidP="005660DA">
      <w:pPr>
        <w:pStyle w:val="ListParagraph"/>
        <w:numPr>
          <w:ilvl w:val="0"/>
          <w:numId w:val="2"/>
        </w:numPr>
        <w:spacing w:afterLines="50" w:after="120" w:line="24" w:lineRule="atLeast"/>
        <w:jc w:val="both"/>
      </w:pPr>
      <w:r>
        <w:t xml:space="preserve">All authentication and authorization decisions are strictly enforced before access is </w:t>
      </w:r>
      <w:r w:rsidR="00B40A77">
        <w:t>granted no</w:t>
      </w:r>
      <w:r>
        <w:t xml:space="preserve"> exceptions.</w:t>
      </w:r>
    </w:p>
    <w:p w14:paraId="48B488D3" w14:textId="77777777" w:rsidR="00FD2E92" w:rsidRDefault="00A23D13" w:rsidP="00F201A7">
      <w:pPr>
        <w:pStyle w:val="ListParagraph"/>
        <w:numPr>
          <w:ilvl w:val="0"/>
          <w:numId w:val="2"/>
        </w:numPr>
        <w:spacing w:after="240" w:line="24" w:lineRule="atLeast"/>
        <w:jc w:val="both"/>
      </w:pPr>
      <w:r>
        <w:t>The enterprise collects and analyzes as much information as possible about assets, network behavior, and communications to continuously improve its security posture.</w:t>
      </w:r>
    </w:p>
    <w:p w14:paraId="50F1D46D" w14:textId="7BC19591" w:rsidR="00FD2E92" w:rsidRDefault="00FD2E92">
      <w:pPr>
        <w:spacing w:after="80"/>
      </w:pPr>
    </w:p>
    <w:p w14:paraId="4C93D73B" w14:textId="77777777" w:rsidR="005660DA" w:rsidRDefault="005660DA">
      <w:pPr>
        <w:spacing w:after="80"/>
      </w:pPr>
    </w:p>
    <w:p w14:paraId="686F4844" w14:textId="77777777" w:rsidR="00FD2E92" w:rsidRDefault="00A23D13">
      <w:pPr>
        <w:pStyle w:val="Heading1"/>
      </w:pPr>
      <w:r>
        <w:t>3. The Five Pillars of Zero Trust</w:t>
      </w:r>
    </w:p>
    <w:p w14:paraId="052CE6FB" w14:textId="7E6C4513" w:rsidR="00B40A77" w:rsidRPr="005660DA" w:rsidRDefault="00A23D13" w:rsidP="005660DA">
      <w:pPr>
        <w:spacing w:after="100" w:line="288" w:lineRule="auto"/>
        <w:jc w:val="both"/>
      </w:pPr>
      <w:r>
        <w:t xml:space="preserve">While NIST provides the theoretical backbone, CISA’s Zero Trust Maturity Model offers something more concrete: a structured, pillar-based framework that organizations can use to assess where they are and plan where they need to go. The model defines five foundational pillars, each representing a critical domain of Zero Trust security. These pillars are supported by three cross-cutting </w:t>
      </w:r>
      <w:r w:rsidR="00B40A77">
        <w:t>functions Visibility</w:t>
      </w:r>
      <w:r>
        <w:t xml:space="preserve"> and Analytics, Automation and Orchestration, and </w:t>
      </w:r>
      <w:r w:rsidR="00B40A77">
        <w:t>Governance that</w:t>
      </w:r>
      <w:r>
        <w:t xml:space="preserve"> apply across all five areas.</w:t>
      </w:r>
    </w:p>
    <w:p w14:paraId="3F249D6B" w14:textId="23BF1D24" w:rsidR="00FD2E92" w:rsidRDefault="008E6C4F">
      <w:pPr>
        <w:pStyle w:val="Heading2"/>
      </w:pPr>
      <w:r>
        <w:t>3.1 Identity</w:t>
      </w:r>
    </w:p>
    <w:p w14:paraId="7AB7D527" w14:textId="77777777" w:rsidR="00FD2E92" w:rsidRDefault="00A23D13" w:rsidP="002A3736">
      <w:pPr>
        <w:spacing w:after="100" w:line="288" w:lineRule="auto"/>
        <w:jc w:val="both"/>
      </w:pPr>
      <w:r>
        <w:t xml:space="preserve">If there is one thing that Zero Trust has made clear, it is that identity is the new perimeter. In a world where users connect from anywhere and applications live everywhere, the question of </w:t>
      </w:r>
      <w:r>
        <w:rPr>
          <w:i/>
          <w:iCs/>
        </w:rPr>
        <w:t>“Who is this person?”</w:t>
      </w:r>
      <w:r>
        <w:t xml:space="preserve"> has become the most important question in security.</w:t>
      </w:r>
    </w:p>
    <w:p w14:paraId="431CB96C" w14:textId="29034B4B" w:rsidR="00B40A77" w:rsidRPr="005660DA" w:rsidRDefault="00A23D13" w:rsidP="005660DA">
      <w:pPr>
        <w:spacing w:after="100" w:line="288" w:lineRule="auto"/>
        <w:jc w:val="both"/>
      </w:pPr>
      <w:r>
        <w:t xml:space="preserve">Organizations working toward Zero Trust need to move well beyond simple password-based authentication. Multi-Factor Authentication (MFA) is a baseline requirement, not an optional extra. Beyond that, Identity Governance and Administration (IGA) systems help ensure that users have exactly the level of access they </w:t>
      </w:r>
      <w:r w:rsidR="00B40A77">
        <w:t>need no</w:t>
      </w:r>
      <w:r>
        <w:t xml:space="preserve"> more, no less. Perhaps most importantly, trust in identity is not a one-time determination. Continuous authentication means that the system keeps watching for behavioral signals that might indicate a compromised account, even mid-session.</w:t>
      </w:r>
    </w:p>
    <w:p w14:paraId="3B417BC2" w14:textId="6D680E7F" w:rsidR="00FD2E92" w:rsidRDefault="008E6C4F">
      <w:pPr>
        <w:pStyle w:val="Heading2"/>
      </w:pPr>
      <w:r>
        <w:t>3.2 Device</w:t>
      </w:r>
    </w:p>
    <w:p w14:paraId="5A359911" w14:textId="77777777" w:rsidR="00FD2E92" w:rsidRDefault="00A23D13" w:rsidP="002A3736">
      <w:pPr>
        <w:spacing w:after="100" w:line="288" w:lineRule="auto"/>
        <w:jc w:val="both"/>
      </w:pPr>
      <w:r>
        <w:t>Knowing who a user is matters, but so does knowing what device they are using. A legitimate user connecting from an unmanaged, unpatched laptop presents a very different risk than the same user connecting from a corporate-managed device with up-to-date security software.</w:t>
      </w:r>
    </w:p>
    <w:p w14:paraId="553E07FA" w14:textId="102C5F7D" w:rsidR="00FD2E92" w:rsidRDefault="00A23D13" w:rsidP="002A3736">
      <w:pPr>
        <w:spacing w:after="100" w:line="288" w:lineRule="auto"/>
        <w:jc w:val="both"/>
      </w:pPr>
      <w:r>
        <w:t xml:space="preserve">The Device pillar focuses on ensuring that only healthy, compliant devices are permitted to access enterprise resources. Endpoint Detection and Response (EDR) tools continuously monitor devices for signs of compromise, while Mobile Device Management (MDM) solutions help organizations maintain visibility and control over the hardware in their </w:t>
      </w:r>
      <w:r w:rsidR="00B40A77">
        <w:t>environment including</w:t>
      </w:r>
      <w:r>
        <w:t xml:space="preserve"> personal devices that employees use for work.</w:t>
      </w:r>
    </w:p>
    <w:p w14:paraId="1157F8DC" w14:textId="77777777" w:rsidR="00F201A7" w:rsidRDefault="00F201A7" w:rsidP="002A3736">
      <w:pPr>
        <w:spacing w:after="100" w:line="288" w:lineRule="auto"/>
        <w:jc w:val="both"/>
      </w:pPr>
    </w:p>
    <w:p w14:paraId="47C4E3C0" w14:textId="3C37836B" w:rsidR="00FD2E92" w:rsidRDefault="008E6C4F">
      <w:pPr>
        <w:pStyle w:val="Heading2"/>
      </w:pPr>
      <w:r>
        <w:t>3.3 Network</w:t>
      </w:r>
      <w:r w:rsidR="00A23D13">
        <w:t xml:space="preserve"> / Environment</w:t>
      </w:r>
    </w:p>
    <w:p w14:paraId="67622619" w14:textId="34305745" w:rsidR="00FD2E92" w:rsidRDefault="00A23D13" w:rsidP="002A3736">
      <w:pPr>
        <w:spacing w:after="100" w:line="288" w:lineRule="auto"/>
        <w:jc w:val="both"/>
      </w:pPr>
      <w:r>
        <w:t xml:space="preserve">Traditional flat network </w:t>
      </w:r>
      <w:r w:rsidR="00B40A77">
        <w:t>architectures where</w:t>
      </w:r>
      <w:r>
        <w:t xml:space="preserve"> getting past the firewall means having free run of the internal </w:t>
      </w:r>
      <w:r w:rsidR="00B40A77">
        <w:t>network are</w:t>
      </w:r>
      <w:r>
        <w:t xml:space="preserve"> a Zero Trust practitioner’s nightmare. Once an attacker is inside a flat network, there is very little to stop them from moving laterally, escalating privileges, and reaching sensitive data.</w:t>
      </w:r>
    </w:p>
    <w:p w14:paraId="4FF630D9" w14:textId="1AA2D906" w:rsidR="00B40A77" w:rsidRPr="005660DA" w:rsidRDefault="00A23D13" w:rsidP="002A3736">
      <w:pPr>
        <w:spacing w:after="100" w:line="288" w:lineRule="auto"/>
        <w:jc w:val="both"/>
      </w:pPr>
      <w:r>
        <w:t>The Network pillar addresses this by replacing flat architectures with granular micro-segmentation. Using tools like Software-Defined Networking (SDN) and Virtual Local Area Networks (VLANs), organizations can carve their networks into small, isolated segments. Even if an attacker manages to compromise one segment, they find themselves blocked from reaching anything else. The blast radius of a breach shrinks dramatically.</w:t>
      </w:r>
    </w:p>
    <w:p w14:paraId="651E63CC" w14:textId="405C3752" w:rsidR="00FD2E92" w:rsidRDefault="008E6C4F">
      <w:pPr>
        <w:pStyle w:val="Heading2"/>
      </w:pPr>
      <w:r>
        <w:t>3.4 Application</w:t>
      </w:r>
      <w:r w:rsidR="00A23D13">
        <w:t xml:space="preserve"> and Workload</w:t>
      </w:r>
    </w:p>
    <w:p w14:paraId="59E77E85" w14:textId="77777777" w:rsidR="00FD2E92" w:rsidRDefault="00A23D13" w:rsidP="002A3736">
      <w:pPr>
        <w:spacing w:after="100" w:line="288" w:lineRule="auto"/>
        <w:jc w:val="both"/>
      </w:pPr>
      <w:r>
        <w:t>Security cannot be an afterthought that gets bolted onto applications once they are already deployed. The Application and Workload pillar pushes for security to be woven into the fabric of every application and service.</w:t>
      </w:r>
    </w:p>
    <w:p w14:paraId="0EF59DCF" w14:textId="746C7D0A" w:rsidR="00B40A77" w:rsidRPr="005660DA" w:rsidRDefault="00A23D13" w:rsidP="002A3736">
      <w:pPr>
        <w:spacing w:after="100" w:line="288" w:lineRule="auto"/>
        <w:jc w:val="both"/>
      </w:pPr>
      <w:r>
        <w:t xml:space="preserve">This means securing APIs that applications use to talk to each other, applying container security practices for modern cloud-native workloads, and enforcing the principle of least privilege at the service level. An application should have access only to the data and services it genuinely needs to </w:t>
      </w:r>
      <w:r w:rsidR="00B40A77">
        <w:t>function nothing</w:t>
      </w:r>
      <w:r>
        <w:t xml:space="preserve"> more.</w:t>
      </w:r>
    </w:p>
    <w:p w14:paraId="5813DC6E" w14:textId="5560CDD0" w:rsidR="00FD2E92" w:rsidRDefault="008E6C4F">
      <w:pPr>
        <w:pStyle w:val="Heading2"/>
      </w:pPr>
      <w:r>
        <w:t>3.5 Data</w:t>
      </w:r>
    </w:p>
    <w:p w14:paraId="0CFC4CF8" w14:textId="77777777" w:rsidR="00FD2E92" w:rsidRDefault="00A23D13" w:rsidP="002A3736">
      <w:pPr>
        <w:spacing w:after="100" w:line="288" w:lineRule="auto"/>
        <w:jc w:val="both"/>
      </w:pPr>
      <w:r>
        <w:t>When everything else in a Zero Trust architecture is working well, the ultimate beneficiary is data. Protecting data is the reason the entire architecture exists, and the Data pillar ensures that this goal remains front and center.</w:t>
      </w:r>
    </w:p>
    <w:p w14:paraId="462173E0" w14:textId="618A6DBC" w:rsidR="00FD2E92" w:rsidRDefault="00A23D13" w:rsidP="002A3736">
      <w:pPr>
        <w:spacing w:after="100" w:line="288" w:lineRule="auto"/>
        <w:jc w:val="both"/>
      </w:pPr>
      <w:r>
        <w:t>A mature approach to data security within Zero Trust involves several layers: classifying data by sensitivity, encrypting it both at rest and in transit, and continuously monitoring for unauthorized access or exfiltration attempts using Data Loss Prevention (DLP) tools. Data should be protected even in the event that every other control fails.</w:t>
      </w:r>
    </w:p>
    <w:p w14:paraId="16A09FBD" w14:textId="5EB4E080" w:rsidR="007E58D0" w:rsidRDefault="007E58D0" w:rsidP="002A3736">
      <w:pPr>
        <w:spacing w:after="100" w:line="288" w:lineRule="auto"/>
        <w:jc w:val="both"/>
      </w:pPr>
    </w:p>
    <w:p w14:paraId="5C15882F" w14:textId="77777777" w:rsidR="005660DA" w:rsidRDefault="005660DA" w:rsidP="002A3736">
      <w:pPr>
        <w:spacing w:after="100" w:line="288" w:lineRule="auto"/>
        <w:jc w:val="both"/>
      </w:pPr>
    </w:p>
    <w:p w14:paraId="6DE45AD0" w14:textId="77777777" w:rsidR="00FD2E92" w:rsidRDefault="00A23D13">
      <w:pPr>
        <w:pStyle w:val="Heading1"/>
      </w:pPr>
      <w:r>
        <w:t>4. Implementation Challenges and Mitigation Strategies</w:t>
      </w:r>
    </w:p>
    <w:p w14:paraId="6C7CDC0A" w14:textId="6E66CB1F" w:rsidR="00FD2E92" w:rsidRDefault="00A23D13" w:rsidP="00F201A7">
      <w:pPr>
        <w:spacing w:after="360" w:line="288" w:lineRule="auto"/>
        <w:jc w:val="both"/>
      </w:pPr>
      <w:r>
        <w:t xml:space="preserve">Adopting Zero Trust is not a project with a clear finish </w:t>
      </w:r>
      <w:r w:rsidR="00B40A77">
        <w:t>line it</w:t>
      </w:r>
      <w:r>
        <w:t xml:space="preserve"> is an ongoing journey that requires sustained commitment from both technical teams and organizational leadership. In practice, most organizations encounter a familiar set of obstacles along the way.</w:t>
      </w:r>
    </w:p>
    <w:p w14:paraId="0D125CDA" w14:textId="7876ACF6" w:rsidR="00FD2E92" w:rsidRDefault="008E6C4F">
      <w:pPr>
        <w:pStyle w:val="Heading2"/>
      </w:pPr>
      <w:r>
        <w:t>4.1 Legacy</w:t>
      </w:r>
      <w:r w:rsidR="00A23D13">
        <w:t xml:space="preserve"> Systems</w:t>
      </w:r>
    </w:p>
    <w:p w14:paraId="1480DC5B" w14:textId="77777777" w:rsidR="00FD2E92" w:rsidRDefault="00A23D13" w:rsidP="002A3736">
      <w:pPr>
        <w:spacing w:after="100" w:line="288" w:lineRule="auto"/>
        <w:jc w:val="both"/>
      </w:pPr>
      <w:r>
        <w:t xml:space="preserve">Older infrastructure is one of the most common and frustrating barriers to Zero Trust adoption. Many organizations rely on applications and systems that were built long before modern authentication </w:t>
      </w:r>
      <w:r>
        <w:lastRenderedPageBreak/>
        <w:t>protocols existed. These systems may not support token-based authentication, may rely on implicit network trust, or may simply be too fragile to modify without breaking something.</w:t>
      </w:r>
    </w:p>
    <w:p w14:paraId="733993C1" w14:textId="7A346130" w:rsidR="00445D19" w:rsidRDefault="00A23D13" w:rsidP="002A3736">
      <w:pPr>
        <w:spacing w:after="100" w:line="288" w:lineRule="auto"/>
        <w:jc w:val="both"/>
      </w:pPr>
      <w:r>
        <w:t>The good news is that it is not necessary to replace everything at once. API gateways and identity proxies can serve as a bridge, wrapping legacy systems in a Zero Trust layer without requiring changes to the underlying application. This approach allows organizations to extend Zero Trust principles to older infrastructure incrementally.</w:t>
      </w:r>
    </w:p>
    <w:p w14:paraId="3FD2481E" w14:textId="6AE074A5" w:rsidR="00FD2E92" w:rsidRDefault="008E6C4F">
      <w:pPr>
        <w:pStyle w:val="Heading2"/>
      </w:pPr>
      <w:r>
        <w:t>4.2 Operational</w:t>
      </w:r>
      <w:r w:rsidR="00A23D13">
        <w:t xml:space="preserve"> Complexity</w:t>
      </w:r>
    </w:p>
    <w:p w14:paraId="012580D1" w14:textId="77777777" w:rsidR="00FD2E92" w:rsidRDefault="00A23D13" w:rsidP="002A3736">
      <w:pPr>
        <w:spacing w:after="100" w:line="288" w:lineRule="auto"/>
        <w:jc w:val="both"/>
      </w:pPr>
      <w:r>
        <w:t>Zero Trust means granular control, and granular control means a lot of policies. In a large enterprise, the number of access policies can run into the thousands, and managing all of them manually is both impractical and error-prone. A single misconfiguration can open a security gap or, equally problematically, lock legitimate users out of the resources they need.</w:t>
      </w:r>
    </w:p>
    <w:p w14:paraId="591CDBEA" w14:textId="0B8EA3F3" w:rsidR="00445D19" w:rsidRDefault="00A23D13" w:rsidP="002A3736">
      <w:pPr>
        <w:spacing w:after="100" w:line="288" w:lineRule="auto"/>
        <w:jc w:val="both"/>
      </w:pPr>
      <w:r>
        <w:t>The emerging answer to this challenge is Policy-as-Code: treating access policies as software artifacts that can be version-controlled, tested, and deployed automatically. Layered on top of this, AI-driven orchestration tools can monitor policy effectiveness in real time and flag anomalies before they become problems.</w:t>
      </w:r>
    </w:p>
    <w:p w14:paraId="189B942A" w14:textId="3914B34C" w:rsidR="00FD2E92" w:rsidRDefault="008E6C4F">
      <w:pPr>
        <w:pStyle w:val="Heading2"/>
      </w:pPr>
      <w:r>
        <w:t>4.3 Cultural</w:t>
      </w:r>
      <w:r w:rsidR="00A23D13">
        <w:t xml:space="preserve"> Shift</w:t>
      </w:r>
    </w:p>
    <w:p w14:paraId="238FC2FF" w14:textId="4C21C78F" w:rsidR="00FD2E92" w:rsidRDefault="00A23D13" w:rsidP="002A3736">
      <w:pPr>
        <w:spacing w:after="100" w:line="288" w:lineRule="auto"/>
        <w:jc w:val="both"/>
      </w:pPr>
      <w:r>
        <w:t xml:space="preserve">Perhaps the most underappreciated challenge in any Zero Trust initiative is the human one. For years, employees have operated in environments where implicit trust was the </w:t>
      </w:r>
      <w:r w:rsidR="00B40A77">
        <w:t>norm where</w:t>
      </w:r>
      <w:r>
        <w:t xml:space="preserve"> being on the corporate network meant being trusted. Zero Trust inverts that assumption, and not everyone responds well to the change.</w:t>
      </w:r>
    </w:p>
    <w:p w14:paraId="5D388784" w14:textId="477D6C56" w:rsidR="00FD2E92" w:rsidRDefault="00A23D13" w:rsidP="002A3736">
      <w:pPr>
        <w:spacing w:after="100" w:line="288" w:lineRule="auto"/>
        <w:jc w:val="both"/>
      </w:pPr>
      <w:r>
        <w:t xml:space="preserve">Friction points are real: additional authentication steps, stricter access controls, and the occasional false positive that blocks a legitimate request. Without deliberate effort to bring people along, these friction points can generate resistance that undermines the entire initiative. Comprehensive, ongoing communication and </w:t>
      </w:r>
      <w:r w:rsidR="00B40A77">
        <w:t>training focused</w:t>
      </w:r>
      <w:r>
        <w:t xml:space="preserve"> on the </w:t>
      </w:r>
      <w:r>
        <w:rPr>
          <w:i/>
          <w:iCs/>
        </w:rPr>
        <w:t>why</w:t>
      </w:r>
      <w:r>
        <w:t xml:space="preserve"> as much as the </w:t>
      </w:r>
      <w:r w:rsidR="00B40A77">
        <w:rPr>
          <w:i/>
          <w:iCs/>
        </w:rPr>
        <w:t>how</w:t>
      </w:r>
      <w:r w:rsidR="00B40A77">
        <w:t xml:space="preserve"> is</w:t>
      </w:r>
      <w:r>
        <w:t xml:space="preserve"> essential to building the organizational culture that Zero Trust requires.</w:t>
      </w:r>
    </w:p>
    <w:p w14:paraId="5CB3B119" w14:textId="41164C50" w:rsidR="00FD2E92" w:rsidRDefault="00FD2E92">
      <w:pPr>
        <w:spacing w:after="80"/>
      </w:pPr>
    </w:p>
    <w:p w14:paraId="4A2F0A8C" w14:textId="77777777" w:rsidR="005660DA" w:rsidRDefault="005660DA">
      <w:pPr>
        <w:spacing w:after="80"/>
      </w:pPr>
    </w:p>
    <w:p w14:paraId="749E0204" w14:textId="77777777" w:rsidR="00FD2E92" w:rsidRDefault="00A23D13">
      <w:pPr>
        <w:pStyle w:val="Heading1"/>
      </w:pPr>
      <w:r>
        <w:t>5. Future Trends: AI and Quantum Resilience</w:t>
      </w:r>
    </w:p>
    <w:p w14:paraId="6CC04FE8" w14:textId="035837F2" w:rsidR="00FD2E92" w:rsidRDefault="00A23D13" w:rsidP="00B40A77">
      <w:pPr>
        <w:spacing w:afterLines="100" w:after="240" w:line="24" w:lineRule="atLeast"/>
        <w:jc w:val="both"/>
      </w:pPr>
      <w:r>
        <w:t>Zero Trust is not a static destination. As the threat landscape continues to evolve, so too must the frameworks and technologies that underpin it. Two developments in particular are poised to reshape Zero Trust in the years ahead.</w:t>
      </w:r>
    </w:p>
    <w:p w14:paraId="28C66C3F" w14:textId="332258C9" w:rsidR="00FD2E92" w:rsidRDefault="008E6C4F">
      <w:pPr>
        <w:pStyle w:val="Heading2"/>
      </w:pPr>
      <w:r>
        <w:t>5.1 AI</w:t>
      </w:r>
      <w:r w:rsidR="00A23D13">
        <w:t xml:space="preserve"> and Machine Learning Integration</w:t>
      </w:r>
    </w:p>
    <w:p w14:paraId="6E3F0964" w14:textId="28E34F6C" w:rsidR="00445D19" w:rsidRDefault="00BC5DF3" w:rsidP="00BC5DF3">
      <w:pPr>
        <w:spacing w:afterLines="100" w:after="240" w:line="24" w:lineRule="atLeast"/>
        <w:jc w:val="both"/>
      </w:pPr>
      <w:r w:rsidRPr="00BC5DF3">
        <w:t>Mature Zero Trust environments generate massive volumes of telemetry authentication requests, network connections, API calls</w:t>
      </w:r>
      <w:r>
        <w:t xml:space="preserve"> </w:t>
      </w:r>
      <w:r w:rsidRPr="00BC5DF3">
        <w:t>far too much for any human team to process in real time. AI/ML addresses this gap by analyzing behavioral patterns across millions of events, flagging anomalies instantly, and even predicting threats before they fully materialize. These models can also autonomously adjust access policies in response to shifting risk signals, tightening controls when something looks suspicious and relaxing them when context confirms legitimacy. The result is a security posture that is not merely reactive, but genuinely proactive.</w:t>
      </w:r>
    </w:p>
    <w:p w14:paraId="7A29DC7F" w14:textId="216DD34F" w:rsidR="00FD2E92" w:rsidRDefault="008E6C4F">
      <w:pPr>
        <w:pStyle w:val="Heading2"/>
      </w:pPr>
      <w:r>
        <w:lastRenderedPageBreak/>
        <w:t>5.2 Quantum</w:t>
      </w:r>
      <w:r w:rsidR="00A23D13">
        <w:t>-Resistant Cryptography</w:t>
      </w:r>
    </w:p>
    <w:p w14:paraId="29D5465B" w14:textId="1E3173EF" w:rsidR="00FD2E92" w:rsidRDefault="00BC5DF3" w:rsidP="00BC5DF3">
      <w:pPr>
        <w:spacing w:afterLines="100" w:after="240" w:line="24" w:lineRule="atLeast"/>
        <w:jc w:val="both"/>
      </w:pPr>
      <w:r w:rsidRPr="00BC5DF3">
        <w:t>Today's cryptographic standards RSA, ECC, and similar algorithms rely on mathematical problems that classical computers cannot efficiently solve. Quantum computers, once sufficiently scaled, will break this assumption. For Zero</w:t>
      </w:r>
      <w:r>
        <w:t xml:space="preserve"> </w:t>
      </w:r>
      <w:r w:rsidRPr="00BC5DF3">
        <w:t xml:space="preserve">Trust architectures, where strong cryptography underpins identity verification and data-in-transit protection, this represents a critical future risk. Organizations should begin transitioning toward post-quantum algorithms, following NIST's ongoing standardization efforts, and prioritize building </w:t>
      </w:r>
      <w:r w:rsidRPr="00BC5DF3">
        <w:rPr>
          <w:i/>
          <w:iCs/>
        </w:rPr>
        <w:t>crypto-agility</w:t>
      </w:r>
      <w:r w:rsidRPr="00BC5DF3">
        <w:t xml:space="preserve"> into their systems the ability to swap cryptographic algorithms quickly without overhauling the entire architecture.</w:t>
      </w:r>
    </w:p>
    <w:p w14:paraId="75F8DED5" w14:textId="5E5E1DA9" w:rsidR="00FD2E92" w:rsidRDefault="00FD2E92">
      <w:pPr>
        <w:spacing w:after="80"/>
      </w:pPr>
    </w:p>
    <w:p w14:paraId="6789800C" w14:textId="77777777" w:rsidR="00FD2E92" w:rsidRDefault="00A23D13">
      <w:pPr>
        <w:pStyle w:val="Heading1"/>
      </w:pPr>
      <w:r>
        <w:t>6. Comparative Analysis of Reference Papers</w:t>
      </w:r>
    </w:p>
    <w:p w14:paraId="6D56EA62" w14:textId="58D0E1F0" w:rsidR="005660DA" w:rsidRDefault="00A23D13" w:rsidP="002A3736">
      <w:pPr>
        <w:spacing w:after="100" w:line="288" w:lineRule="auto"/>
        <w:jc w:val="both"/>
      </w:pPr>
      <w:r>
        <w:t xml:space="preserve">To situate this review within the broader research landscape, it is helpful to look at the key sources side by side. The </w:t>
      </w:r>
      <w:r w:rsidR="00B40A77">
        <w:t>six-reference</w:t>
      </w:r>
      <w:r>
        <w:t xml:space="preserve"> works that inform this paper approach Zero Trust from different </w:t>
      </w:r>
      <w:r w:rsidR="00B40A77">
        <w:t>angles some</w:t>
      </w:r>
      <w:r>
        <w:t xml:space="preserve"> are foundational standards documents, others are peer-reviewed academic analyses. The table below summarizes their main contributions, scope, and distinguishing characteristics.</w:t>
      </w:r>
    </w:p>
    <w:p w14:paraId="39ED95F4" w14:textId="77777777" w:rsidR="00FD2E92" w:rsidRDefault="00A23D13" w:rsidP="008E6C4F">
      <w:pPr>
        <w:spacing w:after="120"/>
      </w:pPr>
      <w:r>
        <w:rPr>
          <w:b/>
          <w:bCs/>
          <w:i/>
          <w:iCs/>
          <w:color w:val="444444"/>
        </w:rPr>
        <w:t>Table 2: Comparative Summary of Reference Papers</w:t>
      </w:r>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11"/>
        <w:gridCol w:w="1508"/>
        <w:gridCol w:w="2250"/>
        <w:gridCol w:w="3347"/>
      </w:tblGrid>
      <w:tr w:rsidR="00006871" w14:paraId="26B9A125" w14:textId="77777777" w:rsidTr="00BC5DF3">
        <w:trPr>
          <w:trHeight w:val="174"/>
          <w:tblHeader/>
        </w:trPr>
        <w:tc>
          <w:tcPr>
            <w:tcW w:w="1911" w:type="dxa"/>
            <w:tcBorders>
              <w:top w:val="single" w:sz="1" w:space="0" w:color="AAAAAA"/>
              <w:left w:val="single" w:sz="1" w:space="0" w:color="AAAAAA"/>
              <w:bottom w:val="single" w:sz="1" w:space="0" w:color="AAAAAA"/>
              <w:right w:val="single" w:sz="1" w:space="0" w:color="AAAAAA"/>
            </w:tcBorders>
            <w:shd w:val="clear" w:color="auto" w:fill="1F3864"/>
            <w:tcMar>
              <w:top w:w="80" w:type="dxa"/>
              <w:left w:w="140" w:type="dxa"/>
              <w:bottom w:w="80" w:type="dxa"/>
              <w:right w:w="140" w:type="dxa"/>
            </w:tcMar>
            <w:vAlign w:val="center"/>
          </w:tcPr>
          <w:p w14:paraId="6A9E9046" w14:textId="77777777" w:rsidR="00006871" w:rsidRDefault="00006871">
            <w:pPr>
              <w:jc w:val="center"/>
            </w:pPr>
            <w:r>
              <w:rPr>
                <w:b/>
                <w:bCs/>
                <w:color w:val="FFFFFF"/>
                <w:sz w:val="20"/>
                <w:szCs w:val="20"/>
              </w:rPr>
              <w:t>Reference</w:t>
            </w:r>
          </w:p>
        </w:tc>
        <w:tc>
          <w:tcPr>
            <w:tcW w:w="1508" w:type="dxa"/>
            <w:tcBorders>
              <w:top w:val="single" w:sz="1" w:space="0" w:color="AAAAAA"/>
              <w:left w:val="single" w:sz="1" w:space="0" w:color="AAAAAA"/>
              <w:bottom w:val="single" w:sz="1" w:space="0" w:color="AAAAAA"/>
              <w:right w:val="single" w:sz="1" w:space="0" w:color="AAAAAA"/>
            </w:tcBorders>
            <w:shd w:val="clear" w:color="auto" w:fill="1F3864"/>
            <w:tcMar>
              <w:top w:w="80" w:type="dxa"/>
              <w:left w:w="140" w:type="dxa"/>
              <w:bottom w:w="80" w:type="dxa"/>
              <w:right w:w="140" w:type="dxa"/>
            </w:tcMar>
            <w:vAlign w:val="center"/>
          </w:tcPr>
          <w:p w14:paraId="55B319FB" w14:textId="77777777" w:rsidR="00006871" w:rsidRDefault="00006871">
            <w:pPr>
              <w:jc w:val="center"/>
            </w:pPr>
            <w:r>
              <w:rPr>
                <w:b/>
                <w:bCs/>
                <w:color w:val="FFFFFF"/>
                <w:sz w:val="20"/>
                <w:szCs w:val="20"/>
              </w:rPr>
              <w:t>Scope</w:t>
            </w:r>
          </w:p>
        </w:tc>
        <w:tc>
          <w:tcPr>
            <w:tcW w:w="225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40" w:type="dxa"/>
              <w:bottom w:w="80" w:type="dxa"/>
              <w:right w:w="140" w:type="dxa"/>
            </w:tcMar>
            <w:vAlign w:val="center"/>
          </w:tcPr>
          <w:p w14:paraId="52F882BB" w14:textId="77777777" w:rsidR="00006871" w:rsidRDefault="00006871">
            <w:pPr>
              <w:jc w:val="center"/>
            </w:pPr>
            <w:r>
              <w:rPr>
                <w:b/>
                <w:bCs/>
                <w:color w:val="FFFFFF"/>
                <w:sz w:val="20"/>
                <w:szCs w:val="20"/>
              </w:rPr>
              <w:t>ZT Focus Areas</w:t>
            </w:r>
          </w:p>
        </w:tc>
        <w:tc>
          <w:tcPr>
            <w:tcW w:w="3347" w:type="dxa"/>
            <w:tcBorders>
              <w:top w:val="single" w:sz="1" w:space="0" w:color="AAAAAA"/>
              <w:left w:val="single" w:sz="1" w:space="0" w:color="AAAAAA"/>
              <w:bottom w:val="single" w:sz="1" w:space="0" w:color="AAAAAA"/>
              <w:right w:val="single" w:sz="1" w:space="0" w:color="AAAAAA"/>
            </w:tcBorders>
            <w:shd w:val="clear" w:color="auto" w:fill="1F3864"/>
            <w:tcMar>
              <w:top w:w="80" w:type="dxa"/>
              <w:left w:w="140" w:type="dxa"/>
              <w:bottom w:w="80" w:type="dxa"/>
              <w:right w:w="140" w:type="dxa"/>
            </w:tcMar>
            <w:vAlign w:val="center"/>
          </w:tcPr>
          <w:p w14:paraId="22BC23E4" w14:textId="77777777" w:rsidR="00006871" w:rsidRDefault="00006871">
            <w:pPr>
              <w:jc w:val="center"/>
            </w:pPr>
            <w:r>
              <w:rPr>
                <w:b/>
                <w:bCs/>
                <w:color w:val="FFFFFF"/>
                <w:sz w:val="20"/>
                <w:szCs w:val="20"/>
              </w:rPr>
              <w:t>Key Contribution</w:t>
            </w:r>
          </w:p>
        </w:tc>
      </w:tr>
      <w:tr w:rsidR="00006871" w14:paraId="44E938BB" w14:textId="77777777" w:rsidTr="00BC5DF3">
        <w:trPr>
          <w:trHeight w:val="1061"/>
        </w:trPr>
        <w:tc>
          <w:tcPr>
            <w:tcW w:w="1911" w:type="dxa"/>
            <w:tcBorders>
              <w:top w:val="single" w:sz="1" w:space="0" w:color="AAAAAA"/>
              <w:left w:val="single" w:sz="1" w:space="0" w:color="AAAAAA"/>
              <w:bottom w:val="single" w:sz="1" w:space="0" w:color="AAAAAA"/>
              <w:right w:val="single" w:sz="1" w:space="0" w:color="AAAAAA"/>
            </w:tcBorders>
            <w:shd w:val="clear" w:color="auto" w:fill="EAF3FB"/>
            <w:tcMar>
              <w:top w:w="80" w:type="dxa"/>
              <w:left w:w="140" w:type="dxa"/>
              <w:bottom w:w="80" w:type="dxa"/>
              <w:right w:w="140" w:type="dxa"/>
            </w:tcMar>
            <w:vAlign w:val="center"/>
          </w:tcPr>
          <w:p w14:paraId="3A67CE93" w14:textId="5C22870B" w:rsidR="00006871" w:rsidRDefault="00006871">
            <w:r>
              <w:rPr>
                <w:color w:val="000000"/>
                <w:sz w:val="20"/>
                <w:szCs w:val="20"/>
              </w:rPr>
              <w:t>NIST</w:t>
            </w:r>
            <w:r w:rsidR="000D6C91">
              <w:rPr>
                <w:color w:val="000000"/>
                <w:sz w:val="20"/>
                <w:szCs w:val="20"/>
              </w:rPr>
              <w:t xml:space="preserve"> </w:t>
            </w:r>
            <w:r>
              <w:rPr>
                <w:color w:val="000000"/>
                <w:sz w:val="20"/>
                <w:szCs w:val="20"/>
              </w:rPr>
              <w:t>SP 800-207</w:t>
            </w:r>
          </w:p>
        </w:tc>
        <w:tc>
          <w:tcPr>
            <w:tcW w:w="1508" w:type="dxa"/>
            <w:tcBorders>
              <w:top w:val="single" w:sz="1" w:space="0" w:color="AAAAAA"/>
              <w:left w:val="single" w:sz="1" w:space="0" w:color="AAAAAA"/>
              <w:bottom w:val="single" w:sz="1" w:space="0" w:color="AAAAAA"/>
              <w:right w:val="single" w:sz="1" w:space="0" w:color="AAAAAA"/>
            </w:tcBorders>
            <w:shd w:val="clear" w:color="auto" w:fill="EAF3FB"/>
            <w:tcMar>
              <w:top w:w="80" w:type="dxa"/>
              <w:left w:w="140" w:type="dxa"/>
              <w:bottom w:w="80" w:type="dxa"/>
              <w:right w:w="140" w:type="dxa"/>
            </w:tcMar>
            <w:vAlign w:val="center"/>
          </w:tcPr>
          <w:p w14:paraId="20EE81AE" w14:textId="77777777" w:rsidR="00006871" w:rsidRDefault="00006871">
            <w:r>
              <w:rPr>
                <w:color w:val="000000"/>
                <w:sz w:val="20"/>
                <w:szCs w:val="20"/>
              </w:rPr>
              <w:t>All enterprises</w:t>
            </w:r>
          </w:p>
        </w:tc>
        <w:tc>
          <w:tcPr>
            <w:tcW w:w="2250" w:type="dxa"/>
            <w:tcBorders>
              <w:top w:val="single" w:sz="1" w:space="0" w:color="AAAAAA"/>
              <w:left w:val="single" w:sz="1" w:space="0" w:color="AAAAAA"/>
              <w:bottom w:val="single" w:sz="1" w:space="0" w:color="AAAAAA"/>
              <w:right w:val="single" w:sz="1" w:space="0" w:color="AAAAAA"/>
            </w:tcBorders>
            <w:shd w:val="clear" w:color="auto" w:fill="EAF3FB"/>
            <w:tcMar>
              <w:top w:w="80" w:type="dxa"/>
              <w:left w:w="140" w:type="dxa"/>
              <w:bottom w:w="80" w:type="dxa"/>
              <w:right w:w="140" w:type="dxa"/>
            </w:tcMar>
            <w:vAlign w:val="center"/>
          </w:tcPr>
          <w:p w14:paraId="78F1C16E" w14:textId="77777777" w:rsidR="00006871" w:rsidRDefault="00006871">
            <w:r>
              <w:rPr>
                <w:color w:val="000000"/>
                <w:sz w:val="20"/>
                <w:szCs w:val="20"/>
              </w:rPr>
              <w:t>All 5 pillars; PDP/PEP model</w:t>
            </w:r>
          </w:p>
        </w:tc>
        <w:tc>
          <w:tcPr>
            <w:tcW w:w="3347" w:type="dxa"/>
            <w:tcBorders>
              <w:top w:val="single" w:sz="1" w:space="0" w:color="AAAAAA"/>
              <w:left w:val="single" w:sz="1" w:space="0" w:color="AAAAAA"/>
              <w:bottom w:val="single" w:sz="1" w:space="0" w:color="AAAAAA"/>
              <w:right w:val="single" w:sz="1" w:space="0" w:color="AAAAAA"/>
            </w:tcBorders>
            <w:shd w:val="clear" w:color="auto" w:fill="EAF3FB"/>
            <w:tcMar>
              <w:top w:w="80" w:type="dxa"/>
              <w:left w:w="140" w:type="dxa"/>
              <w:bottom w:w="80" w:type="dxa"/>
              <w:right w:w="140" w:type="dxa"/>
            </w:tcMar>
            <w:vAlign w:val="center"/>
          </w:tcPr>
          <w:p w14:paraId="6D969544" w14:textId="77777777" w:rsidR="00006871" w:rsidRDefault="00006871" w:rsidP="003F23C8">
            <w:pPr>
              <w:jc w:val="both"/>
            </w:pPr>
            <w:r>
              <w:rPr>
                <w:color w:val="000000"/>
                <w:sz w:val="20"/>
                <w:szCs w:val="20"/>
              </w:rPr>
              <w:t>Establishes the theoretical baseline for ZTA; vendor-neutral; widely adopted globally as the de facto ZT reference</w:t>
            </w:r>
          </w:p>
        </w:tc>
      </w:tr>
      <w:tr w:rsidR="00006871" w14:paraId="13DC476F" w14:textId="77777777" w:rsidTr="00BC5DF3">
        <w:trPr>
          <w:trHeight w:val="1244"/>
        </w:trPr>
        <w:tc>
          <w:tcPr>
            <w:tcW w:w="1911"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vAlign w:val="center"/>
          </w:tcPr>
          <w:p w14:paraId="42322E7B" w14:textId="29F7E1E0" w:rsidR="00006871" w:rsidRDefault="00006871">
            <w:r>
              <w:rPr>
                <w:color w:val="000000"/>
                <w:sz w:val="20"/>
                <w:szCs w:val="20"/>
              </w:rPr>
              <w:t xml:space="preserve">CISA </w:t>
            </w:r>
            <w:r w:rsidR="000D6C91">
              <w:rPr>
                <w:color w:val="000000"/>
                <w:sz w:val="20"/>
                <w:szCs w:val="20"/>
              </w:rPr>
              <w:t>-</w:t>
            </w:r>
            <w:r>
              <w:rPr>
                <w:color w:val="000000"/>
                <w:sz w:val="20"/>
                <w:szCs w:val="20"/>
              </w:rPr>
              <w:t>ZT Maturity Model v2.0</w:t>
            </w:r>
          </w:p>
        </w:tc>
        <w:tc>
          <w:tcPr>
            <w:tcW w:w="1508"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vAlign w:val="center"/>
          </w:tcPr>
          <w:p w14:paraId="03F62954" w14:textId="77777777" w:rsidR="00006871" w:rsidRDefault="00006871">
            <w:r>
              <w:rPr>
                <w:color w:val="000000"/>
                <w:sz w:val="20"/>
                <w:szCs w:val="20"/>
              </w:rPr>
              <w:t>U.S. Federal Agencies</w:t>
            </w:r>
          </w:p>
        </w:tc>
        <w:tc>
          <w:tcPr>
            <w:tcW w:w="225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vAlign w:val="center"/>
          </w:tcPr>
          <w:p w14:paraId="159C2F98" w14:textId="77777777" w:rsidR="00006871" w:rsidRDefault="00006871">
            <w:r>
              <w:rPr>
                <w:color w:val="000000"/>
                <w:sz w:val="20"/>
                <w:szCs w:val="20"/>
              </w:rPr>
              <w:t>Identity, Device, Network, App, Data</w:t>
            </w:r>
          </w:p>
        </w:tc>
        <w:tc>
          <w:tcPr>
            <w:tcW w:w="3347"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vAlign w:val="center"/>
          </w:tcPr>
          <w:p w14:paraId="23DA96EA" w14:textId="21A7ECB5" w:rsidR="00006871" w:rsidRDefault="00006871" w:rsidP="003F23C8">
            <w:pPr>
              <w:jc w:val="both"/>
            </w:pPr>
            <w:r>
              <w:rPr>
                <w:color w:val="000000"/>
                <w:sz w:val="20"/>
                <w:szCs w:val="20"/>
              </w:rPr>
              <w:t xml:space="preserve">Introduces graduated maturity levels (Traditional </w:t>
            </w:r>
            <w:r w:rsidR="003F23C8">
              <w:rPr>
                <w:color w:val="000000"/>
                <w:sz w:val="20"/>
                <w:szCs w:val="20"/>
              </w:rPr>
              <w:t>to</w:t>
            </w:r>
            <w:r>
              <w:rPr>
                <w:color w:val="000000"/>
                <w:sz w:val="20"/>
                <w:szCs w:val="20"/>
              </w:rPr>
              <w:t xml:space="preserve"> Optimal); provides a practical self-assessment roadmap for agencies</w:t>
            </w:r>
          </w:p>
        </w:tc>
      </w:tr>
      <w:tr w:rsidR="00006871" w14:paraId="6E291AE8" w14:textId="77777777" w:rsidTr="00BC5DF3">
        <w:trPr>
          <w:trHeight w:val="1061"/>
        </w:trPr>
        <w:tc>
          <w:tcPr>
            <w:tcW w:w="1911" w:type="dxa"/>
            <w:tcBorders>
              <w:top w:val="single" w:sz="1" w:space="0" w:color="AAAAAA"/>
              <w:left w:val="single" w:sz="1" w:space="0" w:color="AAAAAA"/>
              <w:bottom w:val="single" w:sz="1" w:space="0" w:color="AAAAAA"/>
              <w:right w:val="single" w:sz="1" w:space="0" w:color="AAAAAA"/>
            </w:tcBorders>
            <w:shd w:val="clear" w:color="auto" w:fill="EAF3FB"/>
            <w:tcMar>
              <w:top w:w="80" w:type="dxa"/>
              <w:left w:w="140" w:type="dxa"/>
              <w:bottom w:w="80" w:type="dxa"/>
              <w:right w:w="140" w:type="dxa"/>
            </w:tcMar>
            <w:vAlign w:val="center"/>
          </w:tcPr>
          <w:p w14:paraId="04AD1830" w14:textId="0621B121" w:rsidR="00006871" w:rsidRDefault="00006871">
            <w:r>
              <w:rPr>
                <w:color w:val="000000"/>
                <w:sz w:val="20"/>
                <w:szCs w:val="20"/>
              </w:rPr>
              <w:t xml:space="preserve">DoD </w:t>
            </w:r>
            <w:r w:rsidR="00D22826">
              <w:rPr>
                <w:color w:val="000000"/>
                <w:sz w:val="20"/>
                <w:szCs w:val="20"/>
              </w:rPr>
              <w:t>-</w:t>
            </w:r>
            <w:r>
              <w:rPr>
                <w:color w:val="000000"/>
                <w:sz w:val="20"/>
                <w:szCs w:val="20"/>
              </w:rPr>
              <w:t>ZT Reference Architecture v2</w:t>
            </w:r>
          </w:p>
        </w:tc>
        <w:tc>
          <w:tcPr>
            <w:tcW w:w="1508" w:type="dxa"/>
            <w:tcBorders>
              <w:top w:val="single" w:sz="1" w:space="0" w:color="AAAAAA"/>
              <w:left w:val="single" w:sz="1" w:space="0" w:color="AAAAAA"/>
              <w:bottom w:val="single" w:sz="1" w:space="0" w:color="AAAAAA"/>
              <w:right w:val="single" w:sz="1" w:space="0" w:color="AAAAAA"/>
            </w:tcBorders>
            <w:shd w:val="clear" w:color="auto" w:fill="EAF3FB"/>
            <w:tcMar>
              <w:top w:w="80" w:type="dxa"/>
              <w:left w:w="140" w:type="dxa"/>
              <w:bottom w:w="80" w:type="dxa"/>
              <w:right w:w="140" w:type="dxa"/>
            </w:tcMar>
            <w:vAlign w:val="center"/>
          </w:tcPr>
          <w:p w14:paraId="58DE006F" w14:textId="78C17079" w:rsidR="00006871" w:rsidRDefault="00006871">
            <w:r>
              <w:rPr>
                <w:color w:val="000000"/>
                <w:sz w:val="20"/>
                <w:szCs w:val="20"/>
              </w:rPr>
              <w:t>Military</w:t>
            </w:r>
            <w:r w:rsidR="00BC5DF3">
              <w:rPr>
                <w:color w:val="000000"/>
                <w:sz w:val="20"/>
                <w:szCs w:val="20"/>
              </w:rPr>
              <w:t xml:space="preserve"> /</w:t>
            </w:r>
            <w:r>
              <w:rPr>
                <w:color w:val="000000"/>
                <w:sz w:val="20"/>
                <w:szCs w:val="20"/>
              </w:rPr>
              <w:t xml:space="preserve"> Defense</w:t>
            </w:r>
          </w:p>
        </w:tc>
        <w:tc>
          <w:tcPr>
            <w:tcW w:w="2250" w:type="dxa"/>
            <w:tcBorders>
              <w:top w:val="single" w:sz="1" w:space="0" w:color="AAAAAA"/>
              <w:left w:val="single" w:sz="1" w:space="0" w:color="AAAAAA"/>
              <w:bottom w:val="single" w:sz="1" w:space="0" w:color="AAAAAA"/>
              <w:right w:val="single" w:sz="1" w:space="0" w:color="AAAAAA"/>
            </w:tcBorders>
            <w:shd w:val="clear" w:color="auto" w:fill="EAF3FB"/>
            <w:tcMar>
              <w:top w:w="80" w:type="dxa"/>
              <w:left w:w="140" w:type="dxa"/>
              <w:bottom w:w="80" w:type="dxa"/>
              <w:right w:w="140" w:type="dxa"/>
            </w:tcMar>
            <w:vAlign w:val="center"/>
          </w:tcPr>
          <w:p w14:paraId="57C3915E" w14:textId="77777777" w:rsidR="00006871" w:rsidRDefault="00006871">
            <w:r>
              <w:rPr>
                <w:color w:val="000000"/>
                <w:sz w:val="20"/>
                <w:szCs w:val="20"/>
              </w:rPr>
              <w:t>Data-centric; 7 pillars; 90+ ZT activities</w:t>
            </w:r>
          </w:p>
        </w:tc>
        <w:tc>
          <w:tcPr>
            <w:tcW w:w="3347" w:type="dxa"/>
            <w:tcBorders>
              <w:top w:val="single" w:sz="1" w:space="0" w:color="AAAAAA"/>
              <w:left w:val="single" w:sz="1" w:space="0" w:color="AAAAAA"/>
              <w:bottom w:val="single" w:sz="1" w:space="0" w:color="AAAAAA"/>
              <w:right w:val="single" w:sz="1" w:space="0" w:color="AAAAAA"/>
            </w:tcBorders>
            <w:shd w:val="clear" w:color="auto" w:fill="EAF3FB"/>
            <w:tcMar>
              <w:top w:w="80" w:type="dxa"/>
              <w:left w:w="140" w:type="dxa"/>
              <w:bottom w:w="80" w:type="dxa"/>
              <w:right w:w="140" w:type="dxa"/>
            </w:tcMar>
            <w:vAlign w:val="center"/>
          </w:tcPr>
          <w:p w14:paraId="3DA87FB6" w14:textId="1886581E" w:rsidR="003F23C8" w:rsidRDefault="00006871" w:rsidP="003F23C8">
            <w:pPr>
              <w:jc w:val="both"/>
              <w:rPr>
                <w:color w:val="000000"/>
                <w:sz w:val="20"/>
                <w:szCs w:val="20"/>
              </w:rPr>
            </w:pPr>
            <w:r>
              <w:rPr>
                <w:color w:val="000000"/>
                <w:sz w:val="20"/>
                <w:szCs w:val="20"/>
              </w:rPr>
              <w:t xml:space="preserve">Most prescriptive framework </w:t>
            </w:r>
            <w:proofErr w:type="spellStart"/>
            <w:r w:rsidR="003F23C8">
              <w:rPr>
                <w:color w:val="000000"/>
                <w:sz w:val="20"/>
                <w:szCs w:val="20"/>
              </w:rPr>
              <w:t>a</w:t>
            </w:r>
            <w:r>
              <w:rPr>
                <w:color w:val="000000"/>
                <w:sz w:val="20"/>
                <w:szCs w:val="20"/>
              </w:rPr>
              <w:t>vai</w:t>
            </w:r>
            <w:r w:rsidR="003F23C8">
              <w:rPr>
                <w:color w:val="000000"/>
                <w:sz w:val="20"/>
                <w:szCs w:val="20"/>
              </w:rPr>
              <w:t>lab</w:t>
            </w:r>
            <w:proofErr w:type="spellEnd"/>
          </w:p>
          <w:p w14:paraId="75BE75C9" w14:textId="77777777" w:rsidR="003F23C8" w:rsidRDefault="00006871" w:rsidP="003F23C8">
            <w:pPr>
              <w:jc w:val="both"/>
              <w:rPr>
                <w:color w:val="000000"/>
                <w:sz w:val="20"/>
                <w:szCs w:val="20"/>
              </w:rPr>
            </w:pPr>
            <w:r>
              <w:rPr>
                <w:color w:val="000000"/>
                <w:sz w:val="20"/>
                <w:szCs w:val="20"/>
              </w:rPr>
              <w:t>le</w:t>
            </w:r>
            <w:r w:rsidR="003F23C8">
              <w:rPr>
                <w:color w:val="000000"/>
                <w:sz w:val="20"/>
                <w:szCs w:val="20"/>
              </w:rPr>
              <w:t>;</w:t>
            </w:r>
            <w:r>
              <w:rPr>
                <w:color w:val="000000"/>
                <w:sz w:val="20"/>
                <w:szCs w:val="20"/>
              </w:rPr>
              <w:t xml:space="preserve"> maps ZT to mission-critical operations; defines target and </w:t>
            </w:r>
            <w:proofErr w:type="spellStart"/>
            <w:r>
              <w:rPr>
                <w:color w:val="000000"/>
                <w:sz w:val="20"/>
                <w:szCs w:val="20"/>
              </w:rPr>
              <w:t>advan</w:t>
            </w:r>
            <w:proofErr w:type="spellEnd"/>
          </w:p>
          <w:p w14:paraId="04ACA456" w14:textId="1ACE41C9" w:rsidR="00006871" w:rsidRDefault="00006871" w:rsidP="003F23C8">
            <w:pPr>
              <w:jc w:val="both"/>
            </w:pPr>
            <w:proofErr w:type="spellStart"/>
            <w:r>
              <w:rPr>
                <w:color w:val="000000"/>
                <w:sz w:val="20"/>
                <w:szCs w:val="20"/>
              </w:rPr>
              <w:t>ced</w:t>
            </w:r>
            <w:proofErr w:type="spellEnd"/>
            <w:r>
              <w:rPr>
                <w:color w:val="000000"/>
                <w:sz w:val="20"/>
                <w:szCs w:val="20"/>
              </w:rPr>
              <w:t xml:space="preserve"> ZT levels</w:t>
            </w:r>
          </w:p>
        </w:tc>
      </w:tr>
      <w:tr w:rsidR="00006871" w14:paraId="55FA32A1" w14:textId="77777777" w:rsidTr="00BC5DF3">
        <w:trPr>
          <w:trHeight w:val="711"/>
        </w:trPr>
        <w:tc>
          <w:tcPr>
            <w:tcW w:w="1911"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vAlign w:val="center"/>
          </w:tcPr>
          <w:p w14:paraId="39FA21CE" w14:textId="0795CB7C" w:rsidR="00006871" w:rsidRDefault="00006871">
            <w:r>
              <w:rPr>
                <w:color w:val="000000"/>
                <w:sz w:val="20"/>
                <w:szCs w:val="20"/>
              </w:rPr>
              <w:t>IEEE</w:t>
            </w:r>
            <w:r w:rsidR="00B40A77">
              <w:rPr>
                <w:color w:val="000000"/>
                <w:sz w:val="20"/>
                <w:szCs w:val="20"/>
              </w:rPr>
              <w:t xml:space="preserve"> </w:t>
            </w:r>
            <w:r w:rsidR="00D22826">
              <w:rPr>
                <w:color w:val="000000"/>
                <w:sz w:val="20"/>
                <w:szCs w:val="20"/>
              </w:rPr>
              <w:t>-</w:t>
            </w:r>
            <w:r w:rsidR="00B40A77">
              <w:rPr>
                <w:color w:val="000000"/>
                <w:sz w:val="20"/>
                <w:szCs w:val="20"/>
              </w:rPr>
              <w:t>ZTA</w:t>
            </w:r>
            <w:r>
              <w:rPr>
                <w:color w:val="000000"/>
                <w:sz w:val="20"/>
                <w:szCs w:val="20"/>
              </w:rPr>
              <w:t xml:space="preserve"> Impact on Modern Security</w:t>
            </w:r>
          </w:p>
        </w:tc>
        <w:tc>
          <w:tcPr>
            <w:tcW w:w="1508"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vAlign w:val="center"/>
          </w:tcPr>
          <w:p w14:paraId="0AD51DF4" w14:textId="77777777" w:rsidR="00006871" w:rsidRDefault="00006871">
            <w:r>
              <w:rPr>
                <w:color w:val="000000"/>
                <w:sz w:val="20"/>
                <w:szCs w:val="20"/>
              </w:rPr>
              <w:t>Enterprise IT</w:t>
            </w:r>
          </w:p>
        </w:tc>
        <w:tc>
          <w:tcPr>
            <w:tcW w:w="225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vAlign w:val="center"/>
          </w:tcPr>
          <w:p w14:paraId="2CEACC4B" w14:textId="77777777" w:rsidR="00006871" w:rsidRDefault="00006871">
            <w:r>
              <w:rPr>
                <w:color w:val="000000"/>
                <w:sz w:val="20"/>
                <w:szCs w:val="20"/>
              </w:rPr>
              <w:t>Implementation impact; threat mitigation</w:t>
            </w:r>
          </w:p>
        </w:tc>
        <w:tc>
          <w:tcPr>
            <w:tcW w:w="3347"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vAlign w:val="center"/>
          </w:tcPr>
          <w:p w14:paraId="457177DF" w14:textId="77777777" w:rsidR="003F23C8" w:rsidRDefault="00006871" w:rsidP="003F23C8">
            <w:pPr>
              <w:jc w:val="both"/>
              <w:rPr>
                <w:color w:val="000000"/>
                <w:sz w:val="20"/>
                <w:szCs w:val="20"/>
              </w:rPr>
            </w:pPr>
            <w:r>
              <w:rPr>
                <w:color w:val="000000"/>
                <w:sz w:val="20"/>
                <w:szCs w:val="20"/>
              </w:rPr>
              <w:t xml:space="preserve">Empirically evaluates ZTA </w:t>
            </w:r>
            <w:proofErr w:type="spellStart"/>
            <w:r w:rsidR="003F23C8">
              <w:rPr>
                <w:color w:val="000000"/>
                <w:sz w:val="20"/>
                <w:szCs w:val="20"/>
              </w:rPr>
              <w:t>effective</w:t>
            </w:r>
            <w:r>
              <w:rPr>
                <w:color w:val="000000"/>
                <w:sz w:val="20"/>
                <w:szCs w:val="20"/>
              </w:rPr>
              <w:t>es</w:t>
            </w:r>
            <w:proofErr w:type="spellEnd"/>
          </w:p>
          <w:p w14:paraId="25855EBA" w14:textId="088FC065" w:rsidR="003F23C8" w:rsidRDefault="00006871" w:rsidP="003F23C8">
            <w:pPr>
              <w:jc w:val="both"/>
              <w:rPr>
                <w:color w:val="000000"/>
                <w:sz w:val="20"/>
                <w:szCs w:val="20"/>
              </w:rPr>
            </w:pPr>
            <w:r>
              <w:rPr>
                <w:color w:val="000000"/>
                <w:sz w:val="20"/>
                <w:szCs w:val="20"/>
              </w:rPr>
              <w:t xml:space="preserve">s across enterprise </w:t>
            </w:r>
            <w:r w:rsidR="003F23C8">
              <w:rPr>
                <w:color w:val="000000"/>
                <w:sz w:val="20"/>
                <w:szCs w:val="20"/>
              </w:rPr>
              <w:t>environmen</w:t>
            </w:r>
            <w:r>
              <w:rPr>
                <w:color w:val="000000"/>
                <w:sz w:val="20"/>
                <w:szCs w:val="20"/>
              </w:rPr>
              <w:t>ts; provides measurable security improv</w:t>
            </w:r>
          </w:p>
          <w:p w14:paraId="46AC2AFE" w14:textId="6C702697" w:rsidR="00006871" w:rsidRPr="003F23C8" w:rsidRDefault="00006871" w:rsidP="003F23C8">
            <w:pPr>
              <w:jc w:val="both"/>
              <w:rPr>
                <w:color w:val="000000"/>
                <w:sz w:val="20"/>
                <w:szCs w:val="20"/>
              </w:rPr>
            </w:pPr>
            <w:proofErr w:type="spellStart"/>
            <w:r>
              <w:rPr>
                <w:color w:val="000000"/>
                <w:sz w:val="20"/>
                <w:szCs w:val="20"/>
              </w:rPr>
              <w:t>ement</w:t>
            </w:r>
            <w:proofErr w:type="spellEnd"/>
            <w:r>
              <w:rPr>
                <w:color w:val="000000"/>
                <w:sz w:val="20"/>
                <w:szCs w:val="20"/>
              </w:rPr>
              <w:t xml:space="preserve"> metrics</w:t>
            </w:r>
          </w:p>
        </w:tc>
      </w:tr>
      <w:tr w:rsidR="00006871" w14:paraId="5432D34C" w14:textId="77777777" w:rsidTr="00BC5DF3">
        <w:trPr>
          <w:trHeight w:val="1244"/>
        </w:trPr>
        <w:tc>
          <w:tcPr>
            <w:tcW w:w="1911" w:type="dxa"/>
            <w:tcBorders>
              <w:top w:val="single" w:sz="1" w:space="0" w:color="AAAAAA"/>
              <w:left w:val="single" w:sz="1" w:space="0" w:color="AAAAAA"/>
              <w:bottom w:val="single" w:sz="1" w:space="0" w:color="AAAAAA"/>
              <w:right w:val="single" w:sz="1" w:space="0" w:color="AAAAAA"/>
            </w:tcBorders>
            <w:shd w:val="clear" w:color="auto" w:fill="EAF3FB"/>
            <w:tcMar>
              <w:top w:w="80" w:type="dxa"/>
              <w:left w:w="140" w:type="dxa"/>
              <w:bottom w:w="80" w:type="dxa"/>
              <w:right w:w="140" w:type="dxa"/>
            </w:tcMar>
            <w:vAlign w:val="center"/>
          </w:tcPr>
          <w:p w14:paraId="7A753AF4" w14:textId="28817255" w:rsidR="00006871" w:rsidRDefault="00006871">
            <w:r>
              <w:rPr>
                <w:color w:val="000000"/>
                <w:sz w:val="20"/>
                <w:szCs w:val="20"/>
              </w:rPr>
              <w:t>Springer</w:t>
            </w:r>
            <w:r w:rsidR="00B40A77">
              <w:rPr>
                <w:color w:val="000000"/>
                <w:sz w:val="20"/>
                <w:szCs w:val="20"/>
              </w:rPr>
              <w:t xml:space="preserve"> </w:t>
            </w:r>
            <w:r w:rsidR="000D6C91">
              <w:rPr>
                <w:color w:val="000000"/>
                <w:sz w:val="20"/>
                <w:szCs w:val="20"/>
              </w:rPr>
              <w:t>-</w:t>
            </w:r>
            <w:r w:rsidR="00B40A77">
              <w:rPr>
                <w:color w:val="000000"/>
                <w:sz w:val="20"/>
                <w:szCs w:val="20"/>
              </w:rPr>
              <w:t>Zero</w:t>
            </w:r>
            <w:r>
              <w:rPr>
                <w:color w:val="000000"/>
                <w:sz w:val="20"/>
                <w:szCs w:val="20"/>
              </w:rPr>
              <w:t>-Click Attacks &amp; ZT</w:t>
            </w:r>
          </w:p>
        </w:tc>
        <w:tc>
          <w:tcPr>
            <w:tcW w:w="1508" w:type="dxa"/>
            <w:tcBorders>
              <w:top w:val="single" w:sz="1" w:space="0" w:color="AAAAAA"/>
              <w:left w:val="single" w:sz="1" w:space="0" w:color="AAAAAA"/>
              <w:bottom w:val="single" w:sz="1" w:space="0" w:color="AAAAAA"/>
              <w:right w:val="single" w:sz="1" w:space="0" w:color="AAAAAA"/>
            </w:tcBorders>
            <w:shd w:val="clear" w:color="auto" w:fill="EAF3FB"/>
            <w:tcMar>
              <w:top w:w="80" w:type="dxa"/>
              <w:left w:w="140" w:type="dxa"/>
              <w:bottom w:w="80" w:type="dxa"/>
              <w:right w:w="140" w:type="dxa"/>
            </w:tcMar>
            <w:vAlign w:val="center"/>
          </w:tcPr>
          <w:p w14:paraId="041B2E8E" w14:textId="77777777" w:rsidR="00006871" w:rsidRDefault="00006871">
            <w:r>
              <w:rPr>
                <w:color w:val="000000"/>
                <w:sz w:val="20"/>
                <w:szCs w:val="20"/>
              </w:rPr>
              <w:t>Endpoint &amp; mobile</w:t>
            </w:r>
          </w:p>
        </w:tc>
        <w:tc>
          <w:tcPr>
            <w:tcW w:w="2250" w:type="dxa"/>
            <w:tcBorders>
              <w:top w:val="single" w:sz="1" w:space="0" w:color="AAAAAA"/>
              <w:left w:val="single" w:sz="1" w:space="0" w:color="AAAAAA"/>
              <w:bottom w:val="single" w:sz="1" w:space="0" w:color="AAAAAA"/>
              <w:right w:val="single" w:sz="1" w:space="0" w:color="AAAAAA"/>
            </w:tcBorders>
            <w:shd w:val="clear" w:color="auto" w:fill="EAF3FB"/>
            <w:tcMar>
              <w:top w:w="80" w:type="dxa"/>
              <w:left w:w="140" w:type="dxa"/>
              <w:bottom w:w="80" w:type="dxa"/>
              <w:right w:w="140" w:type="dxa"/>
            </w:tcMar>
            <w:vAlign w:val="center"/>
          </w:tcPr>
          <w:p w14:paraId="21D5B496" w14:textId="77777777" w:rsidR="00006871" w:rsidRDefault="00006871">
            <w:r>
              <w:rPr>
                <w:color w:val="000000"/>
                <w:sz w:val="20"/>
                <w:szCs w:val="20"/>
              </w:rPr>
              <w:t>Zero-click attack vectors; ZT as defense</w:t>
            </w:r>
          </w:p>
        </w:tc>
        <w:tc>
          <w:tcPr>
            <w:tcW w:w="3347" w:type="dxa"/>
            <w:tcBorders>
              <w:top w:val="single" w:sz="1" w:space="0" w:color="AAAAAA"/>
              <w:left w:val="single" w:sz="1" w:space="0" w:color="AAAAAA"/>
              <w:bottom w:val="single" w:sz="1" w:space="0" w:color="AAAAAA"/>
              <w:right w:val="single" w:sz="1" w:space="0" w:color="AAAAAA"/>
            </w:tcBorders>
            <w:shd w:val="clear" w:color="auto" w:fill="EAF3FB"/>
            <w:tcMar>
              <w:top w:w="80" w:type="dxa"/>
              <w:left w:w="140" w:type="dxa"/>
              <w:bottom w:w="80" w:type="dxa"/>
              <w:right w:w="140" w:type="dxa"/>
            </w:tcMar>
            <w:vAlign w:val="center"/>
          </w:tcPr>
          <w:p w14:paraId="1E7D9E69" w14:textId="77777777" w:rsidR="00006871" w:rsidRDefault="00006871" w:rsidP="003F23C8">
            <w:pPr>
              <w:jc w:val="both"/>
            </w:pPr>
            <w:r>
              <w:rPr>
                <w:color w:val="000000"/>
                <w:sz w:val="20"/>
                <w:szCs w:val="20"/>
              </w:rPr>
              <w:t>Explores how ZT principles counter zero-click and zero-interaction attack vectors; highlights gap in device-trust assumptions</w:t>
            </w:r>
          </w:p>
        </w:tc>
      </w:tr>
      <w:tr w:rsidR="00006871" w14:paraId="21A4B3C8" w14:textId="77777777" w:rsidTr="00BC5DF3">
        <w:trPr>
          <w:trHeight w:val="1418"/>
        </w:trPr>
        <w:tc>
          <w:tcPr>
            <w:tcW w:w="1911"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vAlign w:val="center"/>
          </w:tcPr>
          <w:p w14:paraId="3CE0EA71" w14:textId="090BEFB6" w:rsidR="00006871" w:rsidRDefault="00006871">
            <w:r>
              <w:rPr>
                <w:color w:val="000000"/>
                <w:sz w:val="20"/>
                <w:szCs w:val="20"/>
              </w:rPr>
              <w:t>SAGE</w:t>
            </w:r>
            <w:r w:rsidR="00B40A77">
              <w:rPr>
                <w:color w:val="000000"/>
                <w:sz w:val="20"/>
                <w:szCs w:val="20"/>
              </w:rPr>
              <w:t xml:space="preserve"> </w:t>
            </w:r>
            <w:r w:rsidR="000D6C91">
              <w:rPr>
                <w:color w:val="000000"/>
                <w:sz w:val="20"/>
                <w:szCs w:val="20"/>
              </w:rPr>
              <w:t>-</w:t>
            </w:r>
            <w:r w:rsidR="00B40A77">
              <w:rPr>
                <w:color w:val="000000"/>
                <w:sz w:val="20"/>
                <w:szCs w:val="20"/>
              </w:rPr>
              <w:t>Comprehensive</w:t>
            </w:r>
            <w:r>
              <w:rPr>
                <w:color w:val="000000"/>
                <w:sz w:val="20"/>
                <w:szCs w:val="20"/>
              </w:rPr>
              <w:t xml:space="preserve"> ZTA Review</w:t>
            </w:r>
          </w:p>
        </w:tc>
        <w:tc>
          <w:tcPr>
            <w:tcW w:w="1508"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vAlign w:val="center"/>
          </w:tcPr>
          <w:p w14:paraId="6FAD9A11" w14:textId="77777777" w:rsidR="00006871" w:rsidRDefault="00006871">
            <w:r>
              <w:rPr>
                <w:color w:val="000000"/>
                <w:sz w:val="20"/>
                <w:szCs w:val="20"/>
              </w:rPr>
              <w:t>Cross-domain</w:t>
            </w:r>
          </w:p>
        </w:tc>
        <w:tc>
          <w:tcPr>
            <w:tcW w:w="225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vAlign w:val="center"/>
          </w:tcPr>
          <w:p w14:paraId="71FC631A" w14:textId="77777777" w:rsidR="00006871" w:rsidRDefault="00006871">
            <w:r>
              <w:rPr>
                <w:color w:val="000000"/>
                <w:sz w:val="20"/>
                <w:szCs w:val="20"/>
              </w:rPr>
              <w:t>Framework comparison; maturity assessment</w:t>
            </w:r>
          </w:p>
        </w:tc>
        <w:tc>
          <w:tcPr>
            <w:tcW w:w="3347"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vAlign w:val="center"/>
          </w:tcPr>
          <w:p w14:paraId="7A72D00E" w14:textId="77777777" w:rsidR="00006871" w:rsidRDefault="00006871" w:rsidP="003F23C8">
            <w:pPr>
              <w:jc w:val="both"/>
            </w:pPr>
            <w:r>
              <w:rPr>
                <w:color w:val="000000"/>
                <w:sz w:val="20"/>
                <w:szCs w:val="20"/>
              </w:rPr>
              <w:t>Conducts a broad comparative analysis of ZTA frameworks; identifies inconsistencies in definitions and proposes a unified evaluation approach</w:t>
            </w:r>
          </w:p>
        </w:tc>
      </w:tr>
    </w:tbl>
    <w:p w14:paraId="27BA612B" w14:textId="77777777" w:rsidR="000D6C91" w:rsidRPr="000D6C91" w:rsidRDefault="000D6C91" w:rsidP="00B40A77">
      <w:pPr>
        <w:spacing w:afterLines="100" w:after="240" w:line="24" w:lineRule="atLeast"/>
        <w:jc w:val="both"/>
        <w:rPr>
          <w:sz w:val="8"/>
          <w:szCs w:val="8"/>
        </w:rPr>
      </w:pPr>
    </w:p>
    <w:p w14:paraId="64EC9A77" w14:textId="4AFEBF93" w:rsidR="008E6C4F" w:rsidRDefault="008E6C4F" w:rsidP="00B40A77">
      <w:pPr>
        <w:spacing w:afterLines="100" w:after="240" w:line="24" w:lineRule="atLeast"/>
        <w:jc w:val="both"/>
      </w:pPr>
      <w:r w:rsidRPr="008E6C4F">
        <w:lastRenderedPageBreak/>
        <w:t>Together, these sources reflect the multi-dimensional nature of Zero Trust standards documents (NIST, CISA, DoD) provide the structural foundation, while academic literature (IEEE, Springer, SAGE) stress-tests those foundations against real-world evidence. A complete understanding of ZTA demands engaging with both.</w:t>
      </w:r>
    </w:p>
    <w:p w14:paraId="2A084943" w14:textId="77777777" w:rsidR="008E6C4F" w:rsidRDefault="008E6C4F" w:rsidP="00B40A77">
      <w:pPr>
        <w:spacing w:afterLines="100" w:after="240" w:line="24" w:lineRule="atLeast"/>
        <w:jc w:val="both"/>
      </w:pPr>
    </w:p>
    <w:p w14:paraId="396161FA" w14:textId="77777777" w:rsidR="00FD2E92" w:rsidRDefault="00A23D13">
      <w:pPr>
        <w:pStyle w:val="Heading1"/>
      </w:pPr>
      <w:r>
        <w:t>7. Conclusion</w:t>
      </w:r>
    </w:p>
    <w:p w14:paraId="3BBF918B" w14:textId="3275F8FD" w:rsidR="008E6C4F" w:rsidRPr="008E6C4F" w:rsidRDefault="008E6C4F" w:rsidP="008E6C4F">
      <w:pPr>
        <w:spacing w:afterLines="100" w:after="240" w:line="24" w:lineRule="atLeast"/>
        <w:jc w:val="both"/>
      </w:pPr>
      <w:r w:rsidRPr="008E6C4F">
        <w:t>Zero Trust has moved well beyond buzzword status. It is now a mature, well-documented approach that organizations across sectors are actively adopting and for good reason. The threats that drove its emergence have not diminished; if anything, they have intensified. What this review has made clear is that Zero Trust is not something you buy off the shelf. It is a strategic posture requiring thoughtful planning, sustained investment, and genuine organizational commitment. The frameworks provided by NIST, CISA, and the DoD offer solid starting points, but every organization's implementation will look different, shaped by its specific environment, threat profile, and constraints.</w:t>
      </w:r>
    </w:p>
    <w:p w14:paraId="3F3F5FAE" w14:textId="6ECE4668" w:rsidR="008E6C4F" w:rsidRPr="008E6C4F" w:rsidRDefault="008E6C4F" w:rsidP="008E6C4F">
      <w:pPr>
        <w:spacing w:afterLines="100" w:after="240" w:line="24" w:lineRule="atLeast"/>
        <w:jc w:val="both"/>
      </w:pPr>
      <w:r w:rsidRPr="008E6C4F">
        <w:t>The journey has its difficulties legacy systems, policy complexity, and cultural resistance are real obstacles that deserve honest attention. But the tools to address them are increasingly available. AI-driven security operations are making continuous verification more practical at scale, and post-quantum cryptography is maturing into deployable standards. The architecture is evolving to meet the threats of tomorrow, not just today.</w:t>
      </w:r>
    </w:p>
    <w:p w14:paraId="7D467C69" w14:textId="4B6E7948" w:rsidR="008E6C4F" w:rsidRPr="008E6C4F" w:rsidRDefault="008E6C4F" w:rsidP="008E6C4F">
      <w:pPr>
        <w:spacing w:afterLines="100" w:after="240" w:line="24" w:lineRule="atLeast"/>
        <w:jc w:val="both"/>
      </w:pPr>
      <w:r w:rsidRPr="008E6C4F">
        <w:t>The essential message is straightforward: in an era where the network boundary has effectively dissolved, the only sensible approach is to stop extending implicit trust and start verifying everything, every time. Zero Trust is not a perfect solution no security model is but it remains the most coherent and comprehensive framework available for building security fit for the modern world.</w:t>
      </w:r>
    </w:p>
    <w:p w14:paraId="1BE74A22" w14:textId="77777777" w:rsidR="00BC5DF3" w:rsidRDefault="00BC5DF3" w:rsidP="00B40A77">
      <w:pPr>
        <w:spacing w:afterLines="100" w:after="240" w:line="24" w:lineRule="atLeast"/>
        <w:jc w:val="both"/>
      </w:pPr>
    </w:p>
    <w:p w14:paraId="73BE7198" w14:textId="77777777" w:rsidR="00FD2E92" w:rsidRDefault="00A23D13">
      <w:pPr>
        <w:pStyle w:val="Heading1"/>
      </w:pPr>
      <w:r>
        <w:t>References</w:t>
      </w:r>
    </w:p>
    <w:p w14:paraId="6C18DA57" w14:textId="25007FD6" w:rsidR="00FD2E92" w:rsidRDefault="00A23D13">
      <w:pPr>
        <w:spacing w:after="120" w:line="320" w:lineRule="auto"/>
        <w:ind w:left="720" w:hanging="720"/>
      </w:pPr>
      <w:r>
        <w:t>1. </w:t>
      </w:r>
      <w:r>
        <w:rPr>
          <w:i/>
          <w:iCs/>
        </w:rPr>
        <w:t xml:space="preserve">NIST. (2020). </w:t>
      </w:r>
      <w:r>
        <w:t xml:space="preserve">Zero Trust Architecture (NIST SP 800-207). </w:t>
      </w:r>
      <w:hyperlink r:id="rId7" w:history="1">
        <w:r w:rsidRPr="002024EE">
          <w:rPr>
            <w:rStyle w:val="Hyperlink"/>
          </w:rPr>
          <w:t>https://nvlpubs.nist.gov/nistpubs/specialpublications/NIST.SP.800-207.pdf</w:t>
        </w:r>
      </w:hyperlink>
    </w:p>
    <w:p w14:paraId="107D1AD8" w14:textId="539E8FD8" w:rsidR="00FD2E92" w:rsidRDefault="00A23D13">
      <w:pPr>
        <w:spacing w:after="120" w:line="320" w:lineRule="auto"/>
        <w:ind w:left="720" w:hanging="720"/>
      </w:pPr>
      <w:r>
        <w:t>2. </w:t>
      </w:r>
      <w:r>
        <w:rPr>
          <w:i/>
          <w:iCs/>
        </w:rPr>
        <w:t xml:space="preserve">CISA. (2023). </w:t>
      </w:r>
      <w:r>
        <w:t xml:space="preserve">Zero Trust Maturity Model Version 2.0. </w:t>
      </w:r>
      <w:hyperlink r:id="rId8" w:history="1">
        <w:r w:rsidRPr="002024EE">
          <w:rPr>
            <w:rStyle w:val="Hyperlink"/>
          </w:rPr>
          <w:t>https://www.cisa.gov/sites/default/files/2023</w:t>
        </w:r>
        <w:r w:rsidR="002024EE" w:rsidRPr="002024EE">
          <w:rPr>
            <w:rStyle w:val="Hyperlink"/>
          </w:rPr>
          <w:t>-</w:t>
        </w:r>
        <w:r w:rsidRPr="002024EE">
          <w:rPr>
            <w:rStyle w:val="Hyperlink"/>
          </w:rPr>
          <w:t>04/CISA_Zero_Trust_Maturity_Model_Version_2_508c.pdf</w:t>
        </w:r>
      </w:hyperlink>
    </w:p>
    <w:p w14:paraId="2A7B7EDA" w14:textId="2C3173DA" w:rsidR="00FD2E92" w:rsidRDefault="00A23D13">
      <w:pPr>
        <w:spacing w:after="120" w:line="320" w:lineRule="auto"/>
        <w:ind w:left="720" w:hanging="720"/>
      </w:pPr>
      <w:r>
        <w:t>3. </w:t>
      </w:r>
      <w:r>
        <w:rPr>
          <w:i/>
          <w:iCs/>
        </w:rPr>
        <w:t xml:space="preserve">DoD. (2022). </w:t>
      </w:r>
      <w:r>
        <w:t xml:space="preserve">Department of Defense Zero Trust Reference Architecture. </w:t>
      </w:r>
      <w:hyperlink r:id="rId9" w:history="1">
        <w:r w:rsidRPr="002024EE">
          <w:rPr>
            <w:rStyle w:val="Hyperlink"/>
          </w:rPr>
          <w:t>https://dodcio.defense.gov/Portals/0/Document</w:t>
        </w:r>
        <w:r w:rsidRPr="002024EE">
          <w:rPr>
            <w:rStyle w:val="Hyperlink"/>
          </w:rPr>
          <w:t>s</w:t>
        </w:r>
        <w:r w:rsidRPr="002024EE">
          <w:rPr>
            <w:rStyle w:val="Hyperlink"/>
          </w:rPr>
          <w:t>/Library/(U)ZT_RA_v2.0(U)_Sep22.pdf</w:t>
        </w:r>
      </w:hyperlink>
    </w:p>
    <w:p w14:paraId="5EBE3561" w14:textId="51FC8587" w:rsidR="00FD2E92" w:rsidRDefault="00A23D13">
      <w:pPr>
        <w:spacing w:after="120" w:line="320" w:lineRule="auto"/>
        <w:ind w:left="720" w:hanging="720"/>
      </w:pPr>
      <w:r>
        <w:t>4.</w:t>
      </w:r>
      <w:r>
        <w:t> </w:t>
      </w:r>
      <w:r>
        <w:rPr>
          <w:i/>
          <w:iCs/>
        </w:rPr>
        <w:t xml:space="preserve">IEEE. (2025). </w:t>
      </w:r>
      <w:r>
        <w:t xml:space="preserve">Zero Trust Architecture: Evaluating its Impact on Modern Information Security. </w:t>
      </w:r>
      <w:hyperlink r:id="rId10" w:history="1">
        <w:r w:rsidRPr="002024EE">
          <w:rPr>
            <w:rStyle w:val="Hyperlink"/>
          </w:rPr>
          <w:t>https://ieeexplore.ieee.org/abstra</w:t>
        </w:r>
        <w:r w:rsidRPr="002024EE">
          <w:rPr>
            <w:rStyle w:val="Hyperlink"/>
          </w:rPr>
          <w:t>c</w:t>
        </w:r>
        <w:r w:rsidRPr="002024EE">
          <w:rPr>
            <w:rStyle w:val="Hyperlink"/>
          </w:rPr>
          <w:t>t/document/11337489/</w:t>
        </w:r>
      </w:hyperlink>
    </w:p>
    <w:p w14:paraId="3EB27F0E" w14:textId="58D873C8" w:rsidR="002A3736" w:rsidRDefault="00A23D13">
      <w:pPr>
        <w:spacing w:after="120" w:line="320" w:lineRule="auto"/>
        <w:ind w:left="720" w:hanging="720"/>
      </w:pPr>
      <w:r>
        <w:t>5. </w:t>
      </w:r>
      <w:r w:rsidR="002A3736" w:rsidRPr="002A3736">
        <w:rPr>
          <w:i/>
          <w:iCs/>
        </w:rPr>
        <w:t xml:space="preserve"> </w:t>
      </w:r>
      <w:r w:rsidR="002A3736">
        <w:rPr>
          <w:i/>
          <w:iCs/>
        </w:rPr>
        <w:t xml:space="preserve">SAGE. (2025). </w:t>
      </w:r>
      <w:r w:rsidR="002A3736">
        <w:t xml:space="preserve">A comprehensive review and comparative analysis of zero trust architecture. </w:t>
      </w:r>
      <w:hyperlink r:id="rId11" w:history="1">
        <w:r w:rsidR="002A3736" w:rsidRPr="002024EE">
          <w:rPr>
            <w:rStyle w:val="Hyperlink"/>
          </w:rPr>
          <w:t>https://journals.sagepub.com/doi/abs/10.1177/0926227X251409922</w:t>
        </w:r>
      </w:hyperlink>
    </w:p>
    <w:p w14:paraId="61DC9189" w14:textId="2988B6F2" w:rsidR="00FD2E92" w:rsidRDefault="00A23D13">
      <w:pPr>
        <w:spacing w:after="120" w:line="320" w:lineRule="auto"/>
        <w:ind w:left="720" w:hanging="720"/>
      </w:pPr>
      <w:r>
        <w:t>6. </w:t>
      </w:r>
      <w:r w:rsidR="002A3736" w:rsidRPr="002A3736">
        <w:rPr>
          <w:i/>
          <w:iCs/>
        </w:rPr>
        <w:t xml:space="preserve"> </w:t>
      </w:r>
      <w:r w:rsidR="002A3736">
        <w:rPr>
          <w:i/>
          <w:iCs/>
        </w:rPr>
        <w:t xml:space="preserve">Springer. (2026). </w:t>
      </w:r>
      <w:r w:rsidR="002A3736">
        <w:t xml:space="preserve">Review of zero-click attacks and zero-trust security model. </w:t>
      </w:r>
      <w:hyperlink r:id="rId12" w:history="1">
        <w:r w:rsidR="002A3736" w:rsidRPr="001C2681">
          <w:rPr>
            <w:rStyle w:val="Hyperlink"/>
          </w:rPr>
          <w:t>https://link.springer.com/article/10.1007/s44354-026-00023-4</w:t>
        </w:r>
      </w:hyperlink>
    </w:p>
    <w:sectPr w:rsidR="00FD2E92" w:rsidSect="007E58D0">
      <w:headerReference w:type="default" r:id="rId13"/>
      <w:footerReference w:type="default" r:id="rId14"/>
      <w:pgSz w:w="11906" w:h="16838" w:code="9"/>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8D50BF" w14:textId="77777777" w:rsidR="001C1B07" w:rsidRDefault="001C1B07">
      <w:r>
        <w:separator/>
      </w:r>
    </w:p>
  </w:endnote>
  <w:endnote w:type="continuationSeparator" w:id="0">
    <w:p w14:paraId="1E3698AC" w14:textId="77777777" w:rsidR="001C1B07" w:rsidRDefault="001C1B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FDB9F6" w14:textId="7B5EBB85" w:rsidR="00FD2E92" w:rsidRDefault="00A23D13">
    <w:pPr>
      <w:jc w:val="center"/>
    </w:pPr>
    <w:r>
      <w:rPr>
        <w:color w:val="888888"/>
        <w:sz w:val="18"/>
        <w:szCs w:val="18"/>
      </w:rPr>
      <w:t xml:space="preserve">A Comprehensive Review of Zero Trust Architecture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006871">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E5B165" w14:textId="77777777" w:rsidR="001C1B07" w:rsidRDefault="001C1B07">
      <w:r>
        <w:separator/>
      </w:r>
    </w:p>
  </w:footnote>
  <w:footnote w:type="continuationSeparator" w:id="0">
    <w:p w14:paraId="5B5FF31B" w14:textId="77777777" w:rsidR="001C1B07" w:rsidRDefault="001C1B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4D19EB" w14:textId="09CE475F" w:rsidR="00726C21" w:rsidRPr="00726C21" w:rsidRDefault="00726C21">
    <w:pPr>
      <w:pStyle w:val="Header"/>
      <w:rPr>
        <w:rFonts w:ascii="Arial" w:hAnsi="Arial" w:cs="Arial"/>
        <w:color w:val="A6A6A6" w:themeColor="background1" w:themeShade="A6"/>
        <w:sz w:val="20"/>
        <w:szCs w:val="20"/>
      </w:rPr>
    </w:pPr>
    <w:r w:rsidRPr="00726C21">
      <w:rPr>
        <w:rFonts w:ascii="Arial" w:hAnsi="Arial" w:cs="Arial"/>
        <w:color w:val="A6A6A6" w:themeColor="background1" w:themeShade="A6"/>
        <w:sz w:val="20"/>
        <w:szCs w:val="20"/>
      </w:rPr>
      <w:t>Team Zero Trust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566902"/>
    <w:multiLevelType w:val="hybridMultilevel"/>
    <w:tmpl w:val="953A3F7C"/>
    <w:lvl w:ilvl="0" w:tplc="C9F8B6E8">
      <w:start w:val="1"/>
      <w:numFmt w:val="bullet"/>
      <w:lvlText w:val="●"/>
      <w:lvlJc w:val="left"/>
      <w:pPr>
        <w:ind w:left="720" w:hanging="360"/>
      </w:pPr>
    </w:lvl>
    <w:lvl w:ilvl="1" w:tplc="5254E346">
      <w:start w:val="1"/>
      <w:numFmt w:val="bullet"/>
      <w:lvlText w:val="○"/>
      <w:lvlJc w:val="left"/>
      <w:pPr>
        <w:ind w:left="1440" w:hanging="360"/>
      </w:pPr>
    </w:lvl>
    <w:lvl w:ilvl="2" w:tplc="85242472">
      <w:start w:val="1"/>
      <w:numFmt w:val="bullet"/>
      <w:lvlText w:val="■"/>
      <w:lvlJc w:val="left"/>
      <w:pPr>
        <w:ind w:left="2160" w:hanging="360"/>
      </w:pPr>
    </w:lvl>
    <w:lvl w:ilvl="3" w:tplc="AC82A15C">
      <w:start w:val="1"/>
      <w:numFmt w:val="bullet"/>
      <w:lvlText w:val="●"/>
      <w:lvlJc w:val="left"/>
      <w:pPr>
        <w:ind w:left="2880" w:hanging="360"/>
      </w:pPr>
    </w:lvl>
    <w:lvl w:ilvl="4" w:tplc="D81AE5A6">
      <w:start w:val="1"/>
      <w:numFmt w:val="bullet"/>
      <w:lvlText w:val="○"/>
      <w:lvlJc w:val="left"/>
      <w:pPr>
        <w:ind w:left="3600" w:hanging="360"/>
      </w:pPr>
    </w:lvl>
    <w:lvl w:ilvl="5" w:tplc="A9209AE6">
      <w:start w:val="1"/>
      <w:numFmt w:val="bullet"/>
      <w:lvlText w:val="■"/>
      <w:lvlJc w:val="left"/>
      <w:pPr>
        <w:ind w:left="4320" w:hanging="360"/>
      </w:pPr>
    </w:lvl>
    <w:lvl w:ilvl="6" w:tplc="E7C4F6BE">
      <w:start w:val="1"/>
      <w:numFmt w:val="bullet"/>
      <w:lvlText w:val="●"/>
      <w:lvlJc w:val="left"/>
      <w:pPr>
        <w:ind w:left="5040" w:hanging="360"/>
      </w:pPr>
    </w:lvl>
    <w:lvl w:ilvl="7" w:tplc="77821CBC">
      <w:start w:val="1"/>
      <w:numFmt w:val="bullet"/>
      <w:lvlText w:val="●"/>
      <w:lvlJc w:val="left"/>
      <w:pPr>
        <w:ind w:left="5760" w:hanging="360"/>
      </w:pPr>
    </w:lvl>
    <w:lvl w:ilvl="8" w:tplc="BFF261D4">
      <w:start w:val="1"/>
      <w:numFmt w:val="bullet"/>
      <w:lvlText w:val="●"/>
      <w:lvlJc w:val="left"/>
      <w:pPr>
        <w:ind w:left="6480" w:hanging="360"/>
      </w:pPr>
    </w:lvl>
  </w:abstractNum>
  <w:abstractNum w:abstractNumId="1" w15:restartNumberingAfterBreak="0">
    <w:nsid w:val="2EC500D6"/>
    <w:multiLevelType w:val="hybridMultilevel"/>
    <w:tmpl w:val="5F049A26"/>
    <w:lvl w:ilvl="0" w:tplc="2B44307E">
      <w:start w:val="1"/>
      <w:numFmt w:val="bullet"/>
      <w:lvlText w:val="•"/>
      <w:lvlJc w:val="left"/>
      <w:pPr>
        <w:ind w:left="720" w:hanging="360"/>
      </w:pPr>
    </w:lvl>
    <w:lvl w:ilvl="1" w:tplc="C7220AB6">
      <w:numFmt w:val="decimal"/>
      <w:lvlText w:val=""/>
      <w:lvlJc w:val="left"/>
    </w:lvl>
    <w:lvl w:ilvl="2" w:tplc="65A2846C">
      <w:numFmt w:val="decimal"/>
      <w:lvlText w:val=""/>
      <w:lvlJc w:val="left"/>
    </w:lvl>
    <w:lvl w:ilvl="3" w:tplc="C0786C90">
      <w:numFmt w:val="decimal"/>
      <w:lvlText w:val=""/>
      <w:lvlJc w:val="left"/>
    </w:lvl>
    <w:lvl w:ilvl="4" w:tplc="3EC6B41A">
      <w:numFmt w:val="decimal"/>
      <w:lvlText w:val=""/>
      <w:lvlJc w:val="left"/>
    </w:lvl>
    <w:lvl w:ilvl="5" w:tplc="D1BC9256">
      <w:numFmt w:val="decimal"/>
      <w:lvlText w:val=""/>
      <w:lvlJc w:val="left"/>
    </w:lvl>
    <w:lvl w:ilvl="6" w:tplc="6756B4B4">
      <w:numFmt w:val="decimal"/>
      <w:lvlText w:val=""/>
      <w:lvlJc w:val="left"/>
    </w:lvl>
    <w:lvl w:ilvl="7" w:tplc="EE9A2208">
      <w:numFmt w:val="decimal"/>
      <w:lvlText w:val=""/>
      <w:lvlJc w:val="left"/>
    </w:lvl>
    <w:lvl w:ilvl="8" w:tplc="F120031C">
      <w:numFmt w:val="decimal"/>
      <w:lvlText w:val=""/>
      <w:lvlJc w:val="left"/>
    </w:lvl>
  </w:abstractNum>
  <w:abstractNum w:abstractNumId="2" w15:restartNumberingAfterBreak="0">
    <w:nsid w:val="63DC2EA9"/>
    <w:multiLevelType w:val="hybridMultilevel"/>
    <w:tmpl w:val="86D8A970"/>
    <w:lvl w:ilvl="0" w:tplc="9FB2E5CE">
      <w:start w:val="1"/>
      <w:numFmt w:val="decimal"/>
      <w:lvlText w:val="%1."/>
      <w:lvlJc w:val="left"/>
      <w:pPr>
        <w:ind w:left="720" w:hanging="360"/>
      </w:pPr>
    </w:lvl>
    <w:lvl w:ilvl="1" w:tplc="C1D6CBCC">
      <w:numFmt w:val="decimal"/>
      <w:lvlText w:val=""/>
      <w:lvlJc w:val="left"/>
    </w:lvl>
    <w:lvl w:ilvl="2" w:tplc="C96480E8">
      <w:numFmt w:val="decimal"/>
      <w:lvlText w:val=""/>
      <w:lvlJc w:val="left"/>
    </w:lvl>
    <w:lvl w:ilvl="3" w:tplc="AE70914C">
      <w:numFmt w:val="decimal"/>
      <w:lvlText w:val=""/>
      <w:lvlJc w:val="left"/>
    </w:lvl>
    <w:lvl w:ilvl="4" w:tplc="74BEFE9A">
      <w:numFmt w:val="decimal"/>
      <w:lvlText w:val=""/>
      <w:lvlJc w:val="left"/>
    </w:lvl>
    <w:lvl w:ilvl="5" w:tplc="EBBE8BA4">
      <w:numFmt w:val="decimal"/>
      <w:lvlText w:val=""/>
      <w:lvlJc w:val="left"/>
    </w:lvl>
    <w:lvl w:ilvl="6" w:tplc="7B1AFB7E">
      <w:numFmt w:val="decimal"/>
      <w:lvlText w:val=""/>
      <w:lvlJc w:val="left"/>
    </w:lvl>
    <w:lvl w:ilvl="7" w:tplc="B5306D3E">
      <w:numFmt w:val="decimal"/>
      <w:lvlText w:val=""/>
      <w:lvlJc w:val="left"/>
    </w:lvl>
    <w:lvl w:ilvl="8" w:tplc="7A92A4EA">
      <w:numFmt w:val="decimal"/>
      <w:lvlText w:val=""/>
      <w:lvlJc w:val="left"/>
    </w:lvl>
  </w:abstractNum>
  <w:num w:numId="1">
    <w:abstractNumId w:val="0"/>
    <w:lvlOverride w:ilvl="0">
      <w:startOverride w:val="1"/>
    </w:lvlOverride>
  </w:num>
  <w:num w:numId="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2E92"/>
    <w:rsid w:val="00006871"/>
    <w:rsid w:val="00020BD1"/>
    <w:rsid w:val="000D6C91"/>
    <w:rsid w:val="001C1B07"/>
    <w:rsid w:val="001C2681"/>
    <w:rsid w:val="002024EE"/>
    <w:rsid w:val="002A3736"/>
    <w:rsid w:val="003F23C8"/>
    <w:rsid w:val="00445D19"/>
    <w:rsid w:val="005660DA"/>
    <w:rsid w:val="005E304B"/>
    <w:rsid w:val="00726C21"/>
    <w:rsid w:val="007E58D0"/>
    <w:rsid w:val="008E6C4F"/>
    <w:rsid w:val="009044A8"/>
    <w:rsid w:val="00A23D13"/>
    <w:rsid w:val="00B37A7C"/>
    <w:rsid w:val="00B40A77"/>
    <w:rsid w:val="00BC5DF3"/>
    <w:rsid w:val="00D22826"/>
    <w:rsid w:val="00F201A7"/>
    <w:rsid w:val="00FD2E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0BAF9F"/>
  <w15:docId w15:val="{925E4C9C-B2F1-4592-ADAB-FA6AE4014C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222222"/>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60"/>
      <w:outlineLvl w:val="0"/>
    </w:pPr>
    <w:rPr>
      <w:b/>
      <w:bCs/>
      <w:color w:val="1F3864"/>
      <w:sz w:val="28"/>
      <w:szCs w:val="28"/>
    </w:rPr>
  </w:style>
  <w:style w:type="paragraph" w:styleId="Heading2">
    <w:name w:val="heading 2"/>
    <w:uiPriority w:val="9"/>
    <w:unhideWhenUsed/>
    <w:qFormat/>
    <w:pPr>
      <w:spacing w:before="200" w:after="120"/>
      <w:outlineLvl w:val="1"/>
    </w:pPr>
    <w:rPr>
      <w:b/>
      <w:bCs/>
      <w:color w:val="2E75B6"/>
      <w:sz w:val="24"/>
      <w:szCs w:val="24"/>
    </w:rPr>
  </w:style>
  <w:style w:type="paragraph" w:styleId="Heading3">
    <w:name w:val="heading 3"/>
    <w:uiPriority w:val="9"/>
    <w:semiHidden/>
    <w:unhideWhenUsed/>
    <w:qFormat/>
    <w:pPr>
      <w:spacing w:before="160" w:after="80"/>
      <w:outlineLvl w:val="2"/>
    </w:pPr>
    <w:rPr>
      <w:b/>
      <w:bCs/>
      <w:color w:val="2E75B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26C21"/>
    <w:pPr>
      <w:tabs>
        <w:tab w:val="center" w:pos="4680"/>
        <w:tab w:val="right" w:pos="9360"/>
      </w:tabs>
    </w:pPr>
  </w:style>
  <w:style w:type="character" w:customStyle="1" w:styleId="HeaderChar">
    <w:name w:val="Header Char"/>
    <w:basedOn w:val="DefaultParagraphFont"/>
    <w:link w:val="Header"/>
    <w:uiPriority w:val="99"/>
    <w:rsid w:val="00726C21"/>
  </w:style>
  <w:style w:type="paragraph" w:styleId="Footer">
    <w:name w:val="footer"/>
    <w:basedOn w:val="Normal"/>
    <w:link w:val="FooterChar"/>
    <w:uiPriority w:val="99"/>
    <w:unhideWhenUsed/>
    <w:rsid w:val="00726C21"/>
    <w:pPr>
      <w:tabs>
        <w:tab w:val="center" w:pos="4680"/>
        <w:tab w:val="right" w:pos="9360"/>
      </w:tabs>
    </w:pPr>
  </w:style>
  <w:style w:type="character" w:customStyle="1" w:styleId="FooterChar">
    <w:name w:val="Footer Char"/>
    <w:basedOn w:val="DefaultParagraphFont"/>
    <w:link w:val="Footer"/>
    <w:uiPriority w:val="99"/>
    <w:rsid w:val="00726C21"/>
  </w:style>
  <w:style w:type="character" w:styleId="UnresolvedMention">
    <w:name w:val="Unresolved Mention"/>
    <w:basedOn w:val="DefaultParagraphFont"/>
    <w:uiPriority w:val="99"/>
    <w:semiHidden/>
    <w:unhideWhenUsed/>
    <w:rsid w:val="002024EE"/>
    <w:rPr>
      <w:color w:val="605E5C"/>
      <w:shd w:val="clear" w:color="auto" w:fill="E1DFDD"/>
    </w:rPr>
  </w:style>
  <w:style w:type="character" w:styleId="FollowedHyperlink">
    <w:name w:val="FollowedHyperlink"/>
    <w:basedOn w:val="DefaultParagraphFont"/>
    <w:uiPriority w:val="99"/>
    <w:semiHidden/>
    <w:unhideWhenUsed/>
    <w:rsid w:val="002024E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94534705">
      <w:bodyDiv w:val="1"/>
      <w:marLeft w:val="0"/>
      <w:marRight w:val="0"/>
      <w:marTop w:val="0"/>
      <w:marBottom w:val="0"/>
      <w:divBdr>
        <w:top w:val="none" w:sz="0" w:space="0" w:color="auto"/>
        <w:left w:val="none" w:sz="0" w:space="0" w:color="auto"/>
        <w:bottom w:val="none" w:sz="0" w:space="0" w:color="auto"/>
        <w:right w:val="none" w:sz="0" w:space="0" w:color="auto"/>
      </w:divBdr>
    </w:div>
    <w:div w:id="214639096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cisa.gov/sites/default/files/2023-04/CISA_Zero_Trust_Maturity_Model_Version_2_508c.pdf"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nvlpubs.nist.gov/nistpubs/specialpublications/NIST.SP.800-207.pdf" TargetMode="External"/><Relationship Id="rId12" Type="http://schemas.openxmlformats.org/officeDocument/2006/relationships/hyperlink" Target="https://link.springer.com/article/10.1007/s44354-026-00023-4"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journals.sagepub.com/doi/abs/10.1177/0926227X251409922"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ieeexplore.ieee.org/abstract/document/11337489/" TargetMode="External"/><Relationship Id="rId4" Type="http://schemas.openxmlformats.org/officeDocument/2006/relationships/webSettings" Target="webSettings.xml"/><Relationship Id="rId9" Type="http://schemas.openxmlformats.org/officeDocument/2006/relationships/hyperlink" Target="https://dodcio.defense.gov/Portals/0/Documents/Library/(U)ZT_RA_v2.0(U)_Sep22.pdf"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7</Pages>
  <Words>2831</Words>
  <Characters>16141</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MD Tanvir Rahman</cp:lastModifiedBy>
  <cp:revision>4</cp:revision>
  <cp:lastPrinted>2026-05-02T15:48:00Z</cp:lastPrinted>
  <dcterms:created xsi:type="dcterms:W3CDTF">2026-05-02T15:42:00Z</dcterms:created>
  <dcterms:modified xsi:type="dcterms:W3CDTF">2026-05-02T15:50:00Z</dcterms:modified>
</cp:coreProperties>
</file>