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bidi/>
        <w:spacing w:after="140" w:before="240"/>
        <w:jc w:val="right"/>
      </w:pPr>
      <w:r>
        <w:rPr>
          <w:rFonts w:ascii="Traditional Arabic" w:cs="Traditional Arabic" w:eastAsia="Traditional Arabic" w:hAnsi="Traditional Arabic"/>
          <w:b/>
          <w:bCs/>
          <w:sz w:val="32"/>
          <w:szCs w:val="32"/>
          <w:rtl/>
        </w:rPr>
        <w:t xml:space="preserve">المطلب الأول: ازدواجية العقد بين المحكمة والمسجد</w:t>
      </w:r>
    </w:p>
    <w:p>
      <w:pPr>
        <w:pStyle w:val="Heading2"/>
        <w:bidi/>
        <w:spacing w:after="140" w:before="240"/>
        <w:jc w:val="right"/>
      </w:pPr>
      <w:r>
        <w:rPr>
          <w:rFonts w:ascii="Traditional Arabic" w:cs="Traditional Arabic" w:eastAsia="Traditional Arabic" w:hAnsi="Traditional Arabic"/>
          <w:b/>
          <w:bCs/>
          <w:sz w:val="30"/>
          <w:szCs w:val="30"/>
          <w:rtl/>
        </w:rPr>
        <w:t xml:space="preserve">أولًا: صورة الإشكالية</w:t>
      </w:r>
    </w:p>
    <w:p>
      <w:pPr>
        <w:bidi/>
        <w:spacing w:after="140" w:line="340"/>
        <w:jc w:val="both"/>
      </w:pPr>
      <w:r>
        <w:rPr>
          <w:rFonts w:ascii="Traditional Arabic" w:cs="Traditional Arabic" w:eastAsia="Traditional Arabic" w:hAnsi="Traditional Arabic"/>
          <w:sz w:val="28"/>
          <w:szCs w:val="28"/>
          <w:rtl/>
        </w:rPr>
        <w:t xml:space="preserve">يجري الزواج عند المسلمين في الأرجنتين في عقدين لا يعترف أحدهما بالآخر. فالقانون الأرجنتيني لا يعرف إلا الزواج المعقود أمام موظف سجل الحالة المدنية، ولا يرتّب على العقد الديني وحده أثرًا مدنيًّا. وينظر الفقهاء المعاصرون إلى العقد المدني وحده نظرًا مختلفًا، لما فيه من خلوّ من الولي، واكتفاء بشاهد غير مسلم، وإغفال للمهر والصيغة الشرعية. فمن الأزواج من يكتفي بعقد المسجد، فيبقى زواجه بلا وجود قانوني؛ ومنهم من يكتفي بالعقد المدني، فيبقى زواجه موضع نظر شرعي. وقد رصد الباحث هاتين الممارستين في بحثه للمؤتمر، وذكر أن بعض المراكز الإسلامية تشترط إبراز محضر الزواج المدني قبل إجراء العقد الشرعي.</w:t>
      </w:r>
      <w:r>
        <w:rPr>
          <w:rStyle w:val="FootnoteReference"/>
        </w:rPr>
        <w:footnoteReference w:id="1"/>
      </w:r>
    </w:p>
    <w:p>
      <w:pPr>
        <w:bidi/>
        <w:spacing w:after="140" w:line="340"/>
        <w:jc w:val="both"/>
      </w:pPr>
      <w:r>
        <w:rPr>
          <w:rFonts w:ascii="Traditional Arabic" w:cs="Traditional Arabic" w:eastAsia="Traditional Arabic" w:hAnsi="Traditional Arabic"/>
          <w:sz w:val="28"/>
          <w:szCs w:val="28"/>
          <w:rtl/>
        </w:rPr>
        <w:t xml:space="preserve">وتنحصر الإشكالية في ثلاثة أسئلة: ما حكم العقد المدني وحده في الشريعة؟ وما حكم العقد الشرعي غير الموثق مدنيًّا؟ وما الأثر القانوني لكل منهما، وكيف يُجمع بين العقدين دون تعارض؟</w:t>
      </w:r>
    </w:p>
    <w:p>
      <w:pPr>
        <w:pStyle w:val="Heading2"/>
        <w:bidi/>
        <w:spacing w:after="140" w:before="240"/>
        <w:jc w:val="right"/>
      </w:pPr>
      <w:r>
        <w:rPr>
          <w:rFonts w:ascii="Traditional Arabic" w:cs="Traditional Arabic" w:eastAsia="Traditional Arabic" w:hAnsi="Traditional Arabic"/>
          <w:b/>
          <w:bCs/>
          <w:sz w:val="30"/>
          <w:szCs w:val="30"/>
          <w:rtl/>
        </w:rPr>
        <w:t xml:space="preserve">ثانيًا: الحكم الشرعي</w:t>
      </w:r>
    </w:p>
    <w:p>
      <w:pPr>
        <w:bidi/>
        <w:spacing w:after="140" w:line="340"/>
        <w:jc w:val="both"/>
      </w:pPr>
      <w:r>
        <w:rPr>
          <w:rFonts w:ascii="Traditional Arabic" w:cs="Traditional Arabic" w:eastAsia="Traditional Arabic" w:hAnsi="Traditional Arabic"/>
          <w:b/>
          <w:bCs/>
          <w:sz w:val="28"/>
          <w:szCs w:val="28"/>
          <w:rtl/>
        </w:rPr>
        <w:t xml:space="preserve">الإشهاد والإعلان. </w:t>
      </w:r>
      <w:r>
        <w:rPr>
          <w:rFonts w:ascii="Traditional Arabic" w:cs="Traditional Arabic" w:eastAsia="Traditional Arabic" w:hAnsi="Traditional Arabic"/>
          <w:sz w:val="28"/>
          <w:szCs w:val="28"/>
          <w:rtl/>
        </w:rPr>
        <w:t xml:space="preserve">اتفق الفقهاء على أن النكاح لا يكون سرًّا، واختلفوا في الوسيلة التي تكفل ذلك. فجمهور الحنفية والشافعية والحنابلة يشترطون الشاهدين عند العقد،</w:t>
      </w:r>
      <w:r>
        <w:rPr>
          <w:rStyle w:val="FootnoteReference"/>
        </w:rPr>
        <w:footnoteReference w:id="2"/>
      </w:r>
      <w:r>
        <w:rPr>
          <w:rFonts w:ascii="Traditional Arabic" w:cs="Traditional Arabic" w:eastAsia="Traditional Arabic" w:hAnsi="Traditional Arabic"/>
          <w:sz w:val="28"/>
          <w:szCs w:val="28"/>
          <w:rtl/>
        </w:rPr>
        <w:t xml:space="preserve"> ويكتفي مالك بالإعلان، فالإشهاد عند المالكية مندوب عند العقد، واجب شرطًا عند الدخول، ويُفسخ نكاح السر المتواصى بكتمانه.</w:t>
      </w:r>
      <w:r>
        <w:rPr>
          <w:rStyle w:val="FootnoteReference"/>
        </w:rPr>
        <w:footnoteReference w:id="3"/>
      </w:r>
      <w:r>
        <w:rPr>
          <w:rFonts w:ascii="Traditional Arabic" w:cs="Traditional Arabic" w:eastAsia="Traditional Arabic" w:hAnsi="Traditional Arabic"/>
          <w:sz w:val="28"/>
          <w:szCs w:val="28"/>
          <w:rtl/>
        </w:rPr>
        <w:t xml:space="preserve"> والعلة المعتبرة صيانة العقد عن الجحود وحفظ النسب، وقد عبّر عنها ابن قدامة بقوله:</w:t>
      </w:r>
    </w:p>
    <w:p>
      <w:pPr>
        <w:bidi/>
        <w:spacing w:after="140" w:line="340"/>
        <w:ind w:left="360" w:right="360"/>
        <w:jc w:val="both"/>
      </w:pPr>
      <w:r>
        <w:rPr>
          <w:rFonts w:ascii="Traditional Arabic" w:cs="Traditional Arabic" w:eastAsia="Traditional Arabic" w:hAnsi="Traditional Arabic"/>
          <w:sz w:val="28"/>
          <w:szCs w:val="28"/>
          <w:rtl/>
        </w:rPr>
        <w:t xml:space="preserve">«ولأنَّه يتعلَّقُ به حَقُّ غيرِ المُتَعاقِدَيْنِ، وهو الوَلَدُ، فاشْتُرِطتِ الشهادةُ فيه، لئلَّا يَجحَدَه أبُوه»</w:t>
      </w:r>
    </w:p>
    <w:p>
      <w:pPr>
        <w:bidi/>
        <w:spacing w:after="140" w:line="340"/>
        <w:jc w:val="both"/>
      </w:pPr>
      <w:r>
        <w:rPr>
          <w:rStyle w:val="FootnoteReference"/>
        </w:rPr>
        <w:footnoteReference w:id="4"/>
      </w:r>
      <w:r>
        <w:rPr>
          <w:rFonts w:ascii="Traditional Arabic" w:cs="Traditional Arabic" w:eastAsia="Traditional Arabic" w:hAnsi="Traditional Arabic"/>
          <w:sz w:val="28"/>
          <w:szCs w:val="28"/>
          <w:rtl/>
        </w:rPr>
        <w:t xml:space="preserve">أما التوثيق الكتابي فلم يذكره المتقدمون ركنًا ولا شرطًا. وقد نبّه ابن تيمية إلى أن الصحابة لم يكونوا يكتبون الصداقات، وإلى أنه قد يقال بوجوب الإشهاد في الأماكن التي يجهل الناس فيها حال بعضهم.</w:t>
      </w:r>
      <w:r>
        <w:rPr>
          <w:rStyle w:val="FootnoteReference"/>
        </w:rPr>
        <w:footnoteReference w:id="5"/>
      </w:r>
    </w:p>
    <w:p>
      <w:pPr>
        <w:bidi/>
        <w:spacing w:after="140" w:line="340"/>
        <w:jc w:val="both"/>
      </w:pPr>
      <w:r>
        <w:rPr>
          <w:rFonts w:ascii="Traditional Arabic" w:cs="Traditional Arabic" w:eastAsia="Traditional Arabic" w:hAnsi="Traditional Arabic"/>
          <w:b/>
          <w:bCs/>
          <w:sz w:val="28"/>
          <w:szCs w:val="28"/>
          <w:rtl/>
        </w:rPr>
        <w:t xml:space="preserve">العقد الشرعي غير الموثق. </w:t>
      </w:r>
      <w:r>
        <w:rPr>
          <w:rFonts w:ascii="Traditional Arabic" w:cs="Traditional Arabic" w:eastAsia="Traditional Arabic" w:hAnsi="Traditional Arabic"/>
          <w:sz w:val="28"/>
          <w:szCs w:val="28"/>
          <w:rtl/>
        </w:rPr>
        <w:t xml:space="preserve">يصح العقد إذا استوفى أركانه، والخلاف المعاصر في وجوب توثيقه. فالقول الأول أن الكتابة والتسجيل ليسا شرطًا ولا ركنًا، والقول الثاني أن العقد صحيح مع وجوب التوثيق ويأثم من تركه. ورجّح السبيعي الثاني، وبنى الوجوب على طاعة ولي الأمر وعلى مصلحة حفظ الحقوق.</w:t>
      </w:r>
      <w:r>
        <w:rPr>
          <w:rStyle w:val="FootnoteReference"/>
        </w:rPr>
        <w:footnoteReference w:id="6"/>
      </w:r>
      <w:r>
        <w:rPr>
          <w:rFonts w:ascii="Traditional Arabic" w:cs="Traditional Arabic" w:eastAsia="Traditional Arabic" w:hAnsi="Traditional Arabic"/>
          <w:sz w:val="28"/>
          <w:szCs w:val="28"/>
          <w:rtl/>
        </w:rPr>
        <w:t xml:space="preserve"> وأساس الطاعة يحتاج تكييفًا إذا كان الحاكم غير مسلم، فيُستند حينئذ إلى حفظ الحقوق وقاعدة أن الوسائل لها أحكام المقاصد، كما في بحث الباحث.</w:t>
      </w:r>
    </w:p>
    <w:p>
      <w:pPr>
        <w:bidi/>
        <w:spacing w:after="140" w:line="340"/>
        <w:jc w:val="both"/>
      </w:pPr>
      <w:r>
        <w:rPr>
          <w:rFonts w:ascii="Traditional Arabic" w:cs="Traditional Arabic" w:eastAsia="Traditional Arabic" w:hAnsi="Traditional Arabic"/>
          <w:b/>
          <w:bCs/>
          <w:sz w:val="28"/>
          <w:szCs w:val="28"/>
          <w:rtl/>
        </w:rPr>
        <w:t xml:space="preserve">العقد المدني وحده. </w:t>
      </w:r>
      <w:r>
        <w:rPr>
          <w:rFonts w:ascii="Traditional Arabic" w:cs="Traditional Arabic" w:eastAsia="Traditional Arabic" w:hAnsi="Traditional Arabic"/>
          <w:sz w:val="28"/>
          <w:szCs w:val="28"/>
          <w:rtl/>
        </w:rPr>
        <w:t xml:space="preserve">يقطع محمد يسري إبراهيم بأن الزواج المدني الذي تتولاه المحاكم خارج ديار الإسلام لا ينعقد به نكاح شرعًا، لاجتماع مخالفات فيه: خلوّه من الولي، واكتفاؤه بشاهد غير مسلم، وخلوّه من المهر، وعدم تضمنه لفظ الإيجاب والقبول الشرعي؛ وأن التوثيق لا صلة له بصحة العقد، فمن احتاج إليه أجرى بعده عقدًا بصيغة شرعية.</w:t>
      </w:r>
      <w:r>
        <w:rPr>
          <w:rStyle w:val="FootnoteReference"/>
        </w:rPr>
        <w:footnoteReference w:id="7"/>
      </w:r>
      <w:r>
        <w:rPr>
          <w:rFonts w:ascii="Traditional Arabic" w:cs="Traditional Arabic" w:eastAsia="Traditional Arabic" w:hAnsi="Traditional Arabic"/>
          <w:sz w:val="28"/>
          <w:szCs w:val="28"/>
          <w:rtl/>
        </w:rPr>
        <w:t xml:space="preserve"> وفي مقابله ذهب مجمع فقهاء الشريعة بأمريكا (كوبنهاغن 2004) إلى أن العقد المدني الذي تحقق له الإشهار وخلا من موانع الزواج تترتب عليه الآثار لما فيه من الشبهة، لكن يجب إعادته في الإطار الإسلامي.</w:t>
      </w:r>
      <w:r>
        <w:rPr>
          <w:rStyle w:val="FootnoteReference"/>
        </w:rPr>
        <w:footnoteReference w:id="8"/>
      </w:r>
    </w:p>
    <w:p>
      <w:pPr>
        <w:pStyle w:val="Heading2"/>
        <w:bidi/>
        <w:spacing w:after="140" w:before="240"/>
        <w:jc w:val="right"/>
      </w:pPr>
      <w:r>
        <w:rPr>
          <w:rFonts w:ascii="Traditional Arabic" w:cs="Traditional Arabic" w:eastAsia="Traditional Arabic" w:hAnsi="Traditional Arabic"/>
          <w:b/>
          <w:bCs/>
          <w:sz w:val="30"/>
          <w:szCs w:val="30"/>
          <w:rtl/>
        </w:rPr>
        <w:t xml:space="preserve">ثالثًا: الحكم القانوني الأرجنتيني</w:t>
      </w:r>
    </w:p>
    <w:p>
      <w:pPr>
        <w:bidi/>
        <w:spacing w:after="140" w:line="340"/>
        <w:jc w:val="both"/>
      </w:pPr>
      <w:r>
        <w:rPr>
          <w:rFonts w:ascii="Traditional Arabic" w:cs="Traditional Arabic" w:eastAsia="Traditional Arabic" w:hAnsi="Traditional Arabic"/>
          <w:sz w:val="28"/>
          <w:szCs w:val="28"/>
          <w:rtl/>
        </w:rPr>
        <w:t xml:space="preserve">تقرر المادة 406 أن وجود الزواج يشترط له رضا العاقدين معبَّرًا عنه أمام السلطة المختصة، وأن ما فقد ذلك «لا يرتّب آثارًا مدنية»:</w:t>
      </w:r>
      <w:r>
        <w:rPr>
          <w:rStyle w:val="FootnoteReference"/>
        </w:rPr>
        <w:footnoteReference w:id="9"/>
      </w:r>
    </w:p>
    <w:p>
      <w:pPr>
        <w:spacing w:after="100"/>
        <w:ind w:left="360" w:right="360"/>
        <w:jc w:val="left"/>
      </w:pPr>
      <w:r>
        <w:rPr>
          <w:rFonts w:ascii="Times New Roman" w:cs="Times New Roman" w:eastAsia="Times New Roman" w:hAnsi="Times New Roman"/>
          <w:i/>
          <w:iCs/>
          <w:sz w:val="24"/>
          <w:szCs w:val="24"/>
        </w:rPr>
        <w:t xml:space="preserve">«Para la existencia del matrimonio es indispensable el consentimiento de ambos contrayentes expresado personal y conjuntamente ante la autoridad competente para celebrarlo… El acto que carece de este requisito no produce efectos civiles.» (CCyC, art. 406)</w:t>
      </w:r>
    </w:p>
    <w:p>
      <w:pPr>
        <w:bidi/>
        <w:spacing w:after="140" w:line="340"/>
        <w:ind w:left="360" w:right="360"/>
        <w:jc w:val="both"/>
      </w:pPr>
      <w:r>
        <w:rPr>
          <w:rFonts w:ascii="Traditional Arabic" w:cs="Traditional Arabic" w:eastAsia="Traditional Arabic" w:hAnsi="Traditional Arabic"/>
          <w:sz w:val="28"/>
          <w:szCs w:val="28"/>
          <w:rtl/>
        </w:rPr>
        <w:t xml:space="preserve">«يُشترط لوجود الزواج رضا كلا العاقدين، معبَّرًا عنه بشخصيهما ومجتمعَين أمام السلطة المختصة بإبرامه… والتصرف الذي يخلو من هذا الشرط لا يرتّب آثارًا مدنية.»</w:t>
      </w:r>
    </w:p>
    <w:p>
      <w:pPr>
        <w:bidi/>
        <w:spacing w:after="140" w:line="340"/>
        <w:jc w:val="both"/>
      </w:pPr>
      <w:r>
        <w:rPr>
          <w:rFonts w:ascii="Traditional Arabic" w:cs="Traditional Arabic" w:eastAsia="Traditional Arabic" w:hAnsi="Traditional Arabic"/>
          <w:sz w:val="28"/>
          <w:szCs w:val="28"/>
          <w:rtl/>
        </w:rPr>
        <w:t xml:space="preserve">وتقرر الشارحة أن فقد هذه الشروط ينتهي إلى انعدام التصرف لا إلى بطلانه، وأنه لا زواج إذا أُعطي الرضا أمام سلطة دينية فقط:</w:t>
      </w:r>
      <w:r>
        <w:rPr>
          <w:rStyle w:val="FootnoteReference"/>
        </w:rPr>
        <w:footnoteReference w:id="10"/>
      </w:r>
    </w:p>
    <w:p>
      <w:pPr>
        <w:spacing w:after="100"/>
        <w:ind w:left="360" w:right="360"/>
        <w:jc w:val="left"/>
      </w:pPr>
      <w:r>
        <w:rPr>
          <w:rFonts w:ascii="Times New Roman" w:cs="Times New Roman" w:eastAsia="Times New Roman" w:hAnsi="Times New Roman"/>
          <w:i/>
          <w:iCs/>
          <w:sz w:val="24"/>
          <w:szCs w:val="24"/>
        </w:rPr>
        <w:t xml:space="preserve">«no existe matrimonio si el consentimiento ha sido dado solo ante autoridad religiosa, funcionarios consulares o escribano público.»</w:t>
      </w:r>
    </w:p>
    <w:p>
      <w:pPr>
        <w:bidi/>
        <w:spacing w:after="140" w:line="340"/>
        <w:ind w:left="360" w:right="360"/>
        <w:jc w:val="both"/>
      </w:pPr>
      <w:r>
        <w:rPr>
          <w:rFonts w:ascii="Traditional Arabic" w:cs="Traditional Arabic" w:eastAsia="Traditional Arabic" w:hAnsi="Traditional Arabic"/>
          <w:sz w:val="28"/>
          <w:szCs w:val="28"/>
          <w:rtl/>
        </w:rPr>
        <w:t xml:space="preserve">«لا يوجد زواج إذا أُعطي الرضا أمام سلطة دينية فقط، أو موظفين قنصليين، أو كاتب عدل.»</w:t>
      </w:r>
    </w:p>
    <w:p>
      <w:pPr>
        <w:bidi/>
        <w:spacing w:after="140" w:line="340"/>
        <w:jc w:val="both"/>
      </w:pPr>
      <w:r>
        <w:rPr>
          <w:rFonts w:ascii="Traditional Arabic" w:cs="Traditional Arabic" w:eastAsia="Traditional Arabic" w:hAnsi="Traditional Arabic"/>
          <w:sz w:val="28"/>
          <w:szCs w:val="28"/>
          <w:rtl/>
        </w:rPr>
        <w:t xml:space="preserve">وتشترط المادة 418 العلنية وحضور شاهدين، وأربعة إذا عُقد خارج المكتب، ولا يُشترط في الشاهدين دين ولا ذكورة. ولا يُقيَّد في سجل الزواج إلا ما عُقد أمام السلطة المختصة أو أمر بقيده قاضٍ،</w:t>
      </w:r>
      <w:r>
        <w:rPr>
          <w:rStyle w:val="FootnoteReference"/>
        </w:rPr>
        <w:footnoteReference w:id="11"/>
      </w:r>
      <w:r>
        <w:rPr>
          <w:rFonts w:ascii="Traditional Arabic" w:cs="Traditional Arabic" w:eastAsia="Traditional Arabic" w:hAnsi="Traditional Arabic"/>
          <w:sz w:val="28"/>
          <w:szCs w:val="28"/>
          <w:rtl/>
        </w:rPr>
        <w:t xml:space="preserve"> فلا سبيل إلى قيد العقد المسجدي بذاته. وحيازة الحالة (شهرة الزوجين زوجين) لا تكفي وحدها لإثبات الزواج (المادة 423).</w:t>
      </w:r>
    </w:p>
    <w:p>
      <w:pPr>
        <w:bidi/>
        <w:spacing w:after="140" w:line="340"/>
        <w:jc w:val="both"/>
      </w:pPr>
      <w:r>
        <w:rPr>
          <w:rFonts w:ascii="Traditional Arabic" w:cs="Traditional Arabic" w:eastAsia="Traditional Arabic" w:hAnsi="Traditional Arabic"/>
          <w:sz w:val="28"/>
          <w:szCs w:val="28"/>
          <w:rtl/>
        </w:rPr>
        <w:t xml:space="preserve">وأقصى ما يستوعب الزوجين بعقد مسجدي وحده الاتحاد المعيشي (المادتان 509–510)، وشرطه استمرار المساكنة سنتين وانتفاء مانع الرابطة الزوجية، وأثره محدود: فالأموال المكتسبة تبقى في ذمة من اكتسبها عند عدم الاتفاق (المادة 528)، وحق السكنى للباقي منهما سنتان فقط (المادة 527)، ولا يرث إلا «الزوج» (المادة 2424). ولم يُعثر في مجلد الأحكام المحلي على حكم أرجنتيني في أثر العقد الديني وحده.</w:t>
      </w:r>
      <w:r>
        <w:rPr>
          <w:rStyle w:val="FootnoteReference"/>
        </w:rPr>
        <w:footnoteReference w:id="12"/>
      </w:r>
    </w:p>
    <w:p>
      <w:pPr>
        <w:pStyle w:val="Heading2"/>
        <w:bidi/>
        <w:spacing w:after="140" w:before="240"/>
        <w:jc w:val="right"/>
      </w:pPr>
      <w:r>
        <w:rPr>
          <w:rFonts w:ascii="Traditional Arabic" w:cs="Traditional Arabic" w:eastAsia="Traditional Arabic" w:hAnsi="Traditional Arabic"/>
          <w:b/>
          <w:bCs/>
          <w:sz w:val="30"/>
          <w:szCs w:val="30"/>
          <w:rtl/>
        </w:rPr>
        <w:t xml:space="preserve">رابعًا: المقارنة والحلول الموجزة</w:t>
      </w:r>
    </w:p>
    <w:p>
      <w:pPr>
        <w:bidi/>
        <w:spacing w:after="140" w:line="340"/>
        <w:jc w:val="both"/>
      </w:pPr>
      <w:r>
        <w:rPr>
          <w:rFonts w:ascii="Traditional Arabic" w:cs="Traditional Arabic" w:eastAsia="Traditional Arabic" w:hAnsi="Traditional Arabic"/>
          <w:b/>
          <w:bCs/>
          <w:sz w:val="28"/>
          <w:szCs w:val="28"/>
          <w:rtl/>
        </w:rPr>
        <w:t xml:space="preserve">المقارنة. </w:t>
      </w:r>
      <w:r>
        <w:rPr>
          <w:rFonts w:ascii="Traditional Arabic" w:cs="Traditional Arabic" w:eastAsia="Traditional Arabic" w:hAnsi="Traditional Arabic"/>
          <w:sz w:val="28"/>
          <w:szCs w:val="28"/>
          <w:rtl/>
        </w:rPr>
        <w:t xml:space="preserve">يتفق الفقه والقانون على أن النكاح لا يكون سرًّا، وعلى أن العلة صيانة العقد من الجحود وحفظ النسب. ويفترقان في ثلاثة مواضع: الأول أن القانون يجعل حضور الموظف العام شرط وجود، والفقه لا يجعل التوثيق شرط صحة، فالعقد المسجدي صحيح شرعًا منعدم قانونًا. والثاني أن العقد المدني وحده صحيح قانونًا، مختلف فيه شرعًا بين من يقطع بعدم انعقاده ومن يرتّب عليه آثار الشبهة. والثالث أن شاهدي القانون لا يُشترط إسلامهما، بخلاف المذاهب الأربعة في نكاح المسلمة.</w:t>
      </w:r>
    </w:p>
    <w:p>
      <w:pPr>
        <w:bidi/>
        <w:spacing w:after="140" w:line="340"/>
        <w:jc w:val="both"/>
      </w:pPr>
      <w:r>
        <w:rPr>
          <w:rFonts w:ascii="Traditional Arabic" w:cs="Traditional Arabic" w:eastAsia="Traditional Arabic" w:hAnsi="Traditional Arabic"/>
          <w:b/>
          <w:bCs/>
          <w:sz w:val="28"/>
          <w:szCs w:val="28"/>
          <w:rtl/>
        </w:rPr>
        <w:t xml:space="preserve">الحلول. </w:t>
      </w:r>
      <w:r>
        <w:rPr>
          <w:rFonts w:ascii="Traditional Arabic" w:cs="Traditional Arabic" w:eastAsia="Traditional Arabic" w:hAnsi="Traditional Arabic"/>
          <w:sz w:val="28"/>
          <w:szCs w:val="28"/>
          <w:rtl/>
        </w:rPr>
        <w:t xml:space="preserve">أولها العقد المزدوج في مجلس واحد، لأن المادة 418 تجيز الزواج المدني خارج المكتب بأربعة شهود دون اشتراط تعذر الحضور، فيمكن أن يحضر الموظف إلى المسجد ويُجرى العقدان معًا، مع اختيار شاهدين مسلمين وإجراء الإيجاب والقبول الشرعيين بحضور الولي. وثانيها تقديم العقد المدني ثم إجراء العقد الشرعي عقبه مباشرة، حتى لا تُعاشَر الزوجة بعقد مدني وحده. وثالثها حماية من عُقد لها في المسجد وحده باتفاق مكتوب في الأموال والسكن، ووصية في حدود ما يجيزه القانون. ورابعها بروتوكول موحد تلتزمه المراكز الإسلامية. وتفصيل ذلك كله في الفصل الخامس.</w:t>
      </w:r>
      <w:r>
        <w:rPr>
          <w:rStyle w:val="FootnoteReference"/>
        </w:rPr>
        <w:footnoteReference w:id="13"/>
      </w:r>
    </w:p>
    <w:p>
      <w:r>
        <w:br w:type="page"/>
      </w:r>
    </w:p>
    <w:p>
      <w:pPr>
        <w:pStyle w:val="Heading1"/>
        <w:bidi/>
        <w:spacing w:after="140" w:before="240"/>
        <w:jc w:val="right"/>
      </w:pPr>
      <w:r>
        <w:rPr>
          <w:rFonts w:ascii="Traditional Arabic" w:cs="Traditional Arabic" w:eastAsia="Traditional Arabic" w:hAnsi="Traditional Arabic"/>
          <w:b/>
          <w:bCs/>
          <w:sz w:val="32"/>
          <w:szCs w:val="32"/>
          <w:rtl/>
        </w:rPr>
        <w:t xml:space="preserve">ملحق للمراجعة (ليس من المتن)</w:t>
      </w:r>
    </w:p>
    <w:p>
      <w:pPr>
        <w:bidi/>
        <w:spacing w:after="140" w:line="340"/>
        <w:jc w:val="both"/>
      </w:pPr>
      <w:r>
        <w:rPr>
          <w:rFonts w:ascii="Traditional Arabic" w:cs="Traditional Arabic" w:eastAsia="Traditional Arabic" w:hAnsi="Traditional Arabic"/>
          <w:sz w:val="28"/>
          <w:szCs w:val="28"/>
          <w:rtl/>
        </w:rPr>
        <w:t xml:space="preserve">• قرار الباحث المعلّق: هل يعتمد في العقد المدني وحده قول يسري إبراهيم (لا ينعقد) أم قرار المجمع (شبهة توجب الإعادة)؟ عُرض القولان بلا ترجيح.</w:t>
      </w:r>
    </w:p>
    <w:p>
      <w:pPr>
        <w:bidi/>
        <w:spacing w:after="140" w:line="340"/>
        <w:jc w:val="both"/>
      </w:pPr>
      <w:r>
        <w:rPr>
          <w:rFonts w:ascii="Traditional Arabic" w:cs="Traditional Arabic" w:eastAsia="Traditional Arabic" w:hAnsi="Traditional Arabic"/>
          <w:sz w:val="28"/>
          <w:szCs w:val="28"/>
          <w:rtl/>
        </w:rPr>
        <w:t xml:space="preserve">• لم يُدخل في المتن، لأنه منقول بواسطة خبر لم يُقرأ نصه: حكم محكمة فوز دو إيغواسو (البرازيل)، وحكم Akhter v Khan (إنجلترا 2020)، ونسبة المؤتمر السادس (2009) في إيجاب التوثيق.</w:t>
      </w:r>
    </w:p>
    <w:p>
      <w:pPr>
        <w:bidi/>
        <w:spacing w:after="140" w:line="340"/>
        <w:jc w:val="both"/>
      </w:pPr>
      <w:r>
        <w:rPr>
          <w:rFonts w:ascii="Traditional Arabic" w:cs="Traditional Arabic" w:eastAsia="Traditional Arabic" w:hAnsi="Traditional Arabic"/>
          <w:sz w:val="28"/>
          <w:szCs w:val="28"/>
          <w:rtl/>
        </w:rPr>
        <w:t xml:space="preserve">• ترجمات المواد 406 و509 و510 و2424 من المرجع الموحد؛ وترجمة نصوص Herrera أولية.</w:t>
      </w:r>
    </w:p>
    <w:p>
      <w:pPr>
        <w:bidi/>
        <w:spacing w:after="140" w:line="340"/>
        <w:jc w:val="both"/>
      </w:pPr>
      <w:r>
        <w:rPr>
          <w:rFonts w:ascii="Traditional Arabic" w:cs="Traditional Arabic" w:eastAsia="Traditional Arabic" w:hAnsi="Traditional Arabic"/>
          <w:sz w:val="28"/>
          <w:szCs w:val="28"/>
          <w:rtl/>
        </w:rPr>
        <w:t xml:space="preserve">• المادة 423 ذُكرت بالمعنى، ونصها في ملف المشروع (ز1)، ولم تُنقل بعد إلى المرجع الموحد.</w:t>
      </w:r>
    </w:p>
    <w:p>
      <w:pPr>
        <w:bidi/>
        <w:spacing w:after="140" w:line="340"/>
        <w:jc w:val="both"/>
      </w:pPr>
      <w:r>
        <w:rPr>
          <w:rFonts w:ascii="Traditional Arabic" w:cs="Traditional Arabic" w:eastAsia="Traditional Arabic" w:hAnsi="Traditional Arabic"/>
          <w:sz w:val="28"/>
          <w:szCs w:val="28"/>
          <w:rtl/>
        </w:rPr>
        <w:t xml:space="preserve">• الصفحات منقولة من الشاملة ومطبوعة بحسب ما أفاد الملف؛ ولم تُطابق طبعة المغني (دار عالم الكتب 1997) بعد.</w:t>
      </w:r>
    </w:p>
    <w:p>
      <w:pPr>
        <w:bidi/>
        <w:spacing w:after="140" w:line="340"/>
        <w:jc w:val="both"/>
      </w:pPr>
      <w:r>
        <w:rPr>
          <w:rFonts w:ascii="Traditional Arabic" w:cs="Traditional Arabic" w:eastAsia="Traditional Arabic" w:hAnsi="Traditional Arabic"/>
          <w:sz w:val="28"/>
          <w:szCs w:val="28"/>
          <w:rtl/>
        </w:rPr>
        <w:t xml:space="preserve">• عدد كلمات المتن قبل الحواشي: يُذكر في رد الخط.</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jc w:val="both"/>
      </w:pPr>
      <w:r>
        <w:rPr>
          <w:rStyle w:val="FootnoteReference"/>
        </w:rPr>
        <w:footnoteRef/>
      </w:r>
      <w:r>
        <w:rPr>
          <w:rFonts w:ascii="Traditional Arabic" w:cs="Traditional Arabic" w:eastAsia="Traditional Arabic" w:hAnsi="Traditional Arabic"/>
          <w:sz w:val="24"/>
          <w:szCs w:val="24"/>
          <w:rtl/>
        </w:rPr>
        <w:t xml:space="preserve">محمد زاهر النجار، «الزواج غير الموثق في الأرجنتين»، بحث مقدَّم إلى مؤتمر (مسودة الباحث، ملف «المستل_الزواج_غير_الموثق_الأرجنتين.docx»). [يحتاج تحققًا: بيانات المؤتمر ورقم الصفحة].</w:t>
      </w:r>
    </w:p>
  </w:footnote>
  <w:footnote w:id="2">
    <w:p>
      <w:pPr>
        <w:bidi/>
        <w:jc w:val="both"/>
      </w:pPr>
      <w:r>
        <w:rPr>
          <w:rStyle w:val="FootnoteReference"/>
        </w:rPr>
        <w:footnoteRef/>
      </w:r>
      <w:r>
        <w:rPr>
          <w:rFonts w:ascii="Traditional Arabic" w:cs="Traditional Arabic" w:eastAsia="Traditional Arabic" w:hAnsi="Traditional Arabic"/>
          <w:sz w:val="24"/>
          <w:szCs w:val="24"/>
          <w:rtl/>
        </w:rPr>
        <w:t xml:space="preserve">المرغيناني، الهداية في شرح بداية المبتدي، 1/185 (بيانات الطبعة غير متوفرة في الشاملة؛ https://shamela.ws/book/11820/254). الخطيب الشربيني، مغني المحتاج إلى معرفة معاني ألفاظ المنهاج، 4/234 (https://shamela.ws/book/11444/1895). ابن قدامة، المغني، تحقيق التركي، 9/347 (https://shamela.ws/book/6910/4730)؛ وطبعة دار عالم الكتب 1997 المعتمدة في الرسالة لم تُطابق عليها الصفحات بعد.</w:t>
      </w:r>
    </w:p>
  </w:footnote>
  <w:footnote w:id="3">
    <w:p>
      <w:pPr>
        <w:bidi/>
        <w:jc w:val="both"/>
      </w:pPr>
      <w:r>
        <w:rPr>
          <w:rStyle w:val="FootnoteReference"/>
        </w:rPr>
        <w:footnoteRef/>
      </w:r>
      <w:r>
        <w:rPr>
          <w:rFonts w:ascii="Traditional Arabic" w:cs="Traditional Arabic" w:eastAsia="Traditional Arabic" w:hAnsi="Traditional Arabic"/>
          <w:sz w:val="24"/>
          <w:szCs w:val="24"/>
          <w:rtl/>
        </w:rPr>
        <w:t xml:space="preserve">الدردير، الشرح الكبير (بحاشية الدسوقي)، 2/216، و2/236–237 (بيانات الطبعة غير متوفرة في الشاملة؛ https://shamela.ws/book/21604/766). والنص المنقول من متن الدردير لا من حاشية الدسوقي.</w:t>
      </w:r>
    </w:p>
  </w:footnote>
  <w:footnote w:id="4">
    <w:p>
      <w:pPr>
        <w:bidi/>
        <w:jc w:val="both"/>
      </w:pPr>
      <w:r>
        <w:rPr>
          <w:rStyle w:val="FootnoteReference"/>
        </w:rPr>
        <w:footnoteRef/>
      </w:r>
      <w:r>
        <w:rPr>
          <w:rFonts w:ascii="Traditional Arabic" w:cs="Traditional Arabic" w:eastAsia="Traditional Arabic" w:hAnsi="Traditional Arabic"/>
          <w:sz w:val="24"/>
          <w:szCs w:val="24"/>
          <w:rtl/>
        </w:rPr>
        <w:t xml:space="preserve">ابن قدامة، المغني، تحقيق التركي، 9/348 (https://shamela.ws/book/6910/4731). حاشية المحقق في الصفحة تخرّج حديثي «لا نكاح إلا بولي مرشد وشاهدي عدل» من الدارقطني والبيهقي، ولا حكم فيها على الحديث.</w:t>
      </w:r>
    </w:p>
  </w:footnote>
  <w:footnote w:id="5">
    <w:p>
      <w:pPr>
        <w:bidi/>
        <w:jc w:val="both"/>
      </w:pPr>
      <w:r>
        <w:rPr>
          <w:rStyle w:val="FootnoteReference"/>
        </w:rPr>
        <w:footnoteRef/>
      </w:r>
      <w:r>
        <w:rPr>
          <w:rFonts w:ascii="Traditional Arabic" w:cs="Traditional Arabic" w:eastAsia="Traditional Arabic" w:hAnsi="Traditional Arabic"/>
          <w:sz w:val="24"/>
          <w:szCs w:val="24"/>
          <w:rtl/>
        </w:rPr>
        <w:t xml:space="preserve">ابن تيمية، مجموع الفتاوى، 32/131 (بيانات الطبعة غير متوفرة في الشاملة؛ https://shamela.ws/book/7289/15733).</w:t>
      </w:r>
    </w:p>
  </w:footnote>
  <w:footnote w:id="6">
    <w:p>
      <w:pPr>
        <w:bidi/>
        <w:jc w:val="both"/>
      </w:pPr>
      <w:r>
        <w:rPr>
          <w:rStyle w:val="FootnoteReference"/>
        </w:rPr>
        <w:footnoteRef/>
      </w:r>
      <w:r>
        <w:rPr>
          <w:rFonts w:ascii="Traditional Arabic" w:cs="Traditional Arabic" w:eastAsia="Traditional Arabic" w:hAnsi="Traditional Arabic"/>
          <w:sz w:val="24"/>
          <w:szCs w:val="24"/>
          <w:rtl/>
        </w:rPr>
        <w:t xml:space="preserve">بدر ناصر السبيعي، المسائل الفقهية المستجدة في النكاح مع بيان ما أخذ به القانون الكويتي، ص162 (القول الأول)، وص164–165 (القول الثاني وأدلته)، وص166 (الترجيح) (بيانات الطبعة غير متوفرة في الشاملة؛ https://shamela.ws/book/16083/159). [يحتاج تحققًا: نقل حاشية الصفحة 162 بحروفها].</w:t>
      </w:r>
    </w:p>
  </w:footnote>
  <w:footnote w:id="7">
    <w:p>
      <w:pPr>
        <w:bidi/>
        <w:jc w:val="both"/>
      </w:pPr>
      <w:r>
        <w:rPr>
          <w:rStyle w:val="FootnoteReference"/>
        </w:rPr>
        <w:footnoteRef/>
      </w:r>
      <w:r>
        <w:rPr>
          <w:rFonts w:ascii="Traditional Arabic" w:cs="Traditional Arabic" w:eastAsia="Traditional Arabic" w:hAnsi="Traditional Arabic"/>
          <w:sz w:val="24"/>
          <w:szCs w:val="24"/>
          <w:rtl/>
        </w:rPr>
        <w:t xml:space="preserve">محمد يسري إبراهيم، فقه النوازل للأقليات المسلمة، 2/991–992 و2/998 (بيانات الطبعة غير متوفرة في الشاملة؛ https://shamela.ws/book/17800/982).</w:t>
      </w:r>
    </w:p>
  </w:footnote>
  <w:footnote w:id="8">
    <w:p>
      <w:pPr>
        <w:bidi/>
        <w:jc w:val="both"/>
      </w:pPr>
      <w:r>
        <w:rPr>
          <w:rStyle w:val="FootnoteReference"/>
        </w:rPr>
        <w:footnoteRef/>
      </w:r>
      <w:r>
        <w:rPr>
          <w:rFonts w:ascii="Traditional Arabic" w:cs="Traditional Arabic" w:eastAsia="Traditional Arabic" w:hAnsi="Traditional Arabic"/>
          <w:sz w:val="24"/>
          <w:szCs w:val="24"/>
          <w:rtl/>
        </w:rPr>
        <w:t xml:space="preserve">مجمع فقهاء الشريعة بأمريكا، المؤتمر السنوي الثاني، كوبنهاغن، 22–25 يونيو 2004، المحور السادس، من صفحة القرارات في موقع المجمع: https://www.amjaonline.org/declaration-articles/decisions-and-recommendations-of-amjas-second-annual-convention-denmark-ar. [يحتاج تحققًا: النص منقول بواسطة تقرير المشروع ولم يُطابق على الصفحة ولا على PDF القرار].</w:t>
      </w:r>
    </w:p>
  </w:footnote>
  <w:footnote w:id="9">
    <w:p>
      <w:pPr>
        <w:bidi/>
        <w:jc w:val="both"/>
      </w:pPr>
      <w:r>
        <w:rPr>
          <w:rStyle w:val="FootnoteReference"/>
        </w:rPr>
        <w:footnoteRef/>
      </w:r>
      <w:r>
        <w:rPr>
          <w:rFonts w:ascii="Traditional Arabic" w:cs="Traditional Arabic" w:eastAsia="Traditional Arabic" w:hAnsi="Traditional Arabic"/>
          <w:sz w:val="24"/>
          <w:szCs w:val="24"/>
          <w:rtl/>
        </w:rPr>
        <w:t xml:space="preserve">ينظر نص القانون المدني والتجاري (القانون 26.994) في موقع InfoLeg الرسمي: http://servicios.infoleg.gob.ar/infolegInternet/anexos/235000-239999/235975/texact.htm، وفي نشرة وزارة العدل (SAIJ، الطبعة الثامنة المحدثة، نوفمبر 2024) بصيغة PDF. والترجمة من «مرجع النصوص القانونية الموحّد» للمشروع.</w:t>
      </w:r>
    </w:p>
  </w:footnote>
  <w:footnote w:id="10">
    <w:p>
      <w:pPr>
        <w:bidi/>
        <w:jc w:val="both"/>
      </w:pPr>
      <w:r>
        <w:rPr>
          <w:rStyle w:val="FootnoteReference"/>
        </w:rPr>
        <w:footnoteRef/>
      </w:r>
      <w:r>
        <w:rPr>
          <w:rFonts w:ascii="Traditional Arabic" w:cs="Traditional Arabic" w:eastAsia="Traditional Arabic" w:hAnsi="Traditional Arabic"/>
          <w:sz w:val="24"/>
          <w:szCs w:val="24"/>
          <w:rtl/>
        </w:rPr>
        <w:t xml:space="preserve">Herrera, Marisa; Caramelo, Gustavo; Picasso, Sebastián (dirs.), Código Civil y Comercial de la Nación Comentado, Buenos Aires, Infojus, 2015, t. II, pp. 13–14 (تعليق Mariel Molina de Juan). والترجمة أولية.</w:t>
      </w:r>
    </w:p>
  </w:footnote>
  <w:footnote w:id="11">
    <w:p>
      <w:pPr>
        <w:bidi/>
        <w:jc w:val="both"/>
      </w:pPr>
      <w:r>
        <w:rPr>
          <w:rStyle w:val="FootnoteReference"/>
        </w:rPr>
        <w:footnoteRef/>
      </w:r>
      <w:r>
        <w:rPr>
          <w:rFonts w:ascii="Traditional Arabic" w:cs="Traditional Arabic" w:eastAsia="Traditional Arabic" w:hAnsi="Traditional Arabic"/>
          <w:sz w:val="24"/>
          <w:szCs w:val="24"/>
          <w:rtl/>
        </w:rPr>
        <w:t xml:space="preserve">Ley 26.413 de Registro del Estado Civil y Capacidad de las Personas, arts. 1 y 51 (InfoLeg 145345). وما زال نصها يحيل إلى مواد القانون المدني الملغى. [يحتاج تحققًا: عدم اشتراط دين الشاهدين في المادة 418 مستنتج من سكوت النص، ويراجع].</w:t>
      </w:r>
    </w:p>
  </w:footnote>
  <w:footnote w:id="12">
    <w:p>
      <w:pPr>
        <w:bidi/>
        <w:jc w:val="both"/>
      </w:pPr>
      <w:r>
        <w:rPr>
          <w:rStyle w:val="FootnoteReference"/>
        </w:rPr>
        <w:footnoteRef/>
      </w:r>
      <w:r>
        <w:rPr>
          <w:rFonts w:ascii="Traditional Arabic" w:cs="Traditional Arabic" w:eastAsia="Traditional Arabic" w:hAnsi="Traditional Arabic"/>
          <w:sz w:val="24"/>
          <w:szCs w:val="24"/>
          <w:rtl/>
        </w:rPr>
        <w:t xml:space="preserve">الترجمة والنص من «00_مشترك/01_النصوص_القانونية.md» (المواد 509، 510، 2424)، وبقية المواد من نشرة SAIJ 2024. وشرح الاتحاد المعيشي: Herrera et al., t. II, pp. 192–195 و223–225. [يحتاج تحققًا: المادتان 527 و528 تُنقلان إلى المرجع الموحد].</w:t>
      </w:r>
    </w:p>
  </w:footnote>
  <w:footnote w:id="13">
    <w:p>
      <w:pPr>
        <w:bidi/>
        <w:jc w:val="both"/>
      </w:pPr>
      <w:r>
        <w:rPr>
          <w:rStyle w:val="FootnoteReference"/>
        </w:rPr>
        <w:footnoteRef/>
      </w:r>
      <w:r>
        <w:rPr>
          <w:rFonts w:ascii="Traditional Arabic" w:cs="Traditional Arabic" w:eastAsia="Traditional Arabic" w:hAnsi="Traditional Arabic"/>
          <w:sz w:val="24"/>
          <w:szCs w:val="24"/>
          <w:rtl/>
        </w:rPr>
        <w:t xml:space="preserve">Herrera et al., t. II, p. 25 (تعليق على المادة 418). [يحتاج تحققًا: لوائح سجل مدينة بوينس آيرس في عقد الزواج المدني داخل دور العبادة].</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raditional Arabic" w:cs="Traditional Arabic" w:eastAsia="Traditional Arabic" w:hAnsi="Traditional Arabic"/>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2026-10-19T18:44:23.442Z</dcterms:created>
  <dcterms:modified xsi:type="dcterms:W3CDTF">2026-10-19T18:44:23.442Z</dcterms:modified>
</cp:coreProperties>
</file>

<file path=docProps/custom.xml><?xml version="1.0" encoding="utf-8"?>
<Properties xmlns="http://schemas.openxmlformats.org/officeDocument/2006/custom-properties" xmlns:vt="http://schemas.openxmlformats.org/officeDocument/2006/docPropsVTypes"/>
</file>