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8BDD1" w14:textId="77777777" w:rsidR="002878CA" w:rsidRDefault="00000000" w:rsidP="00965695">
      <w:pPr>
        <w:bidi/>
        <w:spacing w:after="40"/>
      </w:pPr>
      <w:r>
        <w:rPr>
          <w:rFonts w:ascii="Traditional Arabic" w:hAnsi="Traditional Arabic"/>
          <w:b/>
          <w:color w:val="505050"/>
          <w:sz w:val="24"/>
        </w:rPr>
        <w:t>جامعة المدينة العالمية (MEDIU) — ماليزيا</w:t>
      </w:r>
      <w:r>
        <w:rPr>
          <w:rFonts w:ascii="Traditional Arabic" w:hAnsi="Traditional Arabic"/>
          <w:b/>
          <w:color w:val="505050"/>
          <w:sz w:val="24"/>
        </w:rPr>
        <w:br/>
        <w:t>كلية العلوم الإسلامية — قسم الفقه وأصوله</w:t>
      </w:r>
      <w:r>
        <w:rPr>
          <w:rFonts w:ascii="Traditional Arabic" w:hAnsi="Traditional Arabic"/>
          <w:b/>
          <w:color w:val="505050"/>
          <w:sz w:val="24"/>
        </w:rPr>
        <w:br/>
        <w:t>المؤتمر الدولي السادس للدراسات الإسلامية المعاصرة والقضايا المستجدة (ICCISEI 2026)</w:t>
      </w:r>
    </w:p>
    <w:p w14:paraId="67A6C04F" w14:textId="77777777" w:rsidR="002878CA" w:rsidRDefault="00000000" w:rsidP="00965695">
      <w:pPr>
        <w:bidi/>
        <w:spacing w:before="40" w:after="280"/>
      </w:pPr>
      <w:r>
        <w:rPr>
          <w:rFonts w:ascii="Traditional Arabic" w:hAnsi="Traditional Arabic"/>
          <w:color w:val="0D5C3A"/>
          <w:sz w:val="23"/>
        </w:rPr>
        <w:t>المحور المشترك: الدراسات الفقهية والأصولية / الذكاء الاصطناعي والسياسة الشرعية</w:t>
      </w:r>
    </w:p>
    <w:p w14:paraId="032C782F" w14:textId="77777777" w:rsidR="002878CA" w:rsidRDefault="00000000" w:rsidP="00965695">
      <w:pPr>
        <w:bidi/>
        <w:spacing w:before="120" w:after="120"/>
      </w:pPr>
      <w:r>
        <w:rPr>
          <w:rFonts w:ascii="Traditional Arabic" w:hAnsi="Traditional Arabic"/>
          <w:b/>
          <w:color w:val="0D5C3A"/>
          <w:sz w:val="44"/>
        </w:rPr>
        <w:t>الزواج الإسلامي غير الموثق مدنيًا لدى المسلمين في الأرجنتين:</w:t>
      </w:r>
      <w:r>
        <w:rPr>
          <w:rFonts w:ascii="Traditional Arabic" w:hAnsi="Traditional Arabic"/>
          <w:b/>
          <w:color w:val="0D5C3A"/>
          <w:sz w:val="44"/>
        </w:rPr>
        <w:br/>
        <w:t>دراسة فقهية مقاصدية في ضوء الواقع القانوني</w:t>
      </w:r>
    </w:p>
    <w:p w14:paraId="5C0B629D" w14:textId="77777777" w:rsidR="002878CA" w:rsidRDefault="00000000" w:rsidP="00965695">
      <w:pPr>
        <w:bidi/>
        <w:spacing w:before="40" w:after="320"/>
      </w:pPr>
      <w:r>
        <w:rPr>
          <w:rFonts w:ascii="Times New Roman" w:hAnsi="Times New Roman"/>
          <w:b/>
          <w:color w:val="143250"/>
          <w:sz w:val="28"/>
        </w:rPr>
        <w:t>Unregistered Islamic Marriage among Muslims in Argentina:</w:t>
      </w:r>
      <w:r>
        <w:rPr>
          <w:rFonts w:ascii="Times New Roman" w:hAnsi="Times New Roman"/>
          <w:b/>
          <w:color w:val="143250"/>
          <w:sz w:val="28"/>
        </w:rPr>
        <w:br/>
        <w:t>A Jurisprudential and Maqasidic Study in Light of the Legal Reality</w:t>
      </w:r>
    </w:p>
    <w:tbl>
      <w:tblPr>
        <w:tblW w:w="0" w:type="auto"/>
        <w:jc w:val="center"/>
        <w:tblLook w:val="04A0" w:firstRow="1" w:lastRow="0" w:firstColumn="1" w:lastColumn="0" w:noHBand="0" w:noVBand="1"/>
      </w:tblPr>
      <w:tblGrid>
        <w:gridCol w:w="9029"/>
      </w:tblGrid>
      <w:tr w:rsidR="002878CA" w14:paraId="281D49FB" w14:textId="77777777">
        <w:trPr>
          <w:jc w:val="center"/>
        </w:trPr>
        <w:tc>
          <w:tcPr>
            <w:tcW w:w="9029" w:type="dxa"/>
            <w:tcBorders>
              <w:top w:val="single" w:sz="12" w:space="0" w:color="0D5C3A"/>
              <w:bottom w:val="single" w:sz="12" w:space="0" w:color="0D5C3A"/>
            </w:tcBorders>
            <w:shd w:val="clear" w:color="auto" w:fill="F9FBF9"/>
            <w:tcMar>
              <w:top w:w="140" w:type="dxa"/>
              <w:left w:w="200" w:type="dxa"/>
              <w:bottom w:w="140" w:type="dxa"/>
              <w:right w:w="200" w:type="dxa"/>
            </w:tcMar>
          </w:tcPr>
          <w:p w14:paraId="3BD2FC13" w14:textId="27488E31" w:rsidR="002878CA" w:rsidRDefault="00000000" w:rsidP="00965695">
            <w:pPr>
              <w:bidi/>
              <w:spacing w:line="288" w:lineRule="auto"/>
            </w:pPr>
            <w:r>
              <w:rPr>
                <w:rFonts w:ascii="Traditional Arabic" w:hAnsi="Traditional Arabic"/>
                <w:b/>
                <w:color w:val="0D5C3A"/>
                <w:sz w:val="30"/>
              </w:rPr>
              <w:t>إعداد الباحث: الشيخ محمد زاهر بن صبحي النجار</w:t>
            </w:r>
            <w:r>
              <w:rPr>
                <w:rFonts w:ascii="Traditional Arabic" w:hAnsi="Traditional Arabic"/>
                <w:b/>
                <w:color w:val="0D5C3A"/>
                <w:sz w:val="30"/>
              </w:rPr>
              <w:br/>
            </w:r>
            <w:r>
              <w:rPr>
                <w:rFonts w:ascii="Traditional Arabic" w:hAnsi="Traditional Arabic"/>
                <w:color w:val="323232"/>
                <w:sz w:val="25"/>
              </w:rPr>
              <w:t>إمام وخطيب مركز خادم الحرمين الشريفين الملك فهد الثقافي الإسلامي، بوينس آيرس، جمهورية الأرجنتين</w:t>
            </w:r>
            <w:r>
              <w:rPr>
                <w:rFonts w:ascii="Traditional Arabic" w:hAnsi="Traditional Arabic"/>
                <w:color w:val="323232"/>
                <w:sz w:val="25"/>
              </w:rPr>
              <w:br/>
              <w:t>باحث ماجستير بقسم الفقه وأصوله، كلية العلوم الإسلامية، جامعة المدينة العالمية، ماليزيا</w:t>
            </w:r>
            <w:r>
              <w:rPr>
                <w:rFonts w:ascii="Traditional Arabic" w:hAnsi="Traditional Arabic"/>
                <w:color w:val="323232"/>
                <w:sz w:val="25"/>
              </w:rPr>
              <w:br/>
              <w:t>البريد الإلكتروني: zaheralnjjar@gmail.com</w:t>
            </w:r>
            <w:r>
              <w:rPr>
                <w:rFonts w:ascii="Traditional Arabic" w:hAnsi="Traditional Arabic"/>
                <w:color w:val="323232"/>
                <w:sz w:val="25"/>
              </w:rPr>
              <w:br/>
            </w:r>
            <w:r>
              <w:rPr>
                <w:rFonts w:ascii="Traditional Arabic" w:hAnsi="Traditional Arabic"/>
                <w:b/>
                <w:color w:val="143250"/>
                <w:sz w:val="27"/>
              </w:rPr>
              <w:t>إشراف: الأستاذ المشارك الدكتور ياسر عبد الحميد النجار</w:t>
            </w:r>
            <w:r>
              <w:rPr>
                <w:rFonts w:ascii="Traditional Arabic" w:hAnsi="Traditional Arabic"/>
                <w:b/>
                <w:color w:val="143250"/>
                <w:sz w:val="27"/>
              </w:rPr>
              <w:br/>
            </w:r>
            <w:r>
              <w:rPr>
                <w:rFonts w:ascii="Traditional Arabic" w:hAnsi="Traditional Arabic"/>
                <w:color w:val="464646"/>
                <w:sz w:val="24"/>
              </w:rPr>
              <w:t>أستاذ الفقه وأصوله المشارك، كلية العلوم الإسلامية، جامعة المدينة العالمية، ماليزيا</w:t>
            </w:r>
          </w:p>
        </w:tc>
      </w:tr>
    </w:tbl>
    <w:p w14:paraId="06ABFD4D" w14:textId="77777777" w:rsidR="002878CA" w:rsidRDefault="002878CA" w:rsidP="00965695">
      <w:pPr>
        <w:bidi/>
        <w:spacing w:before="120" w:after="120"/>
      </w:pPr>
    </w:p>
    <w:p w14:paraId="0F2121A8" w14:textId="77777777" w:rsidR="002878CA" w:rsidRDefault="00000000" w:rsidP="00965695">
      <w:pPr>
        <w:keepNext/>
        <w:bidi/>
        <w:spacing w:before="280" w:after="120"/>
      </w:pPr>
      <w:r>
        <w:rPr>
          <w:rFonts w:ascii="Traditional Arabic" w:hAnsi="Traditional Arabic"/>
          <w:b/>
          <w:color w:val="143250"/>
          <w:sz w:val="32"/>
        </w:rPr>
        <w:t>ملخص البحث</w:t>
      </w:r>
    </w:p>
    <w:p w14:paraId="0514E3BB" w14:textId="77777777" w:rsidR="002878CA" w:rsidRDefault="00000000" w:rsidP="00965695">
      <w:pPr>
        <w:bidi/>
        <w:spacing w:before="80" w:after="120"/>
      </w:pPr>
      <w:commentRangeStart w:id="0"/>
      <w:r>
        <w:rPr>
          <w:rFonts w:ascii="Traditional Arabic" w:hAnsi="Traditional Arabic"/>
          <w:color w:val="282828"/>
          <w:sz w:val="28"/>
        </w:rPr>
        <w:t xml:space="preserve">تناقش هذه الدراسة قضية الزواج الإسلامي غير المسجل في السجل المدني لدى المسلمين في الأرجنتين، وهي مسألة تمس واقع الأسرة المسلمة في بيئة قانونية غربية. وتكمن المشكلة في أن الاكتفاء بالعقد الشرعي دون توثيق مدني يؤدي إلى حرمان الأسرة من الحماية القانونية، في حين أن الاكتفاء بالزواج المدني وحده قد تنقصه شروط شرعية معتبرة. وتهدف الدراسة إلى بيان الحكم الفقهي لتوثيق النكاح مدنياً من منظور مقاصدي، وتوضيح الآثار القانونية المترتبة على إهماله في القانون الأرجنتيني، مع تقديم حلول وقائية عملية لحفظ الحقوق. واعتمدت الدراسة المنهج الاستقرائي التحليلي والمقارن مع النظم الغربية كإسبانيا وفرنسا وبريطانيا. وخلص البحث إلى أن توثيق الزواج في السجل المدني </w:t>
      </w:r>
      <w:commentRangeStart w:id="1"/>
      <w:r>
        <w:rPr>
          <w:rFonts w:ascii="Traditional Arabic" w:hAnsi="Traditional Arabic"/>
          <w:color w:val="282828"/>
          <w:sz w:val="28"/>
          <w:highlight w:val="yellow"/>
        </w:rPr>
        <w:t xml:space="preserve">الأرجنتيني متعيّن شرعاً عند القدرة، مع بدائل لذوي العذر بضوابط وحد زمني؛ سداً</w:t>
      </w:r>
      <w:commentRangeEnd w:id="1"/>
      <w:r>
        <w:rPr>
          <w:rStyle w:val="CommentReference"/>
        </w:rPr>
        <w:commentReference w:id="1"/>
      </w:r>
      <w:r>
        <w:rPr>
          <w:rFonts w:ascii="Traditional Arabic" w:hAnsi="Traditional Arabic"/>
          <w:color w:val="282828"/>
          <w:sz w:val="28"/>
        </w:rPr>
        <w:t xml:space="preserve"> لذريعة ضياع الحقوق وتطبيقاً لقاعدة «ما لا يتم الواجب إلا به فهو واجب»، حيث يؤدي غياب التوثيق إلى إسقاط حقوق مالية وميراثية مهمة؛ إذ </w:t>
      </w:r>
      <w:commentRangeStart w:id="2"/>
      <w:r>
        <w:rPr>
          <w:rFonts w:ascii="Traditional Arabic" w:hAnsi="Traditional Arabic"/>
          <w:color w:val="282828"/>
          <w:sz w:val="28"/>
          <w:highlight w:val="yellow"/>
        </w:rPr>
        <w:t xml:space="preserve">لا يرتب القانون الأرجنتيني على العقد الديني وحده أثراً مدنياً، ولا تنطبق على العلاقة إلا أحكام المساكنة متى توافرت شروطها، فلا توارث بها ولا نفقة بعد انتهائها، وتسقط دعوى المقابل الاقتصادي بمضي ستة أشهر من انتهاء المساكنة</w:t>
      </w:r>
      <w:commentRangeEnd w:id="2"/>
      <w:r>
        <w:rPr>
          <w:rStyle w:val="CommentReference"/>
        </w:rPr>
        <w:commentReference w:id="2"/>
      </w:r>
      <w:r>
        <w:rPr>
          <w:rFonts w:ascii="Traditional Arabic" w:hAnsi="Traditional Arabic"/>
          <w:color w:val="282828"/>
          <w:sz w:val="28"/>
        </w:rPr>
        <w:t xml:space="preserve">. وتتحمل الأطراف المعنية، بما فيها الإمام العاقد، مسؤولية الإسهام في هذا التقصير؛ لما يترتب عليه </w:t>
      </w:r>
      <w:commentRangeEnd w:id="0"/>
      <w:r>
        <w:rPr>
          <w:rStyle w:val="CommentReference"/>
        </w:rPr>
        <w:commentReference w:id="0"/>
      </w:r>
      <w:r>
        <w:rPr>
          <w:rFonts w:ascii="Traditional Arabic" w:hAnsi="Traditional Arabic"/>
          <w:color w:val="282828"/>
          <w:sz w:val="28"/>
        </w:rPr>
        <w:t xml:space="preserve">من ضرر يلحق بالمرأة والأولاد. وتوصي الدراسة بعدم إجراء أي عقد شرعي في المراكز الإسلامية إلا بعد تقديم عقد الزواج المدني الرسمي، مع إمكانية الاستعانة </w:t>
      </w:r>
      <w:commentRangeStart w:id="3"/>
      <w:r>
        <w:rPr>
          <w:rFonts w:ascii="Traditional Arabic" w:hAnsi="Traditional Arabic"/>
          <w:color w:val="282828"/>
          <w:sz w:val="28"/>
          <w:highlight w:val="yellow"/>
        </w:rPr>
        <w:t xml:space="preserve">لذوي العذر باتفاقات المساكنة المكتوبة</w:t>
      </w:r>
      <w:commentRangeEnd w:id="3"/>
      <w:r>
        <w:rPr>
          <w:rStyle w:val="CommentReference"/>
        </w:rPr>
        <w:commentReference w:id="3"/>
      </w:r>
      <w:r>
        <w:rPr>
          <w:rFonts w:ascii="Traditional Arabic" w:hAnsi="Traditional Arabic"/>
          <w:color w:val="282828"/>
          <w:sz w:val="28"/>
        </w:rPr>
        <w:t xml:space="preserve"> ووصية شرعية تحفظ الحقوق، وتوظيف الوسائل والقرائن الرقمية الحديثة المتاحة لإثبات الحقوق وتوثيقها.</w:t>
      </w:r>
    </w:p>
    <w:p w14:paraId="0D712B2B" w14:textId="77777777" w:rsidR="002878CA" w:rsidRDefault="00000000" w:rsidP="00965695">
      <w:pPr>
        <w:bidi/>
        <w:spacing w:before="40" w:after="240"/>
      </w:pPr>
      <w:r>
        <w:rPr>
          <w:rFonts w:ascii="Traditional Arabic" w:hAnsi="Traditional Arabic"/>
          <w:b/>
          <w:color w:val="0D5C3A"/>
          <w:sz w:val="27"/>
        </w:rPr>
        <w:t xml:space="preserve">الكلمات المفتاحية: </w:t>
      </w:r>
      <w:r>
        <w:rPr>
          <w:rFonts w:ascii="Traditional Arabic" w:hAnsi="Traditional Arabic"/>
          <w:sz w:val="26"/>
        </w:rPr>
        <w:t xml:space="preserve">الزواج الإسلامي، التوثيق المدني، القانون الأرجنتيني، مقاصد الشريعة، </w:t>
      </w:r>
      <w:commentRangeStart w:id="4"/>
      <w:r>
        <w:rPr>
          <w:rFonts w:ascii="Traditional Arabic" w:hAnsi="Traditional Arabic"/>
          <w:sz w:val="26"/>
          <w:highlight w:val="yellow"/>
        </w:rPr>
        <w:t xml:space="preserve">المساكنة</w:t>
      </w:r>
      <w:commentRangeEnd w:id="4"/>
      <w:r>
        <w:rPr>
          <w:rStyle w:val="CommentReference"/>
        </w:rPr>
        <w:commentReference w:id="4"/>
      </w:r>
      <w:r>
        <w:rPr>
          <w:rFonts w:ascii="Traditional Arabic" w:hAnsi="Traditional Arabic"/>
          <w:sz w:val="26"/>
        </w:rPr>
        <w:t xml:space="preserve">.</w:t>
      </w:r>
    </w:p>
    <w:p w14:paraId="4991C6DE" w14:textId="77777777" w:rsidR="002878CA" w:rsidRDefault="00000000" w:rsidP="00965695">
      <w:pPr>
        <w:bidi/>
        <w:spacing w:before="160" w:after="80"/>
      </w:pPr>
      <w:r>
        <w:rPr>
          <w:rFonts w:ascii="Times New Roman" w:hAnsi="Times New Roman"/>
          <w:b/>
          <w:color w:val="143250"/>
          <w:sz w:val="26"/>
        </w:rPr>
        <w:t>Abstract</w:t>
      </w:r>
    </w:p>
    <w:p w14:paraId="78871FF7" w14:textId="77777777" w:rsidR="002878CA" w:rsidRDefault="00000000" w:rsidP="00965695">
      <w:pPr>
        <w:bidi/>
        <w:spacing w:before="40" w:after="120"/>
      </w:pPr>
      <w:commentRangeStart w:id="5"/>
      <w:r>
        <w:rPr>
          <w:rFonts w:ascii="Times New Roman" w:hAnsi="Times New Roman"/>
          <w:color w:val="282828"/>
        </w:rPr>
        <w:t>This study examines the issue of unregistered Islamic marriages among Muslims in Argentina, a critical matter affecting Muslim family stability within a Western civil law framework. The core problem lies in the fact that relying solely on a religious contract without civil registration deprives the family of legal protection, while relying entirely on civil marriage may lack essential Sharia requirements. The study aims to clarify the jurisprudential ruling on civil registration from a Maqasidic perspective, analyze the legal consequences of non-registration under Argentine law, compare it with European systems (Spain, France, UK), and offer practical preventive solutions to safeguard marital rights. Using inductive, analytical, and comparative methodologies, the study concludes that civil registration is a Sharia obligation based on the maxim "whatever is indispensable for an obligation is itself an obligation" and the principle of blocking harmful means (Sadd al-Dhara'i). Under Argentine civil law, unregistered marriages are categorized merely as "de facto cohabitation unions," stripping women of automatic inheritance and spousal maintenance, with economic compensation claims expiring within a strict six-month forfeiture period. Solemnizing imams bear religious and moral responsibility for negligence that harms women and children. The study recommends that Islamic centers mandate civil marriage certificates prior to religious ceremonies, utilize cohabitation pacts and testamentary wills within the legally disposable portion, and leverage digital tools and forensic presumptions to preserve family rights.</w:t>
      </w:r>
      <w:commentRangeEnd w:id="5"/>
      <w:r>
        <w:rPr>
          <w:rStyle w:val="CommentReference"/>
        </w:rPr>
        <w:commentReference w:id="5"/>
      </w:r>
    </w:p>
    <w:p w14:paraId="72E24774" w14:textId="77777777" w:rsidR="002878CA" w:rsidRDefault="00000000" w:rsidP="00965695">
      <w:pPr>
        <w:bidi/>
        <w:spacing w:before="40" w:after="320"/>
      </w:pPr>
      <w:r>
        <w:rPr>
          <w:rFonts w:ascii="Times New Roman" w:hAnsi="Times New Roman"/>
          <w:b/>
          <w:color w:val="143250"/>
        </w:rPr>
        <w:t xml:space="preserve">Keywords: </w:t>
      </w:r>
      <w:r>
        <w:rPr>
          <w:rFonts w:ascii="Times New Roman" w:hAnsi="Times New Roman"/>
        </w:rPr>
        <w:t xml:space="preserve">Islamic Marriage, Civil Registration, Argentine Law, Maqasid al-Shariah, </w:t>
      </w:r>
      <w:commentRangeStart w:id="6"/>
      <w:r>
        <w:rPr>
          <w:rFonts w:ascii="Times New Roman" w:hAnsi="Times New Roman"/>
          <w:highlight w:val="yellow"/>
        </w:rPr>
        <w:t xml:space="preserve">Unión convivencial</w:t>
      </w:r>
      <w:commentRangeEnd w:id="6"/>
      <w:r>
        <w:rPr>
          <w:rStyle w:val="CommentReference"/>
        </w:rPr>
        <w:commentReference w:id="6"/>
      </w:r>
      <w:r>
        <w:rPr>
          <w:rFonts w:ascii="Times New Roman" w:hAnsi="Times New Roman"/>
        </w:rPr>
        <w:t xml:space="preserve">.</w:t>
      </w:r>
    </w:p>
    <w:sectPr w:rsidR="002878CA" w:rsidRPr="009F31FB" w:rsidSect="00034616">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مراجعة)" w:initials="CL" w:date="2026-10-19T06:00:19Z">
    <w:p>
      <w:pPr>
        <w:pStyle w:val="CommentText"/>
      </w:pPr>
      <w:r>
        <w:rPr>
          <w:rStyle w:val="CommentReference"/>
        </w:rPr>
        <w:annotationRef/>
      </w:r>
      <w:r>
        <w:t>الملخص العربي نحو 210 كلمات، والكتيب يطلب 250 فأكثر. وتوصيته الأخيرة تمنع «أي عقد شرعي» بلا استثناء، فتُقيَّد بالعذر كما في التوصية الأولى المقترحة. التقرير، عاشرًا ٢ وتاسعًا ٤.</w:t>
      </w:r>
    </w:p>
  </w:comment>
  <w:comment w:id="1" w:author="Claude (مراجعة)" w:initials="CL" w:date="2026-10-19T06:00:19Z">
    <w:p>
      <w:pPr>
        <w:pStyle w:val="CommentText"/>
      </w:pPr>
      <w:r>
        <w:rPr>
          <w:rStyle w:val="CommentReference"/>
        </w:rPr>
        <w:annotationRef/>
      </w:r>
      <w:r>
        <w:t>توحيد درجة الحكم على الصيغة المقررة في ملف التسليم. التقرير، رابعًا ٥.</w:t>
      </w:r>
    </w:p>
  </w:comment>
  <w:comment w:id="2" w:author="Claude (مراجعة)" w:initials="CL" w:date="2026-10-19T06:00:19Z">
    <w:p>
      <w:pPr>
        <w:pStyle w:val="CommentText"/>
      </w:pPr>
      <w:r>
        <w:rPr>
          <w:rStyle w:val="CommentReference"/>
        </w:rPr>
        <w:annotationRef/>
      </w:r>
      <w:r>
        <w:t>المادة 406: العقد الديني «no produce efectos civiles»؛ والمادتان 524–525: «compensación económica» تسقط بعد ستة أشهر من سبب الانتهاء. التقرير، ثامنًا ٢.</w:t>
      </w:r>
    </w:p>
  </w:comment>
  <w:comment w:id="3" w:author="Claude (مراجعة)" w:initials="CL" w:date="2026-10-19T06:00:19Z">
    <w:p>
      <w:pPr>
        <w:pStyle w:val="CommentText"/>
      </w:pPr>
      <w:r>
        <w:rPr>
          <w:rStyle w:val="CommentReference"/>
        </w:rPr>
        <w:annotationRef/>
      </w:r>
      <w:r>
        <w:t>المادة 513: «Este pacto debe ser hecho por escrito». التقرير، ثامنًا ٤.</w:t>
      </w:r>
    </w:p>
  </w:comment>
  <w:comment w:id="4" w:author="Claude (مراجعة)" w:initials="CL" w:date="2026-10-19T06:00:19Z">
    <w:p>
      <w:pPr>
        <w:pStyle w:val="CommentText"/>
      </w:pPr>
      <w:r>
        <w:rPr>
          <w:rStyle w:val="CommentReference"/>
        </w:rPr>
        <w:annotationRef/>
      </w:r>
      <w:r>
        <w:t>توحيد المصطلح مع المتن. التقرير، عاشرًا ٢.</w:t>
      </w:r>
    </w:p>
  </w:comment>
  <w:comment w:id="5" w:author="Claude (مراجعة)" w:initials="CL" w:date="2026-10-19T06:00:19Z">
    <w:p>
      <w:pPr>
        <w:pStyle w:val="CommentText"/>
      </w:pPr>
      <w:r>
        <w:rPr>
          <w:rStyle w:val="CommentReference"/>
        </w:rPr>
        <w:annotationRef/>
      </w:r>
      <w:r>
        <w:t>الملخص الإنجليزي نحو 223 كلمة، والمطلوب 250 فأكثر. التقرير، عاشرًا ٢.</w:t>
      </w:r>
    </w:p>
  </w:comment>
  <w:comment w:id="6" w:author="Claude (مراجعة)" w:initials="CL" w:date="2026-10-19T06:00:19Z">
    <w:p>
      <w:pPr>
        <w:pStyle w:val="CommentText"/>
      </w:pPr>
      <w:r>
        <w:rPr>
          <w:rStyle w:val="CommentReference"/>
        </w:rPr>
        <w:annotationRef/>
      </w:r>
      <w:r>
        <w:t>توحيد المصطلح مع المتن. التقرير، عاشرًا 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750172" w14:textId="77777777" w:rsidR="002A3DDE" w:rsidRDefault="002A3DDE">
      <w:pPr>
        <w:spacing w:after="0" w:line="240" w:lineRule="auto"/>
      </w:pPr>
      <w:r>
        <w:separator/>
      </w:r>
    </w:p>
  </w:endnote>
  <w:endnote w:type="continuationSeparator" w:id="0">
    <w:p w14:paraId="48D4E4C3" w14:textId="77777777" w:rsidR="002A3DDE" w:rsidRDefault="002A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B090CA" w14:textId="77777777" w:rsidR="009F31FB" w:rsidRDefault="009F31F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3419F" w14:textId="5D24DD5B" w:rsidR="009F31FB" w:rsidRDefault="009F31FB">
    <w:pPr>
      <w:pStyle w:val="a6"/>
      <w:jc w:val="center"/>
      <w:rPr>
        <w:sz w:val="24"/>
        <w:szCs w:val="24"/>
      </w:rPr>
    </w:pPr>
    <w:r>
      <w:rPr>
        <w:rFonts w:ascii="Traditional Arabic" w:hAnsi="Traditional Arabic" w:cs="Traditional Arabic" w:hint="cs"/>
        <w:color w:val="787878"/>
        <w:sz w:val="20"/>
        <w:szCs w:val="20"/>
      </w:rPr>
      <w:t xml:space="preserve">- </w:t>
    </w:r>
    <w:r>
      <w:fldChar w:fldCharType="begin"/>
    </w:r>
    <w:r>
      <w:instrText>PAGE</w:instrText>
    </w:r>
    <w:r>
      <w:fldChar w:fldCharType="separate"/>
    </w:r>
    <w:r>
      <w:rPr>
        <w:noProof/>
      </w:rPr>
      <w:t>1</w:t>
    </w:r>
    <w:r>
      <w:fldChar w:fldCharType="end"/>
    </w:r>
    <w:r>
      <w:rPr>
        <w:rFonts w:ascii="Traditional Arabic" w:hAnsi="Traditional Arabic" w:cs="Traditional Arabic" w:hint="cs"/>
        <w:color w:val="787878"/>
        <w:sz w:val="20"/>
        <w:szCs w:val="20"/>
      </w:rPr>
      <w:t xml:space="preserve"> -</w:t>
    </w:r>
  </w:p>
  <w:p w14:paraId="02E62C7B" w14:textId="19F958B1" w:rsidR="002878CA" w:rsidRDefault="009F31FB">
    <w:pPr>
      <w:pStyle w:val="a6"/>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3C25F" w14:textId="77777777" w:rsidR="009F31FB" w:rsidRDefault="009F31F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0791A8" w14:textId="77777777" w:rsidR="002A3DDE" w:rsidRDefault="002A3DDE">
      <w:pPr>
        <w:spacing w:after="0" w:line="240" w:lineRule="auto"/>
      </w:pPr>
      <w:r>
        <w:separator/>
      </w:r>
    </w:p>
  </w:footnote>
  <w:footnote w:type="continuationSeparator" w:id="0">
    <w:p w14:paraId="4DCC7B9C" w14:textId="77777777" w:rsidR="002A3DDE" w:rsidRDefault="002A3DDE">
      <w:pPr>
        <w:spacing w:after="0" w:line="240" w:lineRule="auto"/>
      </w:pPr>
      <w:r>
        <w:continuationSeparator/>
      </w:r>
    </w:p>
  </w:footnote>
  <w:footnote w:id="1">
    <w:p>
      <w:pPr>
        <w:bidi/>
      </w:pPr>
      <w:r>
        <w:rPr>
          <w:vertAlign w:val="superscript"/>
        </w:rPr>
        <w:footnoteRef/>
      </w:r>
      <w:r>
        <w:rPr>
          <w:rFonts w:ascii="Traditional Arabic" w:hAnsi="Traditional Arabic" w:cs="Traditional Arabic"/>
          <w:rtl/>
          <w:sz w:val="24"/>
          <w:szCs w:val="24"/>
        </w:rPr>
        <w:t xml:space="preserve"> العتيبي، فيصل بن عبد الله، عقد الزواج غير الموثق رسمياً وأحكامه في الفقه الإسلامي، رسالة ماجستير غير منشورة، كلية الشريعة، جامعة أم القرى، 2014.</w:t>
      </w:r>
    </w:p>
  </w:footnote>
  <w:footnote w:id="2">
    <w:p>
      <w:pPr>
        <w:bidi/>
      </w:pPr>
      <w:r>
        <w:rPr>
          <w:vertAlign w:val="superscript"/>
        </w:rPr>
        <w:footnoteRef/>
      </w:r>
      <w:r>
        <w:rPr>
          <w:rFonts w:ascii="Traditional Arabic" w:hAnsi="Traditional Arabic" w:cs="Traditional Arabic"/>
          <w:rtl/>
          <w:sz w:val="24"/>
          <w:szCs w:val="24"/>
        </w:rPr>
        <w:t xml:space="preserve"> الزحيلي، وهبة بن مصطفى، الفقه الإسلامي وأدلته، ط4، دار الفكر، 2002.</w:t>
      </w:r>
    </w:p>
  </w:footnote>
  <w:footnote w:id="3">
    <w:p>
      <w:pPr>
        <w:bidi/>
      </w:pPr>
      <w:r>
        <w:rPr>
          <w:vertAlign w:val="superscript"/>
        </w:rPr>
        <w:footnoteRef/>
      </w:r>
      <w:r>
        <w:rPr>
          <w:rFonts w:ascii="Traditional Arabic" w:hAnsi="Traditional Arabic" w:cs="Traditional Arabic"/>
          <w:rtl/>
          <w:sz w:val="24"/>
          <w:szCs w:val="24"/>
        </w:rPr>
        <w:t xml:space="preserve"> Ferguson, L. (2018). Unregistered Muslim marriages in the UK: Examining the intersections of religion, law and gender. Oxford Journal of Law and Religion, 7(2), 273–296.</w:t>
      </w:r>
    </w:p>
  </w:footnote>
  <w:footnote w:id="4">
    <w:p>
      <w:pPr>
        <w:bidi/>
      </w:pPr>
      <w:r>
        <w:rPr>
          <w:vertAlign w:val="superscript"/>
        </w:rPr>
        <w:footnoteRef/>
      </w:r>
      <w:r>
        <w:rPr>
          <w:rFonts w:ascii="Traditional Arabic" w:hAnsi="Traditional Arabic" w:cs="Traditional Arabic"/>
          <w:rtl/>
          <w:sz w:val="24"/>
          <w:szCs w:val="24"/>
        </w:rPr>
        <w:t xml:space="preserve"> Bano, S. (2017). Modern family law and religious legal traditions: Unregistered Muslim marriages in England and Wales. Journal of Social Welfare and Family Law, 39(4), 488–505.</w:t>
      </w:r>
    </w:p>
  </w:footnote>
  <w:footnote w:id="5">
    <w:p>
      <w:pPr>
        <w:bidi/>
      </w:pPr>
      <w:r>
        <w:rPr>
          <w:vertAlign w:val="superscript"/>
        </w:rPr>
        <w:footnoteRef/>
      </w:r>
      <w:r>
        <w:rPr>
          <w:rFonts w:ascii="Traditional Arabic" w:hAnsi="Traditional Arabic" w:cs="Traditional Arabic"/>
          <w:rtl/>
          <w:sz w:val="24"/>
          <w:szCs w:val="24"/>
        </w:rPr>
        <w:t xml:space="preserve"> Farfán, M. E., &amp; Medina, G. (2018). Las uniones convivenciales en el nuevo Código Civil y Comercial de la Nación. Revista La Ley, 2018(3), 112–129.</w:t>
      </w:r>
    </w:p>
  </w:footnote>
  <w:footnote w:id="6">
    <w:p>
      <w:pPr>
        <w:bidi/>
      </w:pPr>
      <w:r>
        <w:rPr>
          <w:vertAlign w:val="superscript"/>
        </w:rPr>
        <w:footnoteRef/>
      </w:r>
      <w:r>
        <w:rPr>
          <w:rFonts w:ascii="Traditional Arabic" w:hAnsi="Traditional Arabic" w:cs="Traditional Arabic"/>
          <w:rtl/>
          <w:sz w:val="24"/>
          <w:szCs w:val="24"/>
        </w:rPr>
        <w:t xml:space="preserve"> Herrera, M. (2016). Manual de derecho de las familias (2da ed.). Abeledo Perrot.</w:t>
      </w:r>
    </w:p>
  </w:footnote>
  <w:footnote w:id="7">
    <w:p>
      <w:pPr>
        <w:bidi/>
      </w:pPr>
      <w:r>
        <w:rPr>
          <w:vertAlign w:val="superscript"/>
        </w:rPr>
        <w:footnoteRef/>
      </w:r>
      <w:r>
        <w:rPr>
          <w:rFonts w:ascii="Traditional Arabic" w:hAnsi="Traditional Arabic" w:cs="Traditional Arabic"/>
          <w:rtl/>
          <w:sz w:val="24"/>
          <w:szCs w:val="24"/>
        </w:rPr>
        <w:t xml:space="preserve"> ابن قدامة، المغني، 7/6؛ الكاساني، بدائع الصنائع، 2/332.</w:t>
      </w:r>
    </w:p>
  </w:footnote>
  <w:footnote w:id="8">
    <w:p>
      <w:pPr>
        <w:bidi/>
      </w:pPr>
      <w:r>
        <w:rPr>
          <w:vertAlign w:val="superscript"/>
        </w:rPr>
        <w:footnoteRef/>
      </w:r>
      <w:r>
        <w:rPr>
          <w:rFonts w:ascii="Traditional Arabic" w:hAnsi="Traditional Arabic" w:cs="Traditional Arabic"/>
          <w:rtl/>
          <w:sz w:val="24"/>
          <w:szCs w:val="24"/>
        </w:rPr>
        <w:t xml:space="preserve"> الشاطبي، الموافقات، 2/393.</w:t>
      </w:r>
    </w:p>
  </w:footnote>
  <w:footnote w:id="9">
    <w:p>
      <w:pPr>
        <w:bidi/>
      </w:pPr>
      <w:r>
        <w:rPr>
          <w:vertAlign w:val="superscript"/>
        </w:rPr>
        <w:footnoteRef/>
      </w:r>
      <w:r>
        <w:rPr>
          <w:rFonts w:ascii="Traditional Arabic" w:hAnsi="Traditional Arabic" w:cs="Traditional Arabic"/>
          <w:rtl/>
          <w:sz w:val="24"/>
          <w:szCs w:val="24"/>
        </w:rPr>
        <w:t xml:space="preserve"> ابن القيم، إعلام الموقعين عن رب العالمين، 3/11.</w:t>
      </w:r>
    </w:p>
  </w:footnote>
  <w:footnote w:id="10">
    <w:p>
      <w:pPr>
        <w:bidi/>
      </w:pPr>
      <w:r>
        <w:rPr>
          <w:vertAlign w:val="superscript"/>
        </w:rPr>
        <w:footnoteRef/>
      </w:r>
      <w:r>
        <w:rPr>
          <w:rFonts w:ascii="Traditional Arabic" w:hAnsi="Traditional Arabic" w:cs="Traditional Arabic"/>
          <w:rtl/>
          <w:sz w:val="24"/>
          <w:szCs w:val="24"/>
        </w:rPr>
        <w:t xml:space="preserve"> القرافي، الفروق، 1/176.</w:t>
      </w:r>
    </w:p>
  </w:footnote>
  <w:footnote w:id="11">
    <w:p>
      <w:pPr>
        <w:bidi/>
      </w:pPr>
      <w:r>
        <w:rPr>
          <w:vertAlign w:val="superscript"/>
        </w:rPr>
        <w:footnoteRef/>
      </w:r>
      <w:r>
        <w:rPr>
          <w:rFonts w:ascii="Traditional Arabic" w:hAnsi="Traditional Arabic" w:cs="Traditional Arabic"/>
          <w:rtl/>
          <w:sz w:val="24"/>
          <w:szCs w:val="24"/>
        </w:rPr>
        <w:t xml:space="preserve"> ابن عابدين، نشر العرف في بناء بعض الأحكام على العرف (ضمن مجموع رسائل ابن عابدين)، 2/125.</w:t>
      </w:r>
    </w:p>
  </w:footnote>
  <w:footnote w:id="12">
    <w:p>
      <w:pPr>
        <w:bidi/>
      </w:pPr>
      <w:r>
        <w:rPr>
          <w:vertAlign w:val="superscript"/>
        </w:rPr>
        <w:footnoteRef/>
      </w:r>
      <w:r>
        <w:rPr>
          <w:rFonts w:ascii="Traditional Arabic" w:hAnsi="Traditional Arabic" w:cs="Traditional Arabic"/>
          <w:rtl/>
          <w:sz w:val="24"/>
          <w:szCs w:val="24"/>
        </w:rPr>
        <w:t xml:space="preserve"> مجلة الأحكام العدلية، المادة 39.</w:t>
      </w:r>
    </w:p>
  </w:footnote>
  <w:footnote w:id="13">
    <w:p>
      <w:pPr>
        <w:bidi/>
      </w:pPr>
      <w:r>
        <w:rPr>
          <w:vertAlign w:val="superscript"/>
        </w:rPr>
        <w:footnoteRef/>
      </w:r>
      <w:r>
        <w:rPr>
          <w:rFonts w:ascii="Traditional Arabic" w:hAnsi="Traditional Arabic" w:cs="Traditional Arabic"/>
          <w:rtl/>
          <w:sz w:val="24"/>
          <w:szCs w:val="24"/>
        </w:rPr>
        <w:t xml:space="preserve"> الغزالي، المستصفى، </w:t>
      </w:r>
      <w:r>
        <w:rPr>
          <w:rFonts w:ascii="Traditional Arabic" w:hAnsi="Traditional Arabic" w:cs="Traditional Arabic"/>
          <w:highlight w:val="yellow"/>
          <w:rtl/>
          <w:sz w:val="24"/>
          <w:szCs w:val="24"/>
        </w:rPr>
        <w:t xml:space="preserve">ص57</w:t>
      </w:r>
      <w:r>
        <w:rPr>
          <w:rFonts w:ascii="Traditional Arabic" w:hAnsi="Traditional Arabic" w:cs="Traditional Arabic"/>
          <w:rtl/>
          <w:sz w:val="24"/>
          <w:szCs w:val="24"/>
        </w:rPr>
        <w:t xml:space="preserve">.</w:t>
      </w:r>
    </w:p>
  </w:footnote>
  <w:footnote w:id="14">
    <w:p>
      <w:pPr>
        <w:bidi/>
      </w:pPr>
      <w:r>
        <w:rPr>
          <w:vertAlign w:val="superscript"/>
        </w:rPr>
        <w:footnoteRef/>
      </w:r>
      <w:r>
        <w:rPr>
          <w:rFonts w:ascii="Traditional Arabic" w:hAnsi="Traditional Arabic" w:cs="Traditional Arabic"/>
          <w:rtl/>
          <w:sz w:val="24"/>
          <w:szCs w:val="24"/>
        </w:rPr>
        <w:t xml:space="preserve"> الشاطبي، الموافقات، </w:t>
      </w:r>
      <w:r>
        <w:rPr>
          <w:rFonts w:ascii="Traditional Arabic" w:hAnsi="Traditional Arabic" w:cs="Traditional Arabic"/>
          <w:highlight w:val="yellow"/>
          <w:rtl/>
          <w:sz w:val="24"/>
          <w:szCs w:val="24"/>
        </w:rPr>
        <w:t xml:space="preserve">5/177</w:t>
      </w:r>
      <w:r>
        <w:rPr>
          <w:rFonts w:ascii="Traditional Arabic" w:hAnsi="Traditional Arabic" w:cs="Traditional Arabic"/>
          <w:rtl/>
          <w:sz w:val="24"/>
          <w:szCs w:val="24"/>
        </w:rPr>
        <w:t xml:space="preserve">.</w:t>
      </w:r>
    </w:p>
  </w:footnote>
  <w:footnote w:id="15">
    <w:p>
      <w:pPr>
        <w:bidi/>
      </w:pPr>
      <w:r>
        <w:rPr>
          <w:vertAlign w:val="superscript"/>
        </w:rPr>
        <w:footnoteRef/>
      </w:r>
      <w:r>
        <w:rPr>
          <w:rFonts w:ascii="Traditional Arabic" w:hAnsi="Traditional Arabic" w:cs="Traditional Arabic"/>
          <w:rtl/>
          <w:sz w:val="24"/>
          <w:szCs w:val="24"/>
        </w:rPr>
        <w:t xml:space="preserve"> الكاساني، بدائع الصنائع، 4/210؛ البهوتي، كشاف القناع، 4/25.</w:t>
      </w:r>
    </w:p>
  </w:footnote>
  <w:footnote w:id="16">
    <w:p>
      <w:pPr>
        <w:bidi/>
      </w:pPr>
      <w:r>
        <w:rPr>
          <w:vertAlign w:val="superscript"/>
        </w:rPr>
        <w:footnoteRef/>
      </w:r>
      <w:r>
        <w:rPr>
          <w:rFonts w:ascii="Traditional Arabic" w:hAnsi="Traditional Arabic" w:cs="Traditional Arabic"/>
          <w:rtl/>
          <w:sz w:val="24"/>
          <w:szCs w:val="24"/>
        </w:rPr>
        <w:t xml:space="preserve"> ابن فرحون، تبصرة الحكام، 1/195.</w:t>
      </w:r>
    </w:p>
  </w:footnote>
  <w:footnote w:id="17">
    <w:p>
      <w:pPr>
        <w:bidi/>
      </w:pPr>
      <w:r>
        <w:rPr>
          <w:vertAlign w:val="superscript"/>
        </w:rPr>
        <w:footnoteRef/>
      </w:r>
      <w:r>
        <w:rPr>
          <w:rFonts w:ascii="Traditional Arabic" w:hAnsi="Traditional Arabic" w:cs="Traditional Arabic"/>
          <w:rtl/>
          <w:sz w:val="24"/>
          <w:szCs w:val="24"/>
        </w:rPr>
        <w:t xml:space="preserve"> ابن القيم، الطرق الحكمية، ص89.</w:t>
      </w:r>
    </w:p>
  </w:footnote>
  <w:footnote w:id="18">
    <w:p>
      <w:pPr>
        <w:bidi/>
      </w:pPr>
      <w:r>
        <w:rPr>
          <w:vertAlign w:val="superscript"/>
        </w:rPr>
        <w:footnoteRef/>
      </w:r>
      <w:r>
        <w:rPr>
          <w:rFonts w:ascii="Traditional Arabic" w:hAnsi="Traditional Arabic" w:cs="Traditional Arabic"/>
          <w:rtl/>
          <w:sz w:val="24"/>
          <w:szCs w:val="24"/>
        </w:rPr>
        <w:t xml:space="preserve"> ابن القيم، الطرق الحكمية، ص14.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870BB" w14:textId="77777777" w:rsidR="009F31FB" w:rsidRDefault="009F31F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C1F5A" w14:textId="77777777" w:rsidR="009F31FB" w:rsidRDefault="009F31FB">
    <w:pPr>
      <w:pStyle w:val="a5"/>
      <w:bidi/>
      <w:jc w:val="center"/>
      <w:rPr>
        <w:sz w:val="24"/>
        <w:szCs w:val="24"/>
      </w:rPr>
    </w:pPr>
    <w:r>
      <w:rPr>
        <w:rFonts w:ascii="Traditional Arabic" w:hAnsi="Traditional Arabic" w:cs="Traditional Arabic" w:hint="cs"/>
        <w:color w:val="787878"/>
        <w:sz w:val="20"/>
        <w:szCs w:val="20"/>
        <w:rtl/>
      </w:rPr>
      <w:t>المؤتمر الدولي السادس للدراسات الإسلامية المعاصرة والقضايا المستجدة (</w:t>
    </w:r>
    <w:r>
      <w:rPr>
        <w:rFonts w:ascii="Traditional Arabic" w:hAnsi="Traditional Arabic" w:cs="Traditional Arabic" w:hint="cs"/>
        <w:color w:val="787878"/>
        <w:sz w:val="20"/>
        <w:szCs w:val="20"/>
      </w:rPr>
      <w:t>ICCISEI 2026</w:t>
    </w:r>
    <w:r>
      <w:rPr>
        <w:rFonts w:ascii="Traditional Arabic" w:hAnsi="Traditional Arabic" w:cs="Traditional Arabic" w:hint="cs"/>
        <w:color w:val="787878"/>
        <w:sz w:val="20"/>
        <w:szCs w:val="20"/>
        <w:rtl/>
      </w:rPr>
      <w:t>)</w:t>
    </w:r>
    <w:r>
      <w:rPr>
        <w:rFonts w:ascii="Traditional Arabic" w:hAnsi="Traditional Arabic" w:cs="Traditional Arabic" w:hint="cs"/>
        <w:color w:val="787878"/>
        <w:sz w:val="20"/>
        <w:szCs w:val="20"/>
        <w:rtl/>
      </w:rPr>
      <w:br/>
      <w:t>جامعة المدينة العالمية</w:t>
    </w:r>
  </w:p>
  <w:p w14:paraId="7EA87493" w14:textId="5DCB94BD" w:rsidR="002878CA" w:rsidRDefault="009F31FB">
    <w:pPr>
      <w:pStyle w:val="a5"/>
    </w:pPr>
    <w: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C6CC58" w14:textId="77777777" w:rsidR="009F31FB" w:rsidRDefault="009F31F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492259">
    <w:abstractNumId w:val="8"/>
  </w:num>
  <w:num w:numId="2" w16cid:durableId="195318873">
    <w:abstractNumId w:val="6"/>
  </w:num>
  <w:num w:numId="3" w16cid:durableId="512378246">
    <w:abstractNumId w:val="5"/>
  </w:num>
  <w:num w:numId="4" w16cid:durableId="1150362364">
    <w:abstractNumId w:val="4"/>
  </w:num>
  <w:num w:numId="5" w16cid:durableId="811486131">
    <w:abstractNumId w:val="7"/>
  </w:num>
  <w:num w:numId="6" w16cid:durableId="1947151548">
    <w:abstractNumId w:val="3"/>
  </w:num>
  <w:num w:numId="7" w16cid:durableId="1248416341">
    <w:abstractNumId w:val="2"/>
  </w:num>
  <w:num w:numId="8" w16cid:durableId="249511441">
    <w:abstractNumId w:val="1"/>
  </w:num>
  <w:num w:numId="9" w16cid:durableId="8698070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8CA"/>
    <w:rsid w:val="0029639D"/>
    <w:rsid w:val="002A3DDE"/>
    <w:rsid w:val="00326F90"/>
    <w:rsid w:val="00965695"/>
    <w:rsid w:val="009F31FB"/>
    <w:rsid w:val="00AA1D8D"/>
    <w:rsid w:val="00AA2A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1D14A"/>
  <w14:defaultImageDpi w14:val="300"/>
  <w15:docId w15:val="{A13FDB58-DDE5-5547-85FD-C7EF48FA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a1"/>
    <w:rsid w:val="009F31F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FF1A43-F2EB-464D-9A05-0003D1062D5C}">
  <we:reference id="wa200010453" version="1.0.0.1" store="en-US" storeType="OMEX"/>
  <we:alternateReferences>
    <we:reference id="WA200010453" version="1.0.0.1" store="" storeType="OMEX"/>
  </we:alternateReferences>
  <we:properties>
    <we:property name="claude.fileId" value="&quot;5a316aa2-f31b-4833-9aff-c06459a717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5135</Words>
  <Characters>27785</Characters>
  <Application>Microsoft Office Word</Application>
  <DocSecurity>0</DocSecurity>
  <Lines>448</Lines>
  <Paragraphs>118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مركز الملك فهد الثقافي الإسلامي في جمهورية الأرجنتين</cp:lastModifiedBy>
  <cp:revision>2</cp:revision>
  <dcterms:created xsi:type="dcterms:W3CDTF">2013-12-23T23:15:00Z</dcterms:created>
  <dcterms:modified xsi:type="dcterms:W3CDTF">2026-10-13T00:37:00Z</dcterms:modified>
  <cp:category/>
</cp:coreProperties>
</file>