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DC2F97" w14:textId="77777777" w:rsidR="002878CA" w:rsidRDefault="00000000" w:rsidP="00965695">
      <w:pPr>
        <w:keepNext/>
        <w:bidi/>
        <w:spacing w:before="360" w:after="160"/>
      </w:pPr>
      <w:r>
        <w:rPr>
          <w:rFonts w:ascii="Traditional Arabic" w:hAnsi="Traditional Arabic"/>
          <w:b/>
          <w:color w:val="0D5C3A"/>
          <w:sz w:val="36"/>
        </w:rPr>
        <w:t>المقدمة</w:t>
      </w:r>
    </w:p>
    <w:p w14:paraId="331A96D6" w14:textId="77777777" w:rsidR="002878CA" w:rsidRDefault="00000000" w:rsidP="00965695">
      <w:pPr>
        <w:keepNext/>
        <w:bidi/>
        <w:spacing w:before="280" w:after="120"/>
      </w:pPr>
      <w:r>
        <w:rPr>
          <w:rFonts w:ascii="Traditional Arabic" w:hAnsi="Traditional Arabic"/>
          <w:b/>
          <w:color w:val="143250"/>
          <w:sz w:val="32"/>
        </w:rPr>
        <w:t>1. مدخل تمهيدي وسياق الدراسة</w:t>
      </w:r>
    </w:p>
    <w:p w14:paraId="1E1967A3" w14:textId="77777777" w:rsidR="002878CA" w:rsidRDefault="00000000" w:rsidP="00965695">
      <w:pPr>
        <w:bidi/>
        <w:spacing w:after="120"/>
      </w:pPr>
      <w:r>
        <w:rPr>
          <w:rFonts w:ascii="Traditional Arabic" w:hAnsi="Traditional Arabic"/>
          <w:color w:val="282828"/>
          <w:sz w:val="30"/>
        </w:rPr>
        <w:t>الحمد لله رب العالمين، والصلاة والسلام على نبينا محمد الصادق الأمين، المبعوث رحمة للعالمين، وعلى آله وصحبه أجمعين، وبعد:</w:t>
      </w:r>
      <w:r>
        <w:rPr>
          <w:rFonts w:ascii="Traditional Arabic" w:hAnsi="Traditional Arabic"/>
          <w:color w:val="282828"/>
          <w:sz w:val="30"/>
        </w:rPr>
        <w:br/>
        <w:t>فإن الأسرة في المنظور الإسلامي هي أساس المجتمع ومستقر السكن والمودة، ولأجل ذلك أحاطتها الشريعة بسياج متين من الأحكام لحفظ مقاصدها الكبرى في صيانة الدين، والنفس، والنسل، والمال. وقد وصف القرآن الكريم عقد النكاح بأنه «ميثاق غليظ» [النساء: 21]، ورتبت عليه الشريعة من الحقوق المتبادلة والآثار المالية ما لا تستقيم الحياة الزوجية إلا بحفظه ورعايته.</w:t>
      </w:r>
    </w:p>
    <w:p w14:paraId="4FA98E2A" w14:textId="77777777" w:rsidR="002878CA" w:rsidRDefault="00000000" w:rsidP="00965695">
      <w:pPr>
        <w:bidi/>
        <w:spacing w:after="120"/>
      </w:pPr>
      <w:r>
        <w:rPr>
          <w:rFonts w:ascii="Traditional Arabic" w:hAnsi="Traditional Arabic"/>
          <w:color w:val="282828"/>
          <w:sz w:val="30"/>
        </w:rPr>
        <w:lastRenderedPageBreak/>
        <w:t>وإذا كانت الأسرة المسلمة في ديار الإسلام تجد في النظم القضائية والأعراف العامة سنداً يحمي حقوقها، فإن واقع المسلمين المقيمين في الغرب، وفي جمهورية الأرجنتين بوجه خاص، يفرض تحديات عملية تستدعي النظر والاجتهاد. فالجالية المسلمة في الأرجنتين تعيش في ظل دولة مدنية تفصل الدستور عن الأحكام الدينية؛ حيث يعتمد القانون المدني والتجاري الأرجنتيني (Ley 26.994 الصادر عام 2014 والنافذ في الأول من أغسطس 2015) مبدأ احتكار الدولة لعقد الزواج، ولا يعترف بأي أثر مدني لعقود الزواج الدينية المجردة، سواء كانت إسلامية أو كاثوليكية أو غيرها، متى أُبرمت داخل الأراضي الأرجنتينية دون توثيق في السجل المدني.</w:t>
      </w:r>
    </w:p>
    <w:p w14:paraId="36BFB2B5" w14:textId="77777777" w:rsidR="002878CA" w:rsidRDefault="00000000" w:rsidP="00965695">
      <w:pPr>
        <w:bidi/>
        <w:spacing w:after="120"/>
      </w:pPr>
      <w:commentRangeStart w:id="5"/>
      <w:r>
        <w:rPr>
          <w:rFonts w:ascii="Traditional Arabic" w:hAnsi="Traditional Arabic"/>
          <w:color w:val="282828"/>
          <w:sz w:val="30"/>
        </w:rPr>
        <w:t>ومن واقع معايشة الباحث الميدانية بوصفه إماماً وخطيباً لمركز خادم الحرمين الشريفين الملك فهد الثقافي الإسلامي في العاصمة بوينس آيرس —وهو أكبر مركز إسلامي في أمريكا اللاتينية— تتكرر في واقع الجالية مسألتان واضحتان:</w:t>
      </w:r>
      <w:commentRangeEnd w:id="5"/>
      <w:r>
        <w:rPr>
          <w:rStyle w:val="CommentReference"/>
        </w:rPr>
        <w:commentReference w:id="5"/>
      </w:r>
      <w:r>
        <w:rPr>
          <w:rFonts w:ascii="Traditional Arabic" w:hAnsi="Traditional Arabic"/>
          <w:color w:val="282828"/>
          <w:sz w:val="30"/>
        </w:rPr>
        <w:br/>
        <w:t>الأولى: أن يكتفي بعض المسلمين بإجراء العقد الشرعي في المركز الإسلامي أو لدى الأئمة دون تسجيله في السجل المدني الأرجنتيني (Registro Civil).</w:t>
      </w:r>
      <w:r>
        <w:rPr>
          <w:rFonts w:ascii="Traditional Arabic" w:hAnsi="Traditional Arabic"/>
          <w:color w:val="282828"/>
          <w:sz w:val="30"/>
        </w:rPr>
        <w:br/>
        <w:t>والثانية: أن يكتفي آخرون بالزواج في السجل المدني فقط دون استكمال ما يشترطه الفقه الإسلامي لصحة النكاح.</w:t>
      </w:r>
      <w:r>
        <w:rPr>
          <w:rFonts w:ascii="Traditional Arabic" w:hAnsi="Traditional Arabic"/>
          <w:color w:val="282828"/>
          <w:sz w:val="30"/>
        </w:rPr>
        <w:br/>
        <w:t xml:space="preserve">وفي حين يحتاج النقص في الصورة الثانية إلى استكمال العقد الشرعي، فإن الصورة الأولى (العقد الشرعي غير المسجل مدنياً) توقع الأسرة في فراغ قانوني كبير؛ إذ </w:t>
      </w:r>
      <w:commentRangeStart w:id="0"/>
      <w:r>
        <w:rPr>
          <w:rFonts w:ascii="Traditional Arabic" w:hAnsi="Traditional Arabic"/>
          <w:color w:val="282828"/>
          <w:sz w:val="30"/>
          <w:highlight w:val="yellow"/>
        </w:rPr>
        <w:t xml:space="preserve">لا يرتب القانون الأرجنتيني على العقد الديني وحده أثراً مدنياً، ولا تنطبق على هذه العلاقة إلا أحكام المساكنة (Unión convivencial) متى توافرت شروطها</w:t>
      </w:r>
      <w:commentRangeEnd w:id="0"/>
      <w:r>
        <w:rPr>
          <w:rStyle w:val="CommentReference"/>
        </w:rPr>
        <w:commentReference w:id="0"/>
      </w:r>
      <w:r>
        <w:rPr>
          <w:rFonts w:ascii="Traditional Arabic" w:hAnsi="Traditional Arabic"/>
          <w:color w:val="282828"/>
          <w:sz w:val="30"/>
        </w:rPr>
        <w:t xml:space="preserve">، مما يترتب عليه حرمان المرأة من حق الإرث التلقائي، والنفقة الزوجية المعتادة، </w:t>
      </w:r>
      <w:commentRangeStart w:id="1"/>
      <w:r>
        <w:rPr>
          <w:rFonts w:ascii="Traditional Arabic" w:hAnsi="Traditional Arabic"/>
          <w:color w:val="282828"/>
          <w:sz w:val="30"/>
          <w:highlight w:val="yellow"/>
        </w:rPr>
        <w:t xml:space="preserve">وسقوط حقها في المطالبة بالمقابل الاقتصادي بمضي ستة أشهر فقط من انتهاء المساكنة</w:t>
      </w:r>
      <w:commentRangeEnd w:id="1"/>
      <w:r>
        <w:rPr>
          <w:rStyle w:val="CommentReference"/>
        </w:rPr>
        <w:commentReference w:id="1"/>
      </w:r>
      <w:r>
        <w:rPr>
          <w:rFonts w:ascii="Traditional Arabic" w:hAnsi="Traditional Arabic"/>
          <w:color w:val="282828"/>
          <w:sz w:val="30"/>
        </w:rPr>
        <w:t xml:space="preserve">.</w:t>
      </w:r>
    </w:p>
    <w:tbl>
      <w:tblPr>
        <w:tblW w:w="0" w:type="auto"/>
        <w:jc w:val="center"/>
        <w:tblLook w:val="04A0" w:firstRow="1" w:lastRow="0" w:firstColumn="1" w:lastColumn="0" w:noHBand="0" w:noVBand="1"/>
      </w:tblPr>
      <w:tblGrid>
        <w:gridCol w:w="9029"/>
      </w:tblGrid>
      <w:tr w:rsidR="002878CA" w14:paraId="355894C0" w14:textId="77777777">
        <w:trPr>
          <w:jc w:val="center"/>
        </w:trPr>
        <w:tc>
          <w:tcPr>
            <w:tcW w:w="9029" w:type="dxa"/>
            <w:tcBorders>
              <w:right w:val="single" w:sz="24" w:space="0" w:color="0D5C3A"/>
            </w:tcBorders>
            <w:shd w:val="clear" w:color="auto" w:fill="F4F9F6"/>
            <w:tcMar>
              <w:top w:w="160" w:type="dxa"/>
              <w:left w:w="220" w:type="dxa"/>
              <w:bottom w:w="160" w:type="dxa"/>
              <w:right w:w="220" w:type="dxa"/>
            </w:tcMar>
          </w:tcPr>
          <w:p w14:paraId="73378E3C" w14:textId="133986ED" w:rsidR="002878CA" w:rsidRDefault="00000000" w:rsidP="00965695">
            <w:pPr>
              <w:bidi/>
              <w:spacing w:before="40" w:after="60"/>
            </w:pPr>
            <w:commentRangeStart w:id="4"/>
            <w:r>
              <w:rPr>
                <w:rFonts w:ascii="Traditional Arabic" w:hAnsi="Traditional Arabic"/>
                <w:b/>
                <w:color w:val="0D5C3A"/>
                <w:sz w:val="28"/>
                <w:highlight w:val="yellow"/>
              </w:rPr>
              <w:t xml:space="preserve">الواقع الميداني للدراسة:</w:t>
            </w:r>
            <w:commentRangeEnd w:id="4"/>
            <w:r>
              <w:rPr>
                <w:rStyle w:val="CommentReference"/>
              </w:rPr>
              <w:commentReference w:id="4"/>
            </w:r>
            <w:r>
              <w:rPr>
                <w:rFonts w:ascii="Traditional Arabic" w:hAnsi="Traditional Arabic"/>
                <w:b/>
                <w:color w:val="0D5C3A"/>
                <w:sz w:val="28"/>
              </w:rPr>
              <w:t xml:space="preserve"> </w:t>
            </w:r>
            <w:r>
              <w:rPr>
                <w:rFonts w:ascii="Traditional Arabic" w:hAnsi="Traditional Arabic"/>
                <w:color w:val="282828"/>
                <w:sz w:val="27"/>
              </w:rPr>
              <w:t xml:space="preserve">تنبع أهمية هذه الدراسة من ملامستها لحالات واقعية </w:t>
            </w:r>
            <w:proofErr w:type="spellStart"/>
            <w:commentRangeStart w:id="6"/>
            <w:r>
              <w:rPr>
                <w:rFonts w:ascii="Traditional Arabic" w:hAnsi="Traditional Arabic"/>
                <w:color w:val="282828"/>
                <w:sz w:val="27"/>
              </w:rPr>
              <w:t>عاينها</w:t>
            </w:r>
            <w:commentRangeEnd w:id="6"/>
            <w:r>
              <w:rPr>
                <w:rStyle w:val="CommentReference"/>
              </w:rPr>
              <w:commentReference w:id="6"/>
            </w:r>
            <w:proofErr w:type="spellEnd"/>
            <w:r>
              <w:rPr>
                <w:rFonts w:ascii="Traditional Arabic" w:hAnsi="Traditional Arabic"/>
                <w:color w:val="282828"/>
                <w:sz w:val="27"/>
              </w:rPr>
              <w:t xml:space="preserve"> </w:t>
            </w:r>
            <w:proofErr w:type="spellStart"/>
            <w:r>
              <w:rPr>
                <w:rFonts w:ascii="Traditional Arabic" w:hAnsi="Traditional Arabic"/>
                <w:color w:val="282828"/>
                <w:sz w:val="27"/>
              </w:rPr>
              <w:t>الباحث</w:t>
            </w:r>
            <w:proofErr w:type="spellEnd"/>
            <w:r>
              <w:rPr>
                <w:rFonts w:ascii="Traditional Arabic" w:hAnsi="Traditional Arabic"/>
                <w:color w:val="282828"/>
                <w:sz w:val="27"/>
              </w:rPr>
              <w:t xml:space="preserve"> في </w:t>
            </w:r>
            <w:proofErr w:type="spellStart"/>
            <w:r>
              <w:rPr>
                <w:rFonts w:ascii="Traditional Arabic" w:hAnsi="Traditional Arabic"/>
                <w:color w:val="282828"/>
                <w:sz w:val="27"/>
              </w:rPr>
              <w:t>المركز</w:t>
            </w:r>
            <w:proofErr w:type="spellEnd"/>
            <w:r>
              <w:rPr>
                <w:rFonts w:ascii="Traditional Arabic" w:hAnsi="Traditional Arabic"/>
                <w:color w:val="282828"/>
                <w:sz w:val="27"/>
              </w:rPr>
              <w:t xml:space="preserve"> الإسلامي؛ </w:t>
            </w:r>
            <w:proofErr w:type="spellStart"/>
            <w:r>
              <w:rPr>
                <w:rFonts w:ascii="Traditional Arabic" w:hAnsi="Traditional Arabic"/>
                <w:color w:val="282828"/>
                <w:sz w:val="27"/>
              </w:rPr>
              <w:t>حيث</w:t>
            </w:r>
            <w:proofErr w:type="spellEnd"/>
            <w:r>
              <w:rPr>
                <w:rFonts w:ascii="Traditional Arabic" w:hAnsi="Traditional Arabic"/>
                <w:color w:val="282828"/>
                <w:sz w:val="27"/>
              </w:rPr>
              <w:t xml:space="preserve"> </w:t>
            </w:r>
            <w:proofErr w:type="spellStart"/>
            <w:r>
              <w:rPr>
                <w:rFonts w:ascii="Traditional Arabic" w:hAnsi="Traditional Arabic"/>
                <w:color w:val="282828"/>
                <w:sz w:val="27"/>
              </w:rPr>
              <w:t>تواجه</w:t>
            </w:r>
            <w:proofErr w:type="spellEnd"/>
            <w:r>
              <w:rPr>
                <w:rFonts w:ascii="Traditional Arabic" w:hAnsi="Traditional Arabic"/>
                <w:color w:val="282828"/>
                <w:sz w:val="27"/>
              </w:rPr>
              <w:t xml:space="preserve"> نساء مسلمات صعوبات بالغة في نيل حقوقهن الشرعية أمام القضاء الأرجنتيني بسبب غياب الوثيقة الرسمية، في حين يستغل بعض الأزواج هذا الفراغ للتنصل من واجباتهم المالية.</w:t>
            </w:r>
          </w:p>
        </w:tc>
      </w:tr>
    </w:tbl>
    <w:p w14:paraId="224F5475" w14:textId="77777777" w:rsidR="002878CA" w:rsidRDefault="002878CA" w:rsidP="00965695">
      <w:pPr>
        <w:bidi/>
        <w:spacing w:after="80"/>
      </w:pPr>
    </w:p>
    <w:p w14:paraId="5867C3A6" w14:textId="77777777" w:rsidR="002878CA" w:rsidRDefault="00000000" w:rsidP="00965695">
      <w:pPr>
        <w:keepNext/>
        <w:bidi/>
        <w:spacing w:before="280" w:after="120"/>
      </w:pPr>
      <w:r>
        <w:rPr>
          <w:rFonts w:ascii="Traditional Arabic" w:hAnsi="Traditional Arabic"/>
          <w:b/>
          <w:color w:val="143250"/>
          <w:sz w:val="32"/>
        </w:rPr>
        <w:t>2. مشكلة البحث وأسئلته</w:t>
      </w:r>
    </w:p>
    <w:p w14:paraId="1FC9AB85" w14:textId="719744CD" w:rsidR="002878CA" w:rsidRDefault="00000000" w:rsidP="00965695">
      <w:pPr>
        <w:bidi/>
        <w:spacing w:after="120"/>
      </w:pPr>
      <w:r>
        <w:rPr>
          <w:rFonts w:ascii="Traditional Arabic" w:hAnsi="Traditional Arabic"/>
          <w:color w:val="282828"/>
          <w:sz w:val="30"/>
        </w:rPr>
        <w:t>تتلخص مشكلة البحث في بيان: «الحكم الفقهي والمقاصدي للاكتفاء بالعقد الشرعي غير المسجل مدنياً لدى المسلمين في الأرجنتين، وما يترتب عليه من فراغ قانوني يؤدي إلى ضياع حقوق الزوجة والأولاد، مع بيان الحلول والتدابير الوقائية لحفظ هذه الحقوق».</w:t>
      </w:r>
      <w:r>
        <w:rPr>
          <w:rFonts w:ascii="Traditional Arabic" w:hAnsi="Traditional Arabic"/>
          <w:color w:val="282828"/>
          <w:sz w:val="30"/>
        </w:rPr>
        <w:br/>
        <w:t>ويتفرع عن هذا الإشكال الأسئلة الآتية:</w:t>
      </w:r>
      <w:r>
        <w:rPr>
          <w:rFonts w:ascii="Traditional Arabic" w:hAnsi="Traditional Arabic"/>
          <w:color w:val="282828"/>
          <w:sz w:val="30"/>
        </w:rPr>
        <w:br/>
        <w:t xml:space="preserve">1. ما التكييف الفقهي والأصولي لعقد الزواج غير الموثق مدنياً في بيئة الأقليات، وما حكم اشتراط التوثيق في ضوء </w:t>
      </w:r>
      <w:r>
        <w:rPr>
          <w:rFonts w:ascii="Traditional Arabic" w:hAnsi="Traditional Arabic"/>
          <w:color w:val="282828"/>
          <w:sz w:val="30"/>
        </w:rPr>
        <w:lastRenderedPageBreak/>
        <w:t>القواعد الفقهية ومقاصد الشريعة؟</w:t>
      </w:r>
      <w:r>
        <w:rPr>
          <w:rFonts w:ascii="Traditional Arabic" w:hAnsi="Traditional Arabic"/>
          <w:color w:val="282828"/>
          <w:sz w:val="30"/>
        </w:rPr>
        <w:br/>
        <w:t>2. ما الآثار القانونية المترتبة على عدم التوثيق في القانون المدني والتجاري الأرجنتيني (Ley 26.994) على الزوجة والأولاد؟</w:t>
      </w:r>
      <w:r>
        <w:rPr>
          <w:rFonts w:ascii="Traditional Arabic" w:hAnsi="Traditional Arabic"/>
          <w:color w:val="282828"/>
          <w:sz w:val="30"/>
        </w:rPr>
        <w:br/>
        <w:t xml:space="preserve">3. كيف </w:t>
      </w:r>
      <w:proofErr w:type="spellStart"/>
      <w:r>
        <w:rPr>
          <w:rFonts w:ascii="Traditional Arabic" w:hAnsi="Traditional Arabic"/>
          <w:color w:val="282828"/>
          <w:sz w:val="30"/>
        </w:rPr>
        <w:t>تعاملت</w:t>
      </w:r>
      <w:proofErr w:type="spellEnd"/>
      <w:r>
        <w:rPr>
          <w:rFonts w:ascii="Traditional Arabic" w:hAnsi="Traditional Arabic"/>
          <w:color w:val="282828"/>
          <w:sz w:val="30"/>
        </w:rPr>
        <w:t xml:space="preserve"> </w:t>
      </w:r>
      <w:proofErr w:type="spellStart"/>
      <w:r>
        <w:rPr>
          <w:rFonts w:ascii="Traditional Arabic" w:hAnsi="Traditional Arabic"/>
          <w:color w:val="282828"/>
          <w:sz w:val="30"/>
        </w:rPr>
        <w:t>النظم</w:t>
      </w:r>
      <w:proofErr w:type="spellEnd"/>
      <w:r>
        <w:rPr>
          <w:rFonts w:ascii="Traditional Arabic" w:hAnsi="Traditional Arabic"/>
          <w:color w:val="282828"/>
          <w:sz w:val="30"/>
        </w:rPr>
        <w:t xml:space="preserve"> </w:t>
      </w:r>
      <w:proofErr w:type="spellStart"/>
      <w:r>
        <w:rPr>
          <w:rFonts w:ascii="Traditional Arabic" w:hAnsi="Traditional Arabic"/>
          <w:color w:val="282828"/>
          <w:sz w:val="30"/>
        </w:rPr>
        <w:t>الغربية</w:t>
      </w:r>
      <w:proofErr w:type="spellEnd"/>
      <w:r>
        <w:rPr>
          <w:rFonts w:ascii="Traditional Arabic" w:hAnsi="Traditional Arabic"/>
          <w:color w:val="282828"/>
          <w:sz w:val="30"/>
        </w:rPr>
        <w:t xml:space="preserve"> </w:t>
      </w:r>
      <w:proofErr w:type="spellStart"/>
      <w:r>
        <w:rPr>
          <w:rFonts w:ascii="Traditional Arabic" w:hAnsi="Traditional Arabic"/>
          <w:color w:val="282828"/>
          <w:sz w:val="30"/>
        </w:rPr>
        <w:t>المقارنة</w:t>
      </w:r>
      <w:proofErr w:type="spellEnd"/>
      <w:r>
        <w:rPr>
          <w:rFonts w:ascii="Traditional Arabic" w:hAnsi="Traditional Arabic"/>
          <w:color w:val="282828"/>
          <w:sz w:val="30"/>
        </w:rPr>
        <w:t xml:space="preserve"> </w:t>
      </w:r>
      <w:proofErr w:type="spellStart"/>
      <w:r>
        <w:rPr>
          <w:rFonts w:ascii="Traditional Arabic" w:hAnsi="Traditional Arabic"/>
          <w:color w:val="282828"/>
          <w:sz w:val="30"/>
        </w:rPr>
        <w:t>والمدونة</w:t>
      </w:r>
      <w:proofErr w:type="spellEnd"/>
      <w:r>
        <w:rPr>
          <w:rFonts w:ascii="Traditional Arabic" w:hAnsi="Traditional Arabic"/>
          <w:color w:val="282828"/>
          <w:sz w:val="30"/>
        </w:rPr>
        <w:t xml:space="preserve"> </w:t>
      </w:r>
      <w:proofErr w:type="spellStart"/>
      <w:r>
        <w:rPr>
          <w:rFonts w:ascii="Traditional Arabic" w:hAnsi="Traditional Arabic"/>
          <w:color w:val="282828"/>
          <w:sz w:val="30"/>
        </w:rPr>
        <w:t>القضائية</w:t>
      </w:r>
      <w:proofErr w:type="spellEnd"/>
      <w:r>
        <w:rPr>
          <w:rFonts w:ascii="Traditional Arabic" w:hAnsi="Traditional Arabic"/>
          <w:color w:val="282828"/>
          <w:sz w:val="30"/>
        </w:rPr>
        <w:t xml:space="preserve"> </w:t>
      </w:r>
      <w:proofErr w:type="spellStart"/>
      <w:r>
        <w:rPr>
          <w:rFonts w:ascii="Traditional Arabic" w:hAnsi="Traditional Arabic"/>
          <w:color w:val="282828"/>
          <w:sz w:val="30"/>
        </w:rPr>
        <w:t>الدولية</w:t>
      </w:r>
      <w:proofErr w:type="spellEnd"/>
      <w:r>
        <w:rPr>
          <w:rFonts w:ascii="Traditional Arabic" w:hAnsi="Traditional Arabic"/>
          <w:color w:val="282828"/>
          <w:sz w:val="30"/>
        </w:rPr>
        <w:t xml:space="preserve"> مع النزاعات الناشئة عن الزواج الديني غير المسجل؟</w:t>
      </w:r>
      <w:r>
        <w:rPr>
          <w:rFonts w:ascii="Traditional Arabic" w:hAnsi="Traditional Arabic"/>
          <w:color w:val="282828"/>
          <w:sz w:val="30"/>
        </w:rPr>
        <w:br/>
        <w:t>4. ما التدابير التعاقدية الوقائية، والأدوات الرقمية المعاصرة، التي يمكن للمراكز الإسلامية والأئمة توظيفها في إطار السياسة الشرعية لحماية الأسرة؟</w:t>
      </w:r>
    </w:p>
    <w:p w14:paraId="16C5DC98" w14:textId="77777777" w:rsidR="002878CA" w:rsidRDefault="00000000" w:rsidP="00965695">
      <w:pPr>
        <w:keepNext/>
        <w:bidi/>
        <w:spacing w:before="280" w:after="120"/>
      </w:pPr>
      <w:r>
        <w:rPr>
          <w:rFonts w:ascii="Traditional Arabic" w:hAnsi="Traditional Arabic"/>
          <w:b/>
          <w:color w:val="143250"/>
          <w:sz w:val="32"/>
        </w:rPr>
        <w:t>3. أهداف البحث وأهميته</w:t>
      </w:r>
    </w:p>
    <w:p w14:paraId="3FAC6D70" w14:textId="77777777" w:rsidR="002878CA" w:rsidRDefault="00000000" w:rsidP="00965695">
      <w:pPr>
        <w:bidi/>
        <w:spacing w:after="120"/>
      </w:pPr>
      <w:r>
        <w:rPr>
          <w:rFonts w:ascii="Traditional Arabic" w:hAnsi="Traditional Arabic"/>
          <w:color w:val="282828"/>
          <w:sz w:val="30"/>
        </w:rPr>
        <w:t>يهدف هذا البحث إلى:</w:t>
      </w:r>
      <w:r>
        <w:rPr>
          <w:rFonts w:ascii="Traditional Arabic" w:hAnsi="Traditional Arabic"/>
          <w:color w:val="282828"/>
          <w:sz w:val="30"/>
        </w:rPr>
        <w:br/>
        <w:t>1. تأصيل حكم التوثيق المدني في ديار الأقليات بالاستناد إلى القواعد الفقهية الكبرى ونظائرها في عمل الفقهاء والسياسة الشرعية.</w:t>
      </w:r>
      <w:r>
        <w:rPr>
          <w:rFonts w:ascii="Traditional Arabic" w:hAnsi="Traditional Arabic"/>
          <w:color w:val="282828"/>
          <w:sz w:val="30"/>
        </w:rPr>
        <w:br/>
        <w:t>2. بيان نصوص القانون الأرجنتيني النافذ بأسلوب ميسر يوضح لعلماء الشريعة والباحثين حقيقة الوضع القانوني للمرأة والطفل في الزواج غير الموثق.</w:t>
      </w:r>
      <w:r>
        <w:rPr>
          <w:rFonts w:ascii="Traditional Arabic" w:hAnsi="Traditional Arabic"/>
          <w:color w:val="282828"/>
          <w:sz w:val="30"/>
        </w:rPr>
        <w:br/>
        <w:t>3. مقارنة النموذج الأرجنتيني بنظم غربية أخرى كإسبانيا وفرنسا وبريطانيا للاستفادة من تجاربها وقضائها.</w:t>
      </w:r>
      <w:r>
        <w:rPr>
          <w:rFonts w:ascii="Traditional Arabic" w:hAnsi="Traditional Arabic"/>
          <w:color w:val="282828"/>
          <w:sz w:val="30"/>
        </w:rPr>
        <w:br/>
        <w:t>4. تقديم مقترحات إجرائية وعملية تعين الأئمة والمراكز الإسلامية على حماية حقوق الأسر المسلمة والحد من النزاعات.</w:t>
      </w:r>
      <w:r>
        <w:rPr>
          <w:rFonts w:ascii="Traditional Arabic" w:hAnsi="Traditional Arabic"/>
          <w:color w:val="282828"/>
          <w:sz w:val="30"/>
        </w:rPr>
        <w:br/>
      </w:r>
      <w:r>
        <w:rPr>
          <w:rFonts w:ascii="Traditional Arabic" w:hAnsi="Traditional Arabic"/>
          <w:color w:val="282828"/>
          <w:sz w:val="30"/>
        </w:rPr>
        <w:br/>
        <w:t>وتبرز أهمية البحث في كونه يسد نقصاً في الدراسات الفقهية المقارنة؛ إذ ركزت أغلب البحوث السابقة على البيئات العربية أو على دول القانون العام كبريطانيا وأمريكا، في حين بقيت بيئة أمريكا اللاتينية وقوانينها المدنية بحاجة إلى دراسة شرعية وافية.</w:t>
      </w:r>
    </w:p>
    <w:p w14:paraId="54EF40B2" w14:textId="77777777" w:rsidR="002878CA" w:rsidRDefault="00000000" w:rsidP="00965695">
      <w:pPr>
        <w:keepNext/>
        <w:bidi/>
        <w:spacing w:before="280" w:after="120"/>
      </w:pPr>
      <w:r>
        <w:rPr>
          <w:rFonts w:ascii="Traditional Arabic" w:hAnsi="Traditional Arabic"/>
          <w:b/>
          <w:color w:val="143250"/>
          <w:sz w:val="32"/>
        </w:rPr>
        <w:t>4. الدراسات السابقة وفجوة البحث</w:t>
      </w:r>
    </w:p>
    <w:p w14:paraId="7991D2CA" w14:textId="77777777" w:rsidR="002878CA" w:rsidRDefault="00000000" w:rsidP="00965695">
      <w:pPr>
        <w:bidi/>
        <w:spacing w:after="120"/>
      </w:pPr>
      <w:r>
        <w:rPr>
          <w:rFonts w:ascii="Traditional Arabic" w:hAnsi="Traditional Arabic"/>
          <w:color w:val="282828"/>
          <w:sz w:val="30"/>
        </w:rPr>
        <w:t>تناولت دراسات سابقة موضوع توثيق الزواج من زوايا متعددة، ويمكن تصنيفها إلى:</w:t>
      </w:r>
      <w:r>
        <w:rPr>
          <w:rFonts w:ascii="Traditional Arabic" w:hAnsi="Traditional Arabic"/>
          <w:color w:val="282828"/>
          <w:sz w:val="30"/>
        </w:rPr>
        <w:br/>
        <w:t xml:space="preserve">• دراسات شرعية في الزواج غير الموثق في الدول الإسلامية: مثل أطروحة العتيبي</w:t>
      </w:r>
      <w:r>
        <w:rPr>
          <w:vertAlign w:val="superscript"/>
        </w:rPr>
        <w:footnoteReference w:id="1"/>
      </w:r>
      <w:r>
        <w:rPr>
          <w:rFonts w:ascii="Traditional Arabic" w:hAnsi="Traditional Arabic"/>
          <w:color w:val="282828"/>
          <w:sz w:val="30"/>
        </w:rPr>
        <w:t xml:space="preserve"> بجامعة أم القرى، وبحث الزحيلي</w:t>
      </w:r>
      <w:r>
        <w:rPr>
          <w:vertAlign w:val="superscript"/>
        </w:rPr>
        <w:footnoteReference w:id="2"/>
      </w:r>
      <w:r>
        <w:rPr>
          <w:rFonts w:ascii="Traditional Arabic" w:hAnsi="Traditional Arabic"/>
          <w:color w:val="282828"/>
          <w:sz w:val="30"/>
        </w:rPr>
        <w:t xml:space="preserve">، وقد بحثت صحة العقد وشروطه ديانة، لكنها انطلقت من واقع مجتمعات تعتمد القضاء الشرعي ويسهل فيها إثبات الزوجية بشهادة الشهود.</w:t>
      </w:r>
      <w:commentRangeStart w:id="2"/>
      <w:r>
        <w:rPr>
          <w:rFonts w:ascii="Traditional Arabic" w:hAnsi="Traditional Arabic"/>
          <w:color w:val="282828"/>
          <w:sz w:val="30"/>
        </w:rPr>
        <w:br/>
        <w:t xml:space="preserve">• دراسات غربية في بيئات القانون العام (Common Law): مثل دراسات فيرغسون</w:t>
      </w:r>
      <w:commentRangeEnd w:id="2"/>
      <w:r>
        <w:rPr>
          <w:rStyle w:val="CommentReference"/>
        </w:rPr>
        <w:commentReference w:id="2"/>
      </w:r>
      <w:r>
        <w:rPr>
          <w:vertAlign w:val="superscript"/>
        </w:rPr>
        <w:footnoteReference w:id="3"/>
      </w:r>
      <w:r>
        <w:rPr>
          <w:rFonts w:ascii="Traditional Arabic" w:hAnsi="Traditional Arabic"/>
          <w:color w:val="282828"/>
          <w:sz w:val="30"/>
        </w:rPr>
        <w:t xml:space="preserve"> وسامية بانو</w:t>
      </w:r>
      <w:r>
        <w:rPr>
          <w:vertAlign w:val="superscript"/>
        </w:rPr>
        <w:footnoteReference w:id="4"/>
      </w:r>
      <w:r>
        <w:rPr>
          <w:rFonts w:ascii="Traditional Arabic" w:hAnsi="Traditional Arabic"/>
          <w:color w:val="282828"/>
          <w:sz w:val="30"/>
        </w:rPr>
        <w:t xml:space="preserve"> حول الزواج الإسلامي غير المسجل في بريطانيا، وهي دراسات مفيدة لكنها تبحث </w:t>
      </w:r>
      <w:r>
        <w:rPr>
          <w:rFonts w:ascii="Traditional Arabic" w:hAnsi="Traditional Arabic"/>
          <w:color w:val="282828"/>
          <w:sz w:val="30"/>
        </w:rPr>
        <w:lastRenderedPageBreak/>
        <w:t>نظاماً قضائياً يختلف عن القانون المدني اللاتيني المعمول به في الأرجنتين.</w:t>
      </w:r>
      <w:r>
        <w:rPr>
          <w:rFonts w:ascii="Traditional Arabic" w:hAnsi="Traditional Arabic"/>
          <w:color w:val="282828"/>
          <w:sz w:val="30"/>
        </w:rPr>
        <w:br/>
        <w:t xml:space="preserve">• دراسات قانونية أرجنتينية: مثل دراسة فارفان وميدينا</w:t>
      </w:r>
      <w:r>
        <w:rPr>
          <w:vertAlign w:val="superscript"/>
        </w:rPr>
        <w:footnoteReference w:id="5"/>
      </w:r>
      <w:r>
        <w:rPr>
          <w:rFonts w:ascii="Traditional Arabic" w:hAnsi="Traditional Arabic"/>
          <w:color w:val="282828"/>
          <w:sz w:val="30"/>
        </w:rPr>
        <w:t xml:space="preserve"> وشروح هيريرا</w:t>
      </w:r>
      <w:r>
        <w:rPr>
          <w:vertAlign w:val="superscript"/>
        </w:rPr>
        <w:footnoteReference w:id="6"/>
      </w:r>
      <w:r>
        <w:rPr>
          <w:rFonts w:ascii="Traditional Arabic" w:hAnsi="Traditional Arabic"/>
          <w:color w:val="282828"/>
          <w:sz w:val="30"/>
        </w:rPr>
        <w:t xml:space="preserve"> لنظام الأسرة، وهي بحوث قانونية بحتة لا تتطرق إلى الأحكام الفقهية للمسلمين.</w:t>
      </w:r>
      <w:r>
        <w:rPr>
          <w:rFonts w:ascii="Traditional Arabic" w:hAnsi="Traditional Arabic"/>
          <w:color w:val="282828"/>
          <w:sz w:val="30"/>
        </w:rPr>
        <w:br/>
      </w:r>
      <w:r>
        <w:rPr>
          <w:rFonts w:ascii="Traditional Arabic" w:hAnsi="Traditional Arabic"/>
          <w:color w:val="282828"/>
          <w:sz w:val="30"/>
        </w:rPr>
        <w:br/>
      </w:r>
      <w:commentRangeStart w:id="3"/>
      <w:r>
        <w:rPr>
          <w:rFonts w:ascii="Traditional Arabic" w:hAnsi="Traditional Arabic"/>
          <w:color w:val="282828"/>
          <w:sz w:val="30"/>
          <w:highlight w:val="yellow"/>
        </w:rPr>
        <w:t xml:space="preserve">فجوة البحث:</w:t>
      </w:r>
      <w:commentRangeEnd w:id="3"/>
      <w:r>
        <w:rPr>
          <w:rStyle w:val="CommentReference"/>
        </w:rPr>
        <w:commentReference w:id="3"/>
      </w:r>
      <w:r>
        <w:rPr>
          <w:rFonts w:ascii="Traditional Arabic" w:hAnsi="Traditional Arabic"/>
          <w:color w:val="282828"/>
          <w:sz w:val="30"/>
        </w:rPr>
        <w:t xml:space="preserve"> تكمن إضافة هذه الورقة في الجمع بين التأصيل الفقهي المقاصدي الرصين والتحليل العملي لقانون الأرجنتين المدني النافذ، انطلاقاً من الواقع الحي لأكبر مركز إسلامي في أمريكا اللاتينية.</w:t>
      </w:r>
    </w:p>
    <w:p w14:paraId="6A507F53" w14:textId="77777777" w:rsidR="002878CA" w:rsidRDefault="00000000" w:rsidP="00965695">
      <w:pPr>
        <w:keepNext/>
        <w:bidi/>
        <w:spacing w:before="280" w:after="120"/>
      </w:pPr>
      <w:r>
        <w:rPr>
          <w:rFonts w:ascii="Traditional Arabic" w:hAnsi="Traditional Arabic"/>
          <w:b/>
          <w:color w:val="143250"/>
          <w:sz w:val="32"/>
        </w:rPr>
        <w:t>5. منهجية البحث وهيكله</w:t>
      </w:r>
    </w:p>
    <w:p w14:paraId="2D317B3B" w14:textId="77777777" w:rsidR="002878CA" w:rsidRDefault="00000000" w:rsidP="00965695">
      <w:pPr>
        <w:bidi/>
        <w:spacing w:after="120"/>
      </w:pPr>
      <w:r>
        <w:rPr>
          <w:rFonts w:ascii="Traditional Arabic" w:hAnsi="Traditional Arabic"/>
          <w:color w:val="282828"/>
          <w:sz w:val="30"/>
        </w:rPr>
        <w:t>اعتمد البحث المنهج الاستقرائي لتتبع النصوص الشرعية ومواد القانون، والمنهج التحليلي المقاصدي لدراسة علل الأحكام ومآلاتها، والمنهج المقارن للموازنة بين مقتضيات الشريعة وأحكام القانون الوضعي.</w:t>
      </w:r>
      <w:r>
        <w:rPr>
          <w:rFonts w:ascii="Traditional Arabic" w:hAnsi="Traditional Arabic"/>
          <w:color w:val="282828"/>
          <w:sz w:val="30"/>
        </w:rPr>
        <w:br/>
      </w:r>
      <w:r>
        <w:rPr>
          <w:rFonts w:ascii="Traditional Arabic" w:hAnsi="Traditional Arabic"/>
          <w:color w:val="282828"/>
          <w:sz w:val="30"/>
        </w:rPr>
        <w:br/>
        <w:t>وقد انتظم البحث في أربعة مباحث وخاتمة:</w:t>
      </w:r>
      <w:r>
        <w:rPr>
          <w:rFonts w:ascii="Traditional Arabic" w:hAnsi="Traditional Arabic"/>
          <w:color w:val="282828"/>
          <w:sz w:val="30"/>
        </w:rPr>
        <w:br/>
        <w:t>• المبحث الأول: التكييف الفقهي والتأصيل الأصولي والمقاصدي لحكم التوثيق المدني.</w:t>
      </w:r>
      <w:r>
        <w:rPr>
          <w:rFonts w:ascii="Traditional Arabic" w:hAnsi="Traditional Arabic"/>
          <w:color w:val="282828"/>
          <w:sz w:val="30"/>
        </w:rPr>
        <w:br/>
        <w:t>• المبحث الثاني: الآثار القانونية لعدم التوثيق في القانون المدني والتجاري الأرجنتيني (Ley 26.994).</w:t>
      </w:r>
      <w:r>
        <w:rPr>
          <w:rFonts w:ascii="Traditional Arabic" w:hAnsi="Traditional Arabic"/>
          <w:color w:val="282828"/>
          <w:sz w:val="30"/>
        </w:rPr>
        <w:br/>
        <w:t>• المبحث الثالث: الموازنة بالنظم الغربية والمدونة القضائية المقارنة.</w:t>
      </w:r>
      <w:r>
        <w:rPr>
          <w:rFonts w:ascii="Traditional Arabic" w:hAnsi="Traditional Arabic"/>
          <w:color w:val="282828"/>
          <w:sz w:val="30"/>
        </w:rPr>
        <w:br/>
        <w:t>• المبحث الرابع: سبل الوقاية ودور المراكز والأئمة والقرائن الرقمية في السياسة الشرعية.</w:t>
      </w:r>
      <w:r>
        <w:rPr>
          <w:rFonts w:ascii="Traditional Arabic" w:hAnsi="Traditional Arabic"/>
          <w:color w:val="282828"/>
          <w:sz w:val="30"/>
        </w:rPr>
        <w:br/>
        <w:t>• الخاتمة: وتتضمن أهم النتائج والتوصيات.</w:t>
      </w:r>
    </w:p>
    <w:sectPr w:rsidR="002878CA" w:rsidRPr="009F31FB" w:rsidSect="00034616">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مراجعة)" w:initials="CL" w:date="2026-10-19T06:00:19Z">
    <w:p>
      <w:pPr>
        <w:pStyle w:val="CommentText"/>
      </w:pPr>
      <w:r>
        <w:rPr>
          <w:rStyle w:val="CommentReference"/>
        </w:rPr>
        <w:annotationRef/>
      </w:r>
      <w:r>
        <w:t>المادتان 406 و510. التقرير، ثامنًا ٢.</w:t>
      </w:r>
    </w:p>
  </w:comment>
  <w:comment w:id="1" w:author="Claude (مراجعة)" w:initials="CL" w:date="2026-10-19T06:00:19Z">
    <w:p>
      <w:pPr>
        <w:pStyle w:val="CommentText"/>
      </w:pPr>
      <w:r>
        <w:rPr>
          <w:rStyle w:val="CommentReference"/>
        </w:rPr>
        <w:annotationRef/>
      </w:r>
      <w:r>
        <w:t>المادة 525: المدة تبدأ من سبب الانتهاء المعدد في المادة 523، لا من «الانفصال» عمومًا. التقرير، ثامنًا ٢.</w:t>
      </w:r>
    </w:p>
  </w:comment>
  <w:comment w:id="2" w:author="Claude (مراجعة)" w:initials="CL" w:date="2026-10-19T06:00:19Z">
    <w:p>
      <w:pPr>
        <w:pStyle w:val="CommentText"/>
      </w:pPr>
      <w:r>
        <w:rPr>
          <w:rStyle w:val="CommentReference"/>
        </w:rPr>
        <w:annotationRef/>
      </w:r>
      <w:r>
        <w:t>بيانات الدراستين في الحاشيتين 3 و4 (المجلة والعدد والصفحات) لم أطابقها. والموضع في المستلة المعدَّلة ما زال فارغًا. التقرير، عاشرًا ٤.</w:t>
      </w:r>
    </w:p>
  </w:comment>
  <w:comment w:id="3" w:author="Claude (مراجعة)" w:initials="CL" w:date="2026-10-19T06:00:19Z">
    <w:p>
      <w:pPr>
        <w:pStyle w:val="CommentText"/>
      </w:pPr>
      <w:r>
        <w:rPr>
          <w:rStyle w:val="CommentReference"/>
        </w:rPr>
        <w:annotationRef/>
      </w:r>
      <w:r>
        <w:t>حذف الرمز التنظيمي (قاعدة ملف التسليم)، والصياغة باقية.</w:t>
      </w:r>
    </w:p>
  </w:comment>
  <w:comment w:id="4" w:author="Claude (مراجعة)" w:initials="CL" w:date="2026-10-19T06:00:19Z">
    <w:p>
      <w:pPr>
        <w:pStyle w:val="CommentText"/>
      </w:pPr>
      <w:r>
        <w:rPr>
          <w:rStyle w:val="CommentReference"/>
        </w:rPr>
        <w:annotationRef/>
      </w:r>
      <w:r>
        <w:t>حذف الرمز. ويُستحسن أن يصير الصندوق فقرة عادية. التقرير، ثالثًا.</w:t>
      </w:r>
    </w:p>
  </w:comment>
  <w:comment w:id="5" w:author="Claude (مراجعة)" w:initials="CL" w:date="2026-10-19T06:00:19Z">
    <w:p>
      <w:pPr>
        <w:pStyle w:val="CommentText"/>
      </w:pPr>
      <w:r>
        <w:rPr>
          <w:rStyle w:val="CommentReference"/>
        </w:rPr>
        <w:annotationRef/>
      </w:r>
      <w:r>
        <w:t>قاعدة ملف التسليم: «البحث» لا «الباحث». والمقدمة المعدَّلة (المستلة) خالية منها، فتُنقل إلى هذه النسخة. التقرير، ثالثًا.</w:t>
      </w:r>
    </w:p>
  </w:comment>
  <w:comment w:id="6" w:author="Claude (مراجعة)" w:initials="CL" w:date="2026-10-19T06:00:19Z">
    <w:p>
      <w:pPr>
        <w:pStyle w:val="CommentText"/>
      </w:pPr>
      <w:r>
        <w:rPr>
          <w:rStyle w:val="CommentReference"/>
        </w:rPr>
        <w:annotationRef/>
      </w:r>
      <w:r>
        <w:t>كالملاحظة السابقة في «الباحث».</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750172" w14:textId="77777777" w:rsidR="002A3DDE" w:rsidRDefault="002A3DDE">
      <w:pPr>
        <w:spacing w:after="0" w:line="240" w:lineRule="auto"/>
      </w:pPr>
      <w:r>
        <w:separator/>
      </w:r>
    </w:p>
  </w:endnote>
  <w:endnote w:type="continuationSeparator" w:id="0">
    <w:p w14:paraId="48D4E4C3" w14:textId="77777777" w:rsidR="002A3DDE" w:rsidRDefault="002A3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raditional Arabic">
    <w:panose1 w:val="02020603050405020304"/>
    <w:charset w:val="B2"/>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B090CA" w14:textId="77777777" w:rsidR="009F31FB" w:rsidRDefault="009F31F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03419F" w14:textId="5D24DD5B" w:rsidR="009F31FB" w:rsidRDefault="009F31FB">
    <w:pPr>
      <w:pStyle w:val="a6"/>
      <w:jc w:val="center"/>
      <w:rPr>
        <w:sz w:val="24"/>
        <w:szCs w:val="24"/>
      </w:rPr>
    </w:pPr>
    <w:r>
      <w:rPr>
        <w:rFonts w:ascii="Traditional Arabic" w:hAnsi="Traditional Arabic" w:cs="Traditional Arabic" w:hint="cs"/>
        <w:color w:val="787878"/>
        <w:sz w:val="20"/>
        <w:szCs w:val="20"/>
      </w:rPr>
      <w:t xml:space="preserve">- </w:t>
    </w:r>
    <w:r>
      <w:fldChar w:fldCharType="begin"/>
    </w:r>
    <w:r>
      <w:instrText>PAGE</w:instrText>
    </w:r>
    <w:r>
      <w:fldChar w:fldCharType="separate"/>
    </w:r>
    <w:r>
      <w:rPr>
        <w:noProof/>
      </w:rPr>
      <w:t>1</w:t>
    </w:r>
    <w:r>
      <w:fldChar w:fldCharType="end"/>
    </w:r>
    <w:r>
      <w:rPr>
        <w:rFonts w:ascii="Traditional Arabic" w:hAnsi="Traditional Arabic" w:cs="Traditional Arabic" w:hint="cs"/>
        <w:color w:val="787878"/>
        <w:sz w:val="20"/>
        <w:szCs w:val="20"/>
      </w:rPr>
      <w:t xml:space="preserve"> -</w:t>
    </w:r>
  </w:p>
  <w:p w14:paraId="02E62C7B" w14:textId="19F958B1" w:rsidR="002878CA" w:rsidRDefault="009F31FB">
    <w:pPr>
      <w:pStyle w:val="a6"/>
      <w:jc w:val="center"/>
    </w:pPr>
    <w:r>
      <w: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B3C25F" w14:textId="77777777" w:rsidR="009F31FB" w:rsidRDefault="009F31F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0791A8" w14:textId="77777777" w:rsidR="002A3DDE" w:rsidRDefault="002A3DDE">
      <w:pPr>
        <w:spacing w:after="0" w:line="240" w:lineRule="auto"/>
      </w:pPr>
      <w:r>
        <w:separator/>
      </w:r>
    </w:p>
  </w:footnote>
  <w:footnote w:type="continuationSeparator" w:id="0">
    <w:p w14:paraId="4DCC7B9C" w14:textId="77777777" w:rsidR="002A3DDE" w:rsidRDefault="002A3DDE">
      <w:pPr>
        <w:spacing w:after="0" w:line="240" w:lineRule="auto"/>
      </w:pPr>
      <w:r>
        <w:continuationSeparator/>
      </w:r>
    </w:p>
  </w:footnote>
  <w:footnote w:id="1">
    <w:p>
      <w:pPr>
        <w:bidi/>
      </w:pPr>
      <w:r>
        <w:rPr>
          <w:vertAlign w:val="superscript"/>
        </w:rPr>
        <w:footnoteRef/>
      </w:r>
      <w:r>
        <w:rPr>
          <w:rFonts w:ascii="Traditional Arabic" w:hAnsi="Traditional Arabic" w:cs="Traditional Arabic"/>
          <w:rtl/>
          <w:sz w:val="24"/>
          <w:szCs w:val="24"/>
        </w:rPr>
        <w:t xml:space="preserve"> العتيبي، فيصل بن عبد الله، عقد الزواج غير الموثق رسمياً وأحكامه في الفقه الإسلامي، رسالة ماجستير غير منشورة، كلية الشريعة، جامعة أم القرى، 2014.</w:t>
      </w:r>
    </w:p>
  </w:footnote>
  <w:footnote w:id="2">
    <w:p>
      <w:pPr>
        <w:bidi/>
      </w:pPr>
      <w:r>
        <w:rPr>
          <w:vertAlign w:val="superscript"/>
        </w:rPr>
        <w:footnoteRef/>
      </w:r>
      <w:r>
        <w:rPr>
          <w:rFonts w:ascii="Traditional Arabic" w:hAnsi="Traditional Arabic" w:cs="Traditional Arabic"/>
          <w:rtl/>
          <w:sz w:val="24"/>
          <w:szCs w:val="24"/>
        </w:rPr>
        <w:t xml:space="preserve"> الزحيلي، وهبة بن مصطفى، الفقه الإسلامي وأدلته، ط4، دار الفكر، 2002.</w:t>
      </w:r>
    </w:p>
  </w:footnote>
  <w:footnote w:id="3">
    <w:p>
      <w:pPr>
        <w:bidi/>
      </w:pPr>
      <w:r>
        <w:rPr>
          <w:vertAlign w:val="superscript"/>
        </w:rPr>
        <w:footnoteRef/>
      </w:r>
      <w:r>
        <w:rPr>
          <w:rFonts w:ascii="Traditional Arabic" w:hAnsi="Traditional Arabic" w:cs="Traditional Arabic"/>
          <w:rtl/>
          <w:sz w:val="24"/>
          <w:szCs w:val="24"/>
        </w:rPr>
        <w:t xml:space="preserve"> Ferguson, L. (2018). Unregistered Muslim marriages in the UK: Examining the intersections of religion, law and gender. Oxford Journal of Law and Religion, 7(2), 273–296.</w:t>
      </w:r>
    </w:p>
  </w:footnote>
  <w:footnote w:id="4">
    <w:p>
      <w:pPr>
        <w:bidi/>
      </w:pPr>
      <w:r>
        <w:rPr>
          <w:vertAlign w:val="superscript"/>
        </w:rPr>
        <w:footnoteRef/>
      </w:r>
      <w:r>
        <w:rPr>
          <w:rFonts w:ascii="Traditional Arabic" w:hAnsi="Traditional Arabic" w:cs="Traditional Arabic"/>
          <w:rtl/>
          <w:sz w:val="24"/>
          <w:szCs w:val="24"/>
        </w:rPr>
        <w:t xml:space="preserve"> Bano, S. (2017). Modern family law and religious legal traditions: Unregistered Muslim marriages in England and Wales. Journal of Social Welfare and Family Law, 39(4), 488–505.</w:t>
      </w:r>
    </w:p>
  </w:footnote>
  <w:footnote w:id="5">
    <w:p>
      <w:pPr>
        <w:bidi/>
      </w:pPr>
      <w:r>
        <w:rPr>
          <w:vertAlign w:val="superscript"/>
        </w:rPr>
        <w:footnoteRef/>
      </w:r>
      <w:r>
        <w:rPr>
          <w:rFonts w:ascii="Traditional Arabic" w:hAnsi="Traditional Arabic" w:cs="Traditional Arabic"/>
          <w:rtl/>
          <w:sz w:val="24"/>
          <w:szCs w:val="24"/>
        </w:rPr>
        <w:t xml:space="preserve"> Farfán, M. E., &amp; Medina, G. (2018). Las uniones convivenciales en el nuevo Código Civil y Comercial de la Nación. Revista La Ley, 2018(3), 112–129.</w:t>
      </w:r>
    </w:p>
  </w:footnote>
  <w:footnote w:id="6">
    <w:p>
      <w:pPr>
        <w:bidi/>
      </w:pPr>
      <w:r>
        <w:rPr>
          <w:vertAlign w:val="superscript"/>
        </w:rPr>
        <w:footnoteRef/>
      </w:r>
      <w:r>
        <w:rPr>
          <w:rFonts w:ascii="Traditional Arabic" w:hAnsi="Traditional Arabic" w:cs="Traditional Arabic"/>
          <w:rtl/>
          <w:sz w:val="24"/>
          <w:szCs w:val="24"/>
        </w:rPr>
        <w:t xml:space="preserve"> Herrera, M. (2016). Manual de derecho de las familias (2da ed.). Abeledo Perrot.</w:t>
      </w:r>
    </w:p>
  </w:footnote>
  <w:footnote w:id="7">
    <w:p>
      <w:pPr>
        <w:bidi/>
      </w:pPr>
      <w:r>
        <w:rPr>
          <w:vertAlign w:val="superscript"/>
        </w:rPr>
        <w:footnoteRef/>
      </w:r>
      <w:r>
        <w:rPr>
          <w:rFonts w:ascii="Traditional Arabic" w:hAnsi="Traditional Arabic" w:cs="Traditional Arabic"/>
          <w:rtl/>
          <w:sz w:val="24"/>
          <w:szCs w:val="24"/>
        </w:rPr>
        <w:t xml:space="preserve"> ابن قدامة، المغني، 7/6؛ الكاساني، بدائع الصنائع، 2/332.</w:t>
      </w:r>
    </w:p>
  </w:footnote>
  <w:footnote w:id="8">
    <w:p>
      <w:pPr>
        <w:bidi/>
      </w:pPr>
      <w:r>
        <w:rPr>
          <w:vertAlign w:val="superscript"/>
        </w:rPr>
        <w:footnoteRef/>
      </w:r>
      <w:r>
        <w:rPr>
          <w:rFonts w:ascii="Traditional Arabic" w:hAnsi="Traditional Arabic" w:cs="Traditional Arabic"/>
          <w:rtl/>
          <w:sz w:val="24"/>
          <w:szCs w:val="24"/>
        </w:rPr>
        <w:t xml:space="preserve"> الشاطبي، الموافقات، 2/393.</w:t>
      </w:r>
    </w:p>
  </w:footnote>
  <w:footnote w:id="9">
    <w:p>
      <w:pPr>
        <w:bidi/>
      </w:pPr>
      <w:r>
        <w:rPr>
          <w:vertAlign w:val="superscript"/>
        </w:rPr>
        <w:footnoteRef/>
      </w:r>
      <w:r>
        <w:rPr>
          <w:rFonts w:ascii="Traditional Arabic" w:hAnsi="Traditional Arabic" w:cs="Traditional Arabic"/>
          <w:rtl/>
          <w:sz w:val="24"/>
          <w:szCs w:val="24"/>
        </w:rPr>
        <w:t xml:space="preserve"> ابن القيم، إعلام الموقعين عن رب العالمين، 3/11.</w:t>
      </w:r>
    </w:p>
  </w:footnote>
  <w:footnote w:id="10">
    <w:p>
      <w:pPr>
        <w:bidi/>
      </w:pPr>
      <w:r>
        <w:rPr>
          <w:vertAlign w:val="superscript"/>
        </w:rPr>
        <w:footnoteRef/>
      </w:r>
      <w:r>
        <w:rPr>
          <w:rFonts w:ascii="Traditional Arabic" w:hAnsi="Traditional Arabic" w:cs="Traditional Arabic"/>
          <w:rtl/>
          <w:sz w:val="24"/>
          <w:szCs w:val="24"/>
        </w:rPr>
        <w:t xml:space="preserve"> القرافي، الفروق، 1/176.</w:t>
      </w:r>
    </w:p>
  </w:footnote>
  <w:footnote w:id="11">
    <w:p>
      <w:pPr>
        <w:bidi/>
      </w:pPr>
      <w:r>
        <w:rPr>
          <w:vertAlign w:val="superscript"/>
        </w:rPr>
        <w:footnoteRef/>
      </w:r>
      <w:r>
        <w:rPr>
          <w:rFonts w:ascii="Traditional Arabic" w:hAnsi="Traditional Arabic" w:cs="Traditional Arabic"/>
          <w:rtl/>
          <w:sz w:val="24"/>
          <w:szCs w:val="24"/>
        </w:rPr>
        <w:t xml:space="preserve"> ابن عابدين، نشر العرف في بناء بعض الأحكام على العرف (ضمن مجموع رسائل ابن عابدين)، 2/125.</w:t>
      </w:r>
    </w:p>
  </w:footnote>
  <w:footnote w:id="12">
    <w:p>
      <w:pPr>
        <w:bidi/>
      </w:pPr>
      <w:r>
        <w:rPr>
          <w:vertAlign w:val="superscript"/>
        </w:rPr>
        <w:footnoteRef/>
      </w:r>
      <w:r>
        <w:rPr>
          <w:rFonts w:ascii="Traditional Arabic" w:hAnsi="Traditional Arabic" w:cs="Traditional Arabic"/>
          <w:rtl/>
          <w:sz w:val="24"/>
          <w:szCs w:val="24"/>
        </w:rPr>
        <w:t xml:space="preserve"> مجلة الأحكام العدلية، المادة 39.</w:t>
      </w:r>
    </w:p>
  </w:footnote>
  <w:footnote w:id="13">
    <w:p>
      <w:pPr>
        <w:bidi/>
      </w:pPr>
      <w:r>
        <w:rPr>
          <w:vertAlign w:val="superscript"/>
        </w:rPr>
        <w:footnoteRef/>
      </w:r>
      <w:r>
        <w:rPr>
          <w:rFonts w:ascii="Traditional Arabic" w:hAnsi="Traditional Arabic" w:cs="Traditional Arabic"/>
          <w:rtl/>
          <w:sz w:val="24"/>
          <w:szCs w:val="24"/>
        </w:rPr>
        <w:t xml:space="preserve"> الغزالي، المستصفى، </w:t>
      </w:r>
      <w:r>
        <w:rPr>
          <w:rFonts w:ascii="Traditional Arabic" w:hAnsi="Traditional Arabic" w:cs="Traditional Arabic"/>
          <w:highlight w:val="yellow"/>
          <w:rtl/>
          <w:sz w:val="24"/>
          <w:szCs w:val="24"/>
        </w:rPr>
        <w:t xml:space="preserve">ص57</w:t>
      </w:r>
      <w:r>
        <w:rPr>
          <w:rFonts w:ascii="Traditional Arabic" w:hAnsi="Traditional Arabic" w:cs="Traditional Arabic"/>
          <w:rtl/>
          <w:sz w:val="24"/>
          <w:szCs w:val="24"/>
        </w:rPr>
        <w:t xml:space="preserve">.</w:t>
      </w:r>
    </w:p>
  </w:footnote>
  <w:footnote w:id="14">
    <w:p>
      <w:pPr>
        <w:bidi/>
      </w:pPr>
      <w:r>
        <w:rPr>
          <w:vertAlign w:val="superscript"/>
        </w:rPr>
        <w:footnoteRef/>
      </w:r>
      <w:r>
        <w:rPr>
          <w:rFonts w:ascii="Traditional Arabic" w:hAnsi="Traditional Arabic" w:cs="Traditional Arabic"/>
          <w:rtl/>
          <w:sz w:val="24"/>
          <w:szCs w:val="24"/>
        </w:rPr>
        <w:t xml:space="preserve"> الشاطبي، الموافقات، </w:t>
      </w:r>
      <w:r>
        <w:rPr>
          <w:rFonts w:ascii="Traditional Arabic" w:hAnsi="Traditional Arabic" w:cs="Traditional Arabic"/>
          <w:highlight w:val="yellow"/>
          <w:rtl/>
          <w:sz w:val="24"/>
          <w:szCs w:val="24"/>
        </w:rPr>
        <w:t xml:space="preserve">5/177</w:t>
      </w:r>
      <w:r>
        <w:rPr>
          <w:rFonts w:ascii="Traditional Arabic" w:hAnsi="Traditional Arabic" w:cs="Traditional Arabic"/>
          <w:rtl/>
          <w:sz w:val="24"/>
          <w:szCs w:val="24"/>
        </w:rPr>
        <w:t xml:space="preserve">.</w:t>
      </w:r>
    </w:p>
  </w:footnote>
  <w:footnote w:id="15">
    <w:p>
      <w:pPr>
        <w:bidi/>
      </w:pPr>
      <w:r>
        <w:rPr>
          <w:vertAlign w:val="superscript"/>
        </w:rPr>
        <w:footnoteRef/>
      </w:r>
      <w:r>
        <w:rPr>
          <w:rFonts w:ascii="Traditional Arabic" w:hAnsi="Traditional Arabic" w:cs="Traditional Arabic"/>
          <w:rtl/>
          <w:sz w:val="24"/>
          <w:szCs w:val="24"/>
        </w:rPr>
        <w:t xml:space="preserve"> الكاساني، بدائع الصنائع، 4/210؛ البهوتي، كشاف القناع، 4/25.</w:t>
      </w:r>
    </w:p>
  </w:footnote>
  <w:footnote w:id="16">
    <w:p>
      <w:pPr>
        <w:bidi/>
      </w:pPr>
      <w:r>
        <w:rPr>
          <w:vertAlign w:val="superscript"/>
        </w:rPr>
        <w:footnoteRef/>
      </w:r>
      <w:r>
        <w:rPr>
          <w:rFonts w:ascii="Traditional Arabic" w:hAnsi="Traditional Arabic" w:cs="Traditional Arabic"/>
          <w:rtl/>
          <w:sz w:val="24"/>
          <w:szCs w:val="24"/>
        </w:rPr>
        <w:t xml:space="preserve"> ابن فرحون، تبصرة الحكام، 1/195.</w:t>
      </w:r>
    </w:p>
  </w:footnote>
  <w:footnote w:id="17">
    <w:p>
      <w:pPr>
        <w:bidi/>
      </w:pPr>
      <w:r>
        <w:rPr>
          <w:vertAlign w:val="superscript"/>
        </w:rPr>
        <w:footnoteRef/>
      </w:r>
      <w:r>
        <w:rPr>
          <w:rFonts w:ascii="Traditional Arabic" w:hAnsi="Traditional Arabic" w:cs="Traditional Arabic"/>
          <w:rtl/>
          <w:sz w:val="24"/>
          <w:szCs w:val="24"/>
        </w:rPr>
        <w:t xml:space="preserve"> ابن القيم، الطرق الحكمية، ص89.</w:t>
      </w:r>
    </w:p>
  </w:footnote>
  <w:footnote w:id="18">
    <w:p>
      <w:pPr>
        <w:bidi/>
      </w:pPr>
      <w:r>
        <w:rPr>
          <w:vertAlign w:val="superscript"/>
        </w:rPr>
        <w:footnoteRef/>
      </w:r>
      <w:r>
        <w:rPr>
          <w:rFonts w:ascii="Traditional Arabic" w:hAnsi="Traditional Arabic" w:cs="Traditional Arabic"/>
          <w:rtl/>
          <w:sz w:val="24"/>
          <w:szCs w:val="24"/>
        </w:rPr>
        <w:t xml:space="preserve"> ابن القيم، الطرق الحكمية، ص14.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8870BB" w14:textId="77777777" w:rsidR="009F31FB" w:rsidRDefault="009F31F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7C1F5A" w14:textId="77777777" w:rsidR="009F31FB" w:rsidRDefault="009F31FB">
    <w:pPr>
      <w:pStyle w:val="a5"/>
      <w:bidi/>
      <w:jc w:val="center"/>
      <w:rPr>
        <w:sz w:val="24"/>
        <w:szCs w:val="24"/>
      </w:rPr>
    </w:pPr>
    <w:r>
      <w:rPr>
        <w:rFonts w:ascii="Traditional Arabic" w:hAnsi="Traditional Arabic" w:cs="Traditional Arabic" w:hint="cs"/>
        <w:color w:val="787878"/>
        <w:sz w:val="20"/>
        <w:szCs w:val="20"/>
        <w:rtl/>
      </w:rPr>
      <w:t>المؤتمر الدولي السادس للدراسات الإسلامية المعاصرة والقضايا المستجدة (</w:t>
    </w:r>
    <w:r>
      <w:rPr>
        <w:rFonts w:ascii="Traditional Arabic" w:hAnsi="Traditional Arabic" w:cs="Traditional Arabic" w:hint="cs"/>
        <w:color w:val="787878"/>
        <w:sz w:val="20"/>
        <w:szCs w:val="20"/>
      </w:rPr>
      <w:t>ICCISEI 2026</w:t>
    </w:r>
    <w:r>
      <w:rPr>
        <w:rFonts w:ascii="Traditional Arabic" w:hAnsi="Traditional Arabic" w:cs="Traditional Arabic" w:hint="cs"/>
        <w:color w:val="787878"/>
        <w:sz w:val="20"/>
        <w:szCs w:val="20"/>
        <w:rtl/>
      </w:rPr>
      <w:t>)</w:t>
    </w:r>
    <w:r>
      <w:rPr>
        <w:rFonts w:ascii="Traditional Arabic" w:hAnsi="Traditional Arabic" w:cs="Traditional Arabic" w:hint="cs"/>
        <w:color w:val="787878"/>
        <w:sz w:val="20"/>
        <w:szCs w:val="20"/>
        <w:rtl/>
      </w:rPr>
      <w:br/>
      <w:t>جامعة المدينة العالمية</w:t>
    </w:r>
  </w:p>
  <w:p w14:paraId="7EA87493" w14:textId="5DCB94BD" w:rsidR="002878CA" w:rsidRDefault="009F31FB">
    <w:pPr>
      <w:pStyle w:val="a5"/>
    </w:pPr>
    <w:r>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C6CC58" w14:textId="77777777" w:rsidR="009F31FB" w:rsidRDefault="009F31F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1492259">
    <w:abstractNumId w:val="8"/>
  </w:num>
  <w:num w:numId="2" w16cid:durableId="195318873">
    <w:abstractNumId w:val="6"/>
  </w:num>
  <w:num w:numId="3" w16cid:durableId="512378246">
    <w:abstractNumId w:val="5"/>
  </w:num>
  <w:num w:numId="4" w16cid:durableId="1150362364">
    <w:abstractNumId w:val="4"/>
  </w:num>
  <w:num w:numId="5" w16cid:durableId="811486131">
    <w:abstractNumId w:val="7"/>
  </w:num>
  <w:num w:numId="6" w16cid:durableId="1947151548">
    <w:abstractNumId w:val="3"/>
  </w:num>
  <w:num w:numId="7" w16cid:durableId="1248416341">
    <w:abstractNumId w:val="2"/>
  </w:num>
  <w:num w:numId="8" w16cid:durableId="249511441">
    <w:abstractNumId w:val="1"/>
  </w:num>
  <w:num w:numId="9" w16cid:durableId="8698070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8CA"/>
    <w:rsid w:val="0029639D"/>
    <w:rsid w:val="002A3DDE"/>
    <w:rsid w:val="00326F90"/>
    <w:rsid w:val="00965695"/>
    <w:rsid w:val="009F31FB"/>
    <w:rsid w:val="00AA1D8D"/>
    <w:rsid w:val="00AA2A8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1D14A"/>
  <w14:defaultImageDpi w14:val="300"/>
  <w15:docId w15:val="{A13FDB58-DDE5-5547-85FD-C7EF48FA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a1"/>
    <w:rsid w:val="009F31FB"/>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FF1A43-F2EB-464D-9A05-0003D1062D5C}">
  <we:reference id="wa200010453" version="1.0.0.1" store="en-US" storeType="OMEX"/>
  <we:alternateReferences>
    <we:reference id="WA200010453" version="1.0.0.1" store="" storeType="OMEX"/>
  </we:alternateReferences>
  <we:properties>
    <we:property name="claude.fileId" value="&quot;5a316aa2-f31b-4833-9aff-c06459a717d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5135</Words>
  <Characters>27785</Characters>
  <Application>Microsoft Office Word</Application>
  <DocSecurity>0</DocSecurity>
  <Lines>448</Lines>
  <Paragraphs>118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مركز الملك فهد الثقافي الإسلامي في جمهورية الأرجنتين</cp:lastModifiedBy>
  <cp:revision>2</cp:revision>
  <dcterms:created xsi:type="dcterms:W3CDTF">2013-12-23T23:15:00Z</dcterms:created>
  <dcterms:modified xsi:type="dcterms:W3CDTF">2026-10-13T00:37:00Z</dcterms:modified>
  <cp:category/>
</cp:coreProperties>
</file>