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E51455F" w14:textId="77777777" w:rsidR="002878CA" w:rsidRDefault="00000000" w:rsidP="00965695">
      <w:pPr>
        <w:keepNext/>
        <w:bidi/>
        <w:spacing w:before="360" w:after="160"/>
      </w:pPr>
      <w:r>
        <w:rPr>
          <w:rFonts w:ascii="Traditional Arabic" w:hAnsi="Traditional Arabic"/>
          <w:b/>
          <w:color w:val="0D5C3A"/>
          <w:sz w:val="36"/>
        </w:rPr>
        <w:t>المبحث الأول: التكييف الفقهي والتأصيل الأصولي والمقاصدي لحكم التوثيق المدني</w:t>
      </w:r>
    </w:p>
    <w:p w14:paraId="6EDF3D87" w14:textId="77777777" w:rsidR="002878CA" w:rsidRDefault="00000000" w:rsidP="00965695">
      <w:pPr>
        <w:keepNext/>
        <w:bidi/>
        <w:spacing w:before="280" w:after="120"/>
      </w:pPr>
      <w:r>
        <w:rPr>
          <w:rFonts w:ascii="Traditional Arabic" w:hAnsi="Traditional Arabic"/>
          <w:b/>
          <w:color w:val="143250"/>
          <w:sz w:val="32"/>
        </w:rPr>
        <w:t>المطلب الأول: تحرير محل النزاع وتكييف العقد غير الموثق</w:t>
      </w:r>
    </w:p>
    <w:p w14:paraId="05485317" w14:textId="77777777" w:rsidR="002878CA" w:rsidRDefault="00000000" w:rsidP="00965695">
      <w:pPr>
        <w:bidi/>
        <w:spacing w:after="120"/>
      </w:pPr>
      <w:r>
        <w:rPr>
          <w:rFonts w:ascii="Traditional Arabic" w:hAnsi="Traditional Arabic"/>
          <w:color w:val="282828"/>
          <w:sz w:val="30"/>
        </w:rPr>
        <w:t>لتوضيح المسألة، لا بد من التمييز بين أمرين:</w:t>
      </w:r>
      <w:r>
        <w:rPr>
          <w:rFonts w:ascii="Traditional Arabic" w:hAnsi="Traditional Arabic"/>
          <w:color w:val="282828"/>
          <w:sz w:val="30"/>
        </w:rPr>
        <w:br/>
        <w:t xml:space="preserve">الأمر الأول: صحة العقد من الناحية الشرعية الديانة؛ فمتى استوفى العقد أركانه المعتبرة وشروطه من الرضا، وولي المرأة (على قول جمهور الفقهاء)، </w:t>
      </w:r>
      <w:commentRangeStart w:id="0"/>
      <w:r>
        <w:rPr>
          <w:rFonts w:ascii="Traditional Arabic" w:hAnsi="Traditional Arabic"/>
          <w:color w:val="282828"/>
          <w:sz w:val="30"/>
          <w:highlight w:val="yellow"/>
        </w:rPr>
        <w:t xml:space="preserve">وحضور شاهدي عدل، وخلو</w:t>
      </w:r>
      <w:commentRangeEnd w:id="0"/>
      <w:r>
        <w:rPr>
          <w:rStyle w:val="CommentReference"/>
        </w:rPr>
        <w:commentReference w:id="0"/>
      </w:r>
      <w:r>
        <w:rPr>
          <w:rFonts w:ascii="Traditional Arabic" w:hAnsi="Traditional Arabic"/>
          <w:color w:val="282828"/>
          <w:sz w:val="30"/>
        </w:rPr>
        <w:t xml:space="preserve"> الزوجين من الموانع الشرعية؛ فإنه عقد صحيح شرعاً في الأصل وتترتب عليه آثاره كحل المعاشرة وثبوت النسب</w:t>
      </w:r>
      <w:r>
        <w:rPr>
          <w:vertAlign w:val="superscript"/>
        </w:rPr>
        <w:footnoteReference w:id="7"/>
      </w:r>
      <w:r>
        <w:rPr>
          <w:rFonts w:ascii="Traditional Arabic" w:hAnsi="Traditional Arabic"/>
          <w:color w:val="282828"/>
          <w:sz w:val="30"/>
        </w:rPr>
        <w:t xml:space="preserve">.</w:t>
      </w:r>
      <w:r>
        <w:rPr>
          <w:rFonts w:ascii="Traditional Arabic" w:hAnsi="Traditional Arabic"/>
          <w:color w:val="282828"/>
          <w:sz w:val="30"/>
        </w:rPr>
        <w:br/>
      </w:r>
      <w:r>
        <w:rPr>
          <w:rFonts w:ascii="Traditional Arabic" w:hAnsi="Traditional Arabic"/>
          <w:color w:val="282828"/>
          <w:sz w:val="30"/>
        </w:rPr>
        <w:br/>
        <w:t xml:space="preserve">الأمر الثاني: استيفاء الحقوق والحماية القضائية في بلد الإقامة؛ وهنا يقع الخلل والنزاع، فإذا كان القضاء المدني في </w:t>
      </w:r>
      <w:r>
        <w:rPr>
          <w:rFonts w:ascii="Traditional Arabic" w:hAnsi="Traditional Arabic"/>
          <w:color w:val="282828"/>
          <w:sz w:val="30"/>
        </w:rPr>
        <w:lastRenderedPageBreak/>
        <w:t>الأرجنتين لا يعترف بهذا العقد الديني ولا يقبل شهادة هؤلاء الشهود لإثبات الزوجية، فإن أثر العقد يتعطل عملياً أمام المحاكم.</w:t>
      </w:r>
      <w:r>
        <w:rPr>
          <w:rFonts w:ascii="Traditional Arabic" w:hAnsi="Traditional Arabic"/>
          <w:color w:val="282828"/>
          <w:sz w:val="30"/>
        </w:rPr>
        <w:br/>
      </w:r>
      <w:r>
        <w:rPr>
          <w:rFonts w:ascii="Traditional Arabic" w:hAnsi="Traditional Arabic"/>
          <w:color w:val="282828"/>
          <w:sz w:val="30"/>
        </w:rPr>
        <w:br/>
        <w:t xml:space="preserve">وهنا يتعطل المعنى والمقصد الشرعي من الشهود؛ فالإشهاد في الإسلام لم يُشرع لمجرد الشكلية، وإنما شُرع لصيانة الأنساب، وقطع النزاع، وضمان حقوق الزوجة وأولادها عند الخلاف أو الوفاة</w:t>
      </w:r>
      <w:commentRangeStart w:id="12"/>
      <w:r>
        <w:rPr>
          <w:vertAlign w:val="superscript"/>
        </w:rPr>
        <w:footnoteReference w:id="8"/>
      </w:r>
      <w:commentRangeEnd w:id="12"/>
      <w:r>
        <w:rPr>
          <w:rStyle w:val="CommentReference"/>
        </w:rPr>
        <w:commentReference w:id="12"/>
      </w:r>
      <w:r>
        <w:rPr>
          <w:rFonts w:ascii="Traditional Arabic" w:hAnsi="Traditional Arabic"/>
          <w:color w:val="282828"/>
          <w:sz w:val="30"/>
        </w:rPr>
        <w:t xml:space="preserve">. فإذا كانت شهادة الشهود عاجزة في بلد الإقامة عن إلزام الزوج بالنفقة أو تمكين الزوجة من الميراث، ضاعت المقاصد التي أمرت الشريعة بحفظها. ومن هنا لم يعد التوثيق في السجل المدني مجرد إجراء شكلي عارض، بل غدا وسيلةً لازمة لحماية هذه الحقوق وصيانتها.</w:t>
      </w:r>
    </w:p>
    <w:p w14:paraId="42A8542D" w14:textId="77777777" w:rsidR="002878CA" w:rsidRDefault="00000000" w:rsidP="00965695">
      <w:pPr>
        <w:keepNext/>
        <w:bidi/>
        <w:spacing w:before="280" w:after="120"/>
      </w:pPr>
      <w:r>
        <w:rPr>
          <w:rFonts w:ascii="Traditional Arabic" w:hAnsi="Traditional Arabic"/>
          <w:b/>
          <w:color w:val="143250"/>
          <w:sz w:val="32"/>
        </w:rPr>
        <w:t>المطلب الثاني: التأصيل بالقواعد الفقهية والأصولية الكبرى</w:t>
      </w:r>
    </w:p>
    <w:p w14:paraId="4EB20C60" w14:textId="77777777" w:rsidR="002878CA" w:rsidRDefault="00000000" w:rsidP="00965695">
      <w:pPr>
        <w:bidi/>
        <w:spacing w:after="120"/>
      </w:pPr>
      <w:r>
        <w:rPr>
          <w:rFonts w:ascii="Traditional Arabic" w:hAnsi="Traditional Arabic"/>
          <w:color w:val="282828"/>
          <w:sz w:val="30"/>
        </w:rPr>
        <w:t>يستند القول بوجوب تسجيل عقد الزواج في السجل المدني بديار الأقليات إلى عدد من القواعد الفقهية والأصولية المعتمدة:</w:t>
      </w:r>
    </w:p>
    <w:p w14:paraId="1F91AA66" w14:textId="77777777" w:rsidR="002878CA" w:rsidRDefault="00000000" w:rsidP="00965695">
      <w:pPr>
        <w:keepNext/>
        <w:bidi/>
        <w:spacing w:before="200" w:after="80"/>
      </w:pPr>
      <w:r>
        <w:rPr>
          <w:rFonts w:ascii="Traditional Arabic" w:hAnsi="Traditional Arabic"/>
          <w:b/>
          <w:color w:val="78460A"/>
          <w:sz w:val="30"/>
        </w:rPr>
        <w:t>1. قاعدة «تغير الأحكام والفتوى بتغير الأزمنة والأحوال والعوائد»</w:t>
      </w:r>
    </w:p>
    <w:p w14:paraId="3242D7A2" w14:textId="77777777" w:rsidR="002878CA" w:rsidRDefault="00000000" w:rsidP="00965695">
      <w:pPr>
        <w:bidi/>
        <w:spacing w:after="120"/>
      </w:pPr>
      <w:r>
        <w:rPr>
          <w:rFonts w:ascii="Traditional Arabic" w:hAnsi="Traditional Arabic"/>
          <w:color w:val="282828"/>
          <w:sz w:val="30"/>
        </w:rPr>
        <w:t xml:space="preserve">قرر أئمة الفقه والأصول أن الوسائل والإجراءات التي تُبنى على العرف والمصالح تتغير بتغير الزمان؛ صيانةً لمقاصد الدين ودفعاً للضرر. وقد بين الإمام ابن القيم</w:t>
      </w:r>
      <w:r>
        <w:rPr>
          <w:vertAlign w:val="superscript"/>
        </w:rPr>
        <w:footnoteReference w:id="9"/>
      </w:r>
      <w:r>
        <w:rPr>
          <w:rFonts w:ascii="Traditional Arabic" w:hAnsi="Traditional Arabic"/>
          <w:color w:val="282828"/>
          <w:sz w:val="30"/>
        </w:rPr>
        <w:t xml:space="preserve"> في «إعلام الموقعين» أن الشريعة مبناها على رعاية مصالح العباد والعدل والرحمة، وأن الجمود على العادات القديمة مع تغير أحوال الناس يفوت مقصود الشارع. وأكد الإمام شهاب الدين القرافي</w:t>
      </w:r>
      <w:commentRangeStart w:id="13"/>
      <w:r>
        <w:rPr>
          <w:vertAlign w:val="superscript"/>
        </w:rPr>
        <w:footnoteReference w:id="10"/>
      </w:r>
      <w:commentRangeEnd w:id="13"/>
      <w:r>
        <w:rPr>
          <w:rStyle w:val="CommentReference"/>
        </w:rPr>
        <w:commentReference w:id="13"/>
      </w:r>
      <w:r>
        <w:rPr>
          <w:rFonts w:ascii="Traditional Arabic" w:hAnsi="Traditional Arabic"/>
          <w:color w:val="282828"/>
          <w:sz w:val="30"/>
        </w:rPr>
        <w:t xml:space="preserve"> في «الفروق» و«الإحكام» أن الجمود على المنقولات دون مراعاة تغير العوائد خلاف الصواب وجهل بمقاصد العلماء.</w:t>
      </w:r>
      <w:r>
        <w:rPr>
          <w:rFonts w:ascii="Traditional Arabic" w:hAnsi="Traditional Arabic"/>
          <w:color w:val="282828"/>
          <w:sz w:val="30"/>
        </w:rPr>
        <w:br/>
      </w:r>
      <w:r>
        <w:rPr>
          <w:rFonts w:ascii="Traditional Arabic" w:hAnsi="Traditional Arabic"/>
          <w:color w:val="282828"/>
          <w:sz w:val="30"/>
        </w:rPr>
        <w:br/>
        <w:t xml:space="preserve">ونص ابن عابدين</w:t>
      </w:r>
      <w:r>
        <w:rPr>
          <w:vertAlign w:val="superscript"/>
        </w:rPr>
        <w:footnoteReference w:id="11"/>
      </w:r>
      <w:r>
        <w:rPr>
          <w:rFonts w:ascii="Traditional Arabic" w:hAnsi="Traditional Arabic"/>
          <w:color w:val="282828"/>
          <w:sz w:val="30"/>
        </w:rPr>
        <w:t xml:space="preserve"> في رسالته «نشر العرف» على أن كثيراً من الأحكام تختلف باختلاف الزمان لتغير عرف أهله أو لحدوث ضرورة، بحيث لو بقي الحكم على ما كان عليه لوقع الضرر بالناس. وقد صاغت مجلة الأحكام العدلية</w:t>
      </w:r>
      <w:r>
        <w:rPr>
          <w:vertAlign w:val="superscript"/>
        </w:rPr>
        <w:footnoteReference w:id="12"/>
      </w:r>
      <w:r>
        <w:rPr>
          <w:rFonts w:ascii="Traditional Arabic" w:hAnsi="Traditional Arabic"/>
          <w:color w:val="282828"/>
          <w:sz w:val="30"/>
        </w:rPr>
        <w:t xml:space="preserve"> هذه القاعدة بعبارتها المشهورة: «لا يُنكَر تغيرُ الأحكام بتغير الأزمان».</w:t>
      </w:r>
      <w:r>
        <w:rPr>
          <w:rFonts w:ascii="Traditional Arabic" w:hAnsi="Traditional Arabic"/>
          <w:color w:val="282828"/>
          <w:sz w:val="30"/>
        </w:rPr>
        <w:br/>
      </w:r>
      <w:r>
        <w:rPr>
          <w:rFonts w:ascii="Traditional Arabic" w:hAnsi="Traditional Arabic"/>
          <w:color w:val="282828"/>
          <w:sz w:val="30"/>
        </w:rPr>
        <w:br/>
        <w:t>وتطبيقاً على هذه المسألة: كان الاكتفاء بالإشهاد الشفهي كافياً في عصور خلت لقوة الوازع الديني وسيادة القضاء الشرعي؛ أما اليوم، وفي بيئة غير إسلامية لا تعترف إلا بالسجلات المدنية، فإن ترك التوثيق يفضي إلى ضياع الحقوق وإنكارها، فوجب التوثيق حفظاً لمقاصد الشرع.</w:t>
      </w:r>
    </w:p>
    <w:p w14:paraId="49572DC1" w14:textId="77777777" w:rsidR="002878CA" w:rsidRDefault="00000000" w:rsidP="00965695">
      <w:pPr>
        <w:keepNext/>
        <w:bidi/>
        <w:spacing w:before="200" w:after="80"/>
      </w:pPr>
      <w:r>
        <w:rPr>
          <w:rFonts w:ascii="Traditional Arabic" w:hAnsi="Traditional Arabic"/>
          <w:b/>
          <w:color w:val="78460A"/>
          <w:sz w:val="30"/>
        </w:rPr>
        <w:lastRenderedPageBreak/>
        <w:t>2. قاعدة «ما لا يتم الواجب إلا به فهو واجب»</w:t>
      </w:r>
    </w:p>
    <w:p w14:paraId="30831F07" w14:textId="77777777" w:rsidR="002878CA" w:rsidRDefault="00000000" w:rsidP="00965695">
      <w:pPr>
        <w:bidi/>
        <w:spacing w:after="120"/>
      </w:pPr>
      <w:r>
        <w:rPr>
          <w:rFonts w:ascii="Traditional Arabic" w:hAnsi="Traditional Arabic"/>
          <w:color w:val="282828"/>
          <w:sz w:val="30"/>
        </w:rPr>
        <w:t xml:space="preserve">قرر علماء الأصول أن الوسيلة التي يتوقف عليها أداء الواجب الشرعي تأخذ حكم ذلك الواجب</w:t>
      </w:r>
      <w:commentRangeStart w:id="14"/>
      <w:r>
        <w:rPr>
          <w:vertAlign w:val="superscript"/>
        </w:rPr>
        <w:footnoteReference w:id="13"/>
      </w:r>
      <w:commentRangeEnd w:id="14"/>
      <w:r>
        <w:rPr>
          <w:rStyle w:val="CommentReference"/>
        </w:rPr>
        <w:commentReference w:id="14"/>
      </w:r>
      <w:r>
        <w:rPr>
          <w:rFonts w:ascii="Traditional Arabic" w:hAnsi="Traditional Arabic"/>
          <w:color w:val="282828"/>
          <w:sz w:val="30"/>
        </w:rPr>
        <w:t xml:space="preserve">. وحفظ حقوق الأسرة المسلمة من نفقة وميراث وحفظ نسب الأطفال </w:t>
      </w:r>
      <w:commentRangeStart w:id="1"/>
      <w:r>
        <w:rPr>
          <w:rFonts w:ascii="Traditional Arabic" w:hAnsi="Traditional Arabic"/>
          <w:color w:val="282828"/>
          <w:sz w:val="30"/>
          <w:highlight w:val="yellow"/>
        </w:rPr>
        <w:t xml:space="preserve">من الواجبات الثابتة بالنص</w:t>
      </w:r>
      <w:commentRangeEnd w:id="1"/>
      <w:r>
        <w:rPr>
          <w:rStyle w:val="CommentReference"/>
        </w:rPr>
        <w:commentReference w:id="1"/>
      </w:r>
      <w:r>
        <w:rPr>
          <w:rFonts w:ascii="Traditional Arabic" w:hAnsi="Traditional Arabic"/>
          <w:color w:val="282828"/>
          <w:sz w:val="30"/>
        </w:rPr>
        <w:t xml:space="preserve">. ولما كان هذا الواجب ممتنع التحقق في واقع القانون المعاصر كالأرجنتين بغير التسجيل في السجلات المدنية الرسمية؛ </w:t>
      </w:r>
      <w:commentRangeStart w:id="2"/>
      <w:r>
        <w:rPr>
          <w:rFonts w:ascii="Traditional Arabic" w:hAnsi="Traditional Arabic"/>
          <w:color w:val="282828"/>
          <w:sz w:val="30"/>
          <w:highlight w:val="yellow"/>
        </w:rPr>
        <w:t xml:space="preserve">صار التوثيق واجباً؛ لأنه الطريق المتعين لأداء هذا الواجب</w:t>
      </w:r>
      <w:commentRangeEnd w:id="2"/>
      <w:r>
        <w:rPr>
          <w:rStyle w:val="CommentReference"/>
        </w:rPr>
        <w:commentReference w:id="2"/>
      </w:r>
      <w:r>
        <w:rPr>
          <w:rFonts w:ascii="Traditional Arabic" w:hAnsi="Traditional Arabic"/>
          <w:color w:val="282828"/>
          <w:sz w:val="30"/>
        </w:rPr>
        <w:t xml:space="preserve">، مع بقاء التدابير الوقائية الأخرى (ك</w:t>
      </w:r>
      <w:commentRangeStart w:id="11"/>
      <w:r>
        <w:rPr>
          <w:rFonts w:ascii="Traditional Arabic" w:hAnsi="Traditional Arabic"/>
          <w:color w:val="282828"/>
          <w:sz w:val="30"/>
          <w:highlight w:val="yellow"/>
        </w:rPr>
        <w:t xml:space="preserve">اتفاقات المساكنة</w:t>
      </w:r>
      <w:commentRangeEnd w:id="11"/>
      <w:r>
        <w:rPr>
          <w:rStyle w:val="CommentReference"/>
        </w:rPr>
        <w:commentReference w:id="11"/>
      </w:r>
      <w:r>
        <w:rPr>
          <w:rFonts w:ascii="Traditional Arabic" w:hAnsi="Traditional Arabic"/>
          <w:color w:val="282828"/>
          <w:sz w:val="30"/>
        </w:rPr>
        <w:t xml:space="preserve"> والوصية) حلولاً استثنائية لمن تعذر عليه التسجيل لمانع مؤقت.</w:t>
      </w:r>
    </w:p>
    <w:p w14:paraId="314A282F" w14:textId="77777777" w:rsidR="002878CA" w:rsidRDefault="00000000" w:rsidP="00965695">
      <w:pPr>
        <w:keepNext/>
        <w:bidi/>
        <w:spacing w:before="200" w:after="80"/>
      </w:pPr>
      <w:r>
        <w:rPr>
          <w:rFonts w:ascii="Traditional Arabic" w:hAnsi="Traditional Arabic"/>
          <w:b/>
          <w:color w:val="78460A"/>
          <w:sz w:val="30"/>
        </w:rPr>
        <w:t>3. قاعدة «سد الذرائع واعتبار المآلات»</w:t>
      </w:r>
    </w:p>
    <w:p w14:paraId="04F46859" w14:textId="77777777" w:rsidR="002878CA" w:rsidRDefault="00000000" w:rsidP="00965695">
      <w:pPr>
        <w:bidi/>
        <w:spacing w:after="120"/>
      </w:pPr>
      <w:r>
        <w:rPr>
          <w:rFonts w:ascii="Traditional Arabic" w:hAnsi="Traditional Arabic"/>
          <w:color w:val="282828"/>
          <w:sz w:val="30"/>
        </w:rPr>
        <w:t xml:space="preserve">يقرر الإمام الشاطبي</w:t>
      </w:r>
      <w:commentRangeStart w:id="15"/>
      <w:r>
        <w:rPr>
          <w:vertAlign w:val="superscript"/>
        </w:rPr>
        <w:footnoteReference w:id="14"/>
      </w:r>
      <w:commentRangeEnd w:id="15"/>
      <w:r>
        <w:rPr>
          <w:rStyle w:val="CommentReference"/>
        </w:rPr>
        <w:commentReference w:id="15"/>
      </w:r>
      <w:commentRangeStart w:id="3"/>
      <w:r>
        <w:rPr>
          <w:rFonts w:ascii="Traditional Arabic" w:hAnsi="Traditional Arabic"/>
          <w:color w:val="282828"/>
          <w:sz w:val="30"/>
        </w:rPr>
        <w:t xml:space="preserve"> أن النظر في مآلات الأفعال معتبر ومقصود في الشريعة؛ فإذا كان الفعل مباحاً في أصله لكنه يؤدي غالباً إلى مفسدة راجحة، وجب منعه سداً للذريعة. والزواج غير المسجل في الأرجنتين يفضي في كثير من الأحيان إلى تهرب الزوج من النفقة عند النزاع، أو حرمان المرأة وأولادها من السكن والتركة عند الوفاة، فكان إلزام الناس بتوثيقه درءاً لهذه المفاسد الظاهرة.</w:t>
      </w:r>
      <w:commentRangeEnd w:id="3"/>
      <w:r>
        <w:rPr>
          <w:rStyle w:val="CommentReference"/>
        </w:rPr>
        <w:commentReference w:id="3"/>
      </w:r>
    </w:p>
    <w:p w14:paraId="2F53C692" w14:textId="77777777" w:rsidR="002878CA" w:rsidRDefault="00000000" w:rsidP="00965695">
      <w:pPr>
        <w:keepNext/>
        <w:bidi/>
        <w:spacing w:before="280" w:after="120"/>
      </w:pPr>
      <w:r>
        <w:rPr>
          <w:rFonts w:ascii="Traditional Arabic" w:hAnsi="Traditional Arabic"/>
          <w:b/>
          <w:color w:val="143250"/>
          <w:sz w:val="32"/>
        </w:rPr>
        <w:t>المطلب الثالث: التخريج على النظائر الفقهية والسياسة الشرعية</w:t>
      </w:r>
    </w:p>
    <w:p w14:paraId="3BF59745" w14:textId="77777777" w:rsidR="002878CA" w:rsidRDefault="00000000" w:rsidP="00965695">
      <w:pPr>
        <w:bidi/>
        <w:spacing w:after="120"/>
      </w:pPr>
      <w:r>
        <w:rPr>
          <w:rFonts w:ascii="Traditional Arabic" w:hAnsi="Traditional Arabic"/>
          <w:color w:val="282828"/>
          <w:sz w:val="30"/>
        </w:rPr>
        <w:t>إن اشتراط توثيق الزواج في المحاكم والسجلات ليس بدعاً في الفقه الإسلامي، بل له نظائر تاريخية واضحة في اجتهادات الصحابة والفقهاء حين أوجبوا إجراءات وشروطاً جديدة لحماية الحقوق لما تغيرت أحوال الناس:</w:t>
      </w:r>
    </w:p>
    <w:p w14:paraId="57B90FCD" w14:textId="77777777" w:rsidR="002878CA" w:rsidRDefault="00000000" w:rsidP="00965695">
      <w:pPr>
        <w:bidi/>
        <w:spacing w:after="120"/>
      </w:pPr>
      <w:r>
        <w:rPr>
          <w:rFonts w:ascii="Traditional Arabic" w:hAnsi="Traditional Arabic"/>
          <w:color w:val="282828"/>
          <w:sz w:val="30"/>
        </w:rPr>
        <w:t xml:space="preserve">1. تضمين الصنّاع المشتركين: كان الأصل أن يد الصانع (كالخياط والصباغ) يد أمانة لا يضمن إلا إذا تعدى أو فرّط. فلما رأى الخلفاء الراشدون عمر بن الخطاب وعلي بن أبي طالب رضي الله عنهما تهاون بعض الصناع وضياع أموال الناس، حكما بتضمينهم؛ </w:t>
      </w:r>
      <w:commentRangeStart w:id="4"/>
      <w:r>
        <w:rPr>
          <w:rFonts w:ascii="Traditional Arabic" w:hAnsi="Traditional Arabic"/>
          <w:color w:val="282828"/>
          <w:sz w:val="30"/>
          <w:highlight w:val="yellow"/>
        </w:rPr>
        <w:t xml:space="preserve">ورُوي عن علي رضي الله عنه أنه قال: «لا يُصلح الناسَ إلا ذلك»</w:t>
      </w:r>
      <w:commentRangeEnd w:id="4"/>
      <w:r>
        <w:rPr>
          <w:rStyle w:val="CommentReference"/>
        </w:rPr>
        <w:commentReference w:id="4"/>
      </w:r>
      <w:commentRangeStart w:id="16"/>
      <w:r>
        <w:rPr>
          <w:vertAlign w:val="superscript"/>
        </w:rPr>
        <w:footnoteReference w:id="15"/>
      </w:r>
      <w:commentRangeEnd w:id="16"/>
      <w:r>
        <w:rPr>
          <w:rStyle w:val="CommentReference"/>
        </w:rPr>
        <w:commentReference w:id="16"/>
      </w:r>
      <w:r>
        <w:rPr>
          <w:rFonts w:ascii="Traditional Arabic" w:hAnsi="Traditional Arabic"/>
          <w:color w:val="282828"/>
          <w:sz w:val="30"/>
        </w:rPr>
        <w:t xml:space="preserve">.</w:t>
      </w:r>
      <w:r>
        <w:rPr>
          <w:rFonts w:ascii="Traditional Arabic" w:hAnsi="Traditional Arabic"/>
          <w:color w:val="282828"/>
          <w:sz w:val="30"/>
        </w:rPr>
        <w:br/>
      </w:r>
      <w:commentRangeStart w:id="5"/>
      <w:r>
        <w:rPr>
          <w:rFonts w:ascii="Traditional Arabic" w:hAnsi="Traditional Arabic"/>
          <w:color w:val="282828"/>
          <w:sz w:val="30"/>
        </w:rPr>
        <w:br/>
        <w:t xml:space="preserve">2. اشتراط تزكية الشهود وقصرها على المسجلين: كان الأصل في الصدر الأول قبول شهادة المسلم المستور لظاهر عدالته. فلما اتسعت البلاد وكثر التجاحد، أوجب القضاة البحث عن عدالة الشهود، ثم استحدثوا ديواناً للشهود المعدلين لا تُقبل الشهادة إلا ممن قُيد فيه</w:t>
      </w:r>
      <w:commentRangeEnd w:id="5"/>
      <w:r>
        <w:rPr>
          <w:rStyle w:val="CommentReference"/>
        </w:rPr>
        <w:commentReference w:id="5"/>
      </w:r>
      <w:commentRangeStart w:id="17"/>
      <w:r>
        <w:rPr>
          <w:vertAlign w:val="superscript"/>
        </w:rPr>
        <w:footnoteReference w:id="16"/>
      </w:r>
      <w:commentRangeEnd w:id="17"/>
      <w:r>
        <w:rPr>
          <w:rStyle w:val="CommentReference"/>
        </w:rPr>
        <w:commentReference w:id="17"/>
      </w:r>
      <w:r>
        <w:rPr>
          <w:rFonts w:ascii="Traditional Arabic" w:hAnsi="Traditional Arabic"/>
          <w:color w:val="282828"/>
          <w:sz w:val="30"/>
        </w:rPr>
        <w:t xml:space="preserve">، وهذا قيد إجرائي أوجبته المصلحة.</w:t>
      </w:r>
      <w:r>
        <w:rPr>
          <w:rFonts w:ascii="Traditional Arabic" w:hAnsi="Traditional Arabic"/>
          <w:color w:val="282828"/>
          <w:sz w:val="30"/>
        </w:rPr>
        <w:br/>
      </w:r>
      <w:commentRangeStart w:id="6"/>
      <w:r>
        <w:rPr>
          <w:rFonts w:ascii="Traditional Arabic" w:hAnsi="Traditional Arabic"/>
          <w:color w:val="282828"/>
          <w:sz w:val="30"/>
        </w:rPr>
        <w:br/>
        <w:t xml:space="preserve">3. حبس المدين مجهول الحال: استقر الفقه على جواز حبس المدين المجهول حتى يتبين أمره وتُعلم ملاءته، خلافاً للأصل </w:t>
      </w:r>
      <w:commentRangeEnd w:id="6"/>
      <w:r>
        <w:rPr>
          <w:rStyle w:val="CommentReference"/>
        </w:rPr>
        <w:commentReference w:id="6"/>
      </w:r>
      <w:r>
        <w:rPr>
          <w:rFonts w:ascii="Traditional Arabic" w:hAnsi="Traditional Arabic"/>
          <w:color w:val="282828"/>
          <w:sz w:val="30"/>
        </w:rPr>
        <w:lastRenderedPageBreak/>
        <w:t xml:space="preserve">المستصحب في براءة ذمته، صيانةً لحقوق الدائنين</w:t>
      </w:r>
      <w:commentRangeStart w:id="18"/>
      <w:r>
        <w:rPr>
          <w:vertAlign w:val="superscript"/>
        </w:rPr>
        <w:footnoteReference w:id="17"/>
      </w:r>
      <w:commentRangeEnd w:id="18"/>
      <w:r>
        <w:rPr>
          <w:rStyle w:val="CommentReference"/>
        </w:rPr>
        <w:commentReference w:id="18"/>
      </w:r>
      <w:r>
        <w:rPr>
          <w:rFonts w:ascii="Traditional Arabic" w:hAnsi="Traditional Arabic"/>
          <w:color w:val="282828"/>
          <w:sz w:val="30"/>
        </w:rPr>
        <w:t xml:space="preserve">.</w:t>
      </w:r>
      <w:r>
        <w:rPr>
          <w:rFonts w:ascii="Traditional Arabic" w:hAnsi="Traditional Arabic"/>
          <w:color w:val="282828"/>
          <w:sz w:val="30"/>
        </w:rPr>
        <w:br/>
      </w:r>
      <w:r>
        <w:rPr>
          <w:rFonts w:ascii="Traditional Arabic" w:hAnsi="Traditional Arabic"/>
          <w:color w:val="282828"/>
          <w:sz w:val="30"/>
        </w:rPr>
        <w:br/>
        <w:t xml:space="preserve">4. النظير التشريعي الإسلامي في عدم سماع دعوى الزوجية بغير وثيقة رسمية: ومن أقرب النظائر المعاصرة ما قررته القوانين الشرعية في العالم الإسلامي، </w:t>
      </w:r>
      <w:commentRangeStart w:id="7"/>
      <w:r>
        <w:rPr>
          <w:rFonts w:ascii="Traditional Arabic" w:hAnsi="Traditional Arabic"/>
          <w:color w:val="282828"/>
          <w:sz w:val="30"/>
          <w:highlight w:val="yellow"/>
        </w:rPr>
        <w:t xml:space="preserve">كاللائحة ترتيب</w:t>
      </w:r>
      <w:commentRangeEnd w:id="7"/>
      <w:r>
        <w:rPr>
          <w:rStyle w:val="CommentReference"/>
        </w:rPr>
        <w:commentReference w:id="7"/>
      </w:r>
      <w:r>
        <w:rPr>
          <w:rFonts w:ascii="Traditional Arabic" w:hAnsi="Traditional Arabic"/>
          <w:color w:val="282828"/>
          <w:sz w:val="30"/>
        </w:rPr>
        <w:t xml:space="preserve"> المحاكم الشرعية المصرية الصادرة عام 1931 (المادة 99) وما سبقها من التنظيمات العثمانية؛ حيث قضت بعدم سماع دعوى الزوجية عند الإنكار إلا إذا كانت ثابتة بوثيقة زواج رسمية. وهذا تصرف صريح في السياسة الشرعية بتقييد الإثبات القضائي بالتوثيق لحسم النزاعات.</w:t>
      </w:r>
      <w:r>
        <w:rPr>
          <w:rFonts w:ascii="Traditional Arabic" w:hAnsi="Traditional Arabic"/>
          <w:color w:val="282828"/>
          <w:sz w:val="30"/>
        </w:rPr>
        <w:br/>
      </w:r>
      <w:r>
        <w:rPr>
          <w:rFonts w:ascii="Traditional Arabic" w:hAnsi="Traditional Arabic"/>
          <w:color w:val="282828"/>
          <w:sz w:val="30"/>
        </w:rPr>
        <w:br/>
      </w:r>
      <w:commentRangeStart w:id="8"/>
      <w:r>
        <w:rPr>
          <w:rFonts w:ascii="Traditional Arabic" w:hAnsi="Traditional Arabic"/>
          <w:color w:val="282828"/>
          <w:sz w:val="30"/>
          <w:highlight w:val="yellow"/>
        </w:rPr>
        <w:t xml:space="preserve">الشاهد الفقهي:</w:t>
      </w:r>
      <w:commentRangeEnd w:id="8"/>
      <w:r>
        <w:rPr>
          <w:rStyle w:val="CommentReference"/>
        </w:rPr>
        <w:commentReference w:id="8"/>
      </w:r>
      <w:r>
        <w:rPr>
          <w:rFonts w:ascii="Traditional Arabic" w:hAnsi="Traditional Arabic"/>
          <w:color w:val="282828"/>
          <w:sz w:val="30"/>
        </w:rPr>
        <w:t xml:space="preserve"> إذا كان الفقهاء قد استحدثوا هذه القيود والضمانات صيانة للأموال؛ فإن صيانة الأنساب والفروج وحقوق النساء والأطفال أولى بالرعاية والتشديد.</w:t>
      </w:r>
    </w:p>
    <w:p w14:paraId="71A00E3A" w14:textId="77777777" w:rsidR="002878CA" w:rsidRDefault="00000000" w:rsidP="00965695">
      <w:pPr>
        <w:keepNext/>
        <w:bidi/>
        <w:spacing w:before="280" w:after="120"/>
      </w:pPr>
      <w:r>
        <w:rPr>
          <w:rFonts w:ascii="Traditional Arabic" w:hAnsi="Traditional Arabic"/>
          <w:b/>
          <w:color w:val="143250"/>
          <w:sz w:val="32"/>
        </w:rPr>
        <w:t>المطلب الرابع: مسؤولية الإمام العاقد والزوجين في ميزان السياسة الشرعية</w:t>
      </w:r>
    </w:p>
    <w:p w14:paraId="244EB059" w14:textId="77777777" w:rsidR="002878CA" w:rsidRDefault="00000000" w:rsidP="00965695">
      <w:pPr>
        <w:bidi/>
        <w:spacing w:after="120"/>
      </w:pPr>
      <w:r>
        <w:rPr>
          <w:rFonts w:ascii="Traditional Arabic" w:hAnsi="Traditional Arabic"/>
          <w:color w:val="282828"/>
          <w:sz w:val="30"/>
        </w:rPr>
        <w:t>تقع مسؤولية عدم التوثيق على عاتق الزوجين بالدرجة الأولى؛ لكونهما المفرطين في اتخاذ أسباب الحماية المقررة. غير أن الإمام أو المركز الإسلامي الذي يباشر عقد النكاح دون التأكد من التسجيل المدني يشاركهما في المسؤولية الأدبية والشرعية، وذلك من وجوه:</w:t>
      </w:r>
      <w:r>
        <w:rPr>
          <w:rFonts w:ascii="Traditional Arabic" w:hAnsi="Traditional Arabic"/>
          <w:color w:val="282828"/>
          <w:sz w:val="30"/>
        </w:rPr>
        <w:br/>
        <w:t>• من جهة التسبب والإعانة: فإجراء العقد الديني دون تسجيل يمكن ضعاف النفوس من الاستمتاع بالمرأة ثم التخلي عنها دون التزام قانوني بالنفقة، وهو إعانة غير مقصودة على ما يفضي إلى الظلم، والله تعالى يقول: ﴿وَتَعَاوَنُوا عَلَى الْبِرِّ وَالتَّقْوَىٰ وَلَا تَعَاوَنُوا عَلَى الْإِثْمِ وَالْعُدْوَانِ﴾ [المائدة: 2].</w:t>
      </w:r>
      <w:r>
        <w:rPr>
          <w:rFonts w:ascii="Traditional Arabic" w:hAnsi="Traditional Arabic"/>
          <w:color w:val="282828"/>
          <w:sz w:val="30"/>
        </w:rPr>
        <w:br/>
        <w:t>• من جهة النصح والتوجيه: فالإمام في ديار الغرب يرجع إليه الناس طلباً للرأي والفتوى، ويستند دوره إلى ولاية الجماعة المسلمة وتراضيها على مرجع شرعي عند غياب القضاء الإسلامي؛ ومن واجب النصح للمسلمين ألا يغر المرأة وأهلها بعقد شرعي مجرد قد يعقبه ضياع حقوقها.</w:t>
      </w:r>
      <w:r>
        <w:rPr>
          <w:rFonts w:ascii="Traditional Arabic" w:hAnsi="Traditional Arabic"/>
          <w:color w:val="282828"/>
          <w:sz w:val="30"/>
        </w:rPr>
        <w:br/>
        <w:t xml:space="preserve">• موازنة المآلات بحكمة: مع تأكيد وجوب التوثيق كأصل عام، ينبغي للأئمة الموازنة في الحالات الاستثنائية الحرجة (كمن تعذر عليه التسجيل لعارض نظامي مؤقت يُخشى معه الوقوع في الحرام)؛ </w:t>
      </w:r>
      <w:commentRangeStart w:id="9"/>
      <w:r>
        <w:rPr>
          <w:rFonts w:ascii="Traditional Arabic" w:hAnsi="Traditional Arabic"/>
          <w:color w:val="282828"/>
          <w:sz w:val="30"/>
          <w:highlight w:val="yellow"/>
        </w:rPr>
        <w:t xml:space="preserve">فيُعقد النكاح الشرعي المستوفي لشروطه، مع التزام مكتوب بالتعجيل بالقيد المدني، وتوثيق اتفاقات تحفظ الحقوق إلى حين القيد</w:t>
      </w:r>
      <w:commentRangeEnd w:id="9"/>
      <w:r>
        <w:rPr>
          <w:rStyle w:val="CommentReference"/>
        </w:rPr>
        <w:commentReference w:id="9"/>
      </w:r>
      <w:r>
        <w:rPr>
          <w:rFonts w:ascii="Traditional Arabic" w:hAnsi="Traditional Arabic"/>
          <w:color w:val="282828"/>
          <w:sz w:val="30"/>
        </w:rPr>
        <w:t xml:space="preserve">.</w:t>
      </w:r>
    </w:p>
    <w:tbl>
      <w:tblPr>
        <w:tblW w:w="0" w:type="auto"/>
        <w:jc w:val="center"/>
        <w:tblLook w:val="04A0" w:firstRow="1" w:lastRow="0" w:firstColumn="1" w:lastColumn="0" w:noHBand="0" w:noVBand="1"/>
      </w:tblPr>
      <w:tblGrid>
        <w:gridCol w:w="9029"/>
      </w:tblGrid>
      <w:tr w:rsidR="002878CA" w14:paraId="3BDFFE2A" w14:textId="77777777">
        <w:trPr>
          <w:jc w:val="center"/>
        </w:trPr>
        <w:tc>
          <w:tcPr>
            <w:tcW w:w="9029" w:type="dxa"/>
            <w:tcBorders>
              <w:right w:val="single" w:sz="24" w:space="0" w:color="0D5C3A"/>
            </w:tcBorders>
            <w:shd w:val="clear" w:color="auto" w:fill="F4F9F6"/>
            <w:tcMar>
              <w:top w:w="160" w:type="dxa"/>
              <w:left w:w="220" w:type="dxa"/>
              <w:bottom w:w="160" w:type="dxa"/>
              <w:right w:w="220" w:type="dxa"/>
            </w:tcMar>
          </w:tcPr>
          <w:p w14:paraId="79D001BF" w14:textId="77777777" w:rsidR="002878CA" w:rsidRDefault="00000000" w:rsidP="00965695">
            <w:pPr>
              <w:bidi/>
              <w:spacing w:before="40" w:after="60"/>
            </w:pPr>
            <w:commentRangeStart w:id="10"/>
            <w:r>
              <w:rPr>
                <w:rFonts w:ascii="Traditional Arabic" w:hAnsi="Traditional Arabic"/>
                <w:b/>
                <w:color w:val="0D5C3A"/>
                <w:sz w:val="28"/>
                <w:highlight w:val="yellow"/>
              </w:rPr>
              <w:t xml:space="preserve">الخلاصة الفقهية:</w:t>
            </w:r>
            <w:commentRangeEnd w:id="10"/>
            <w:r>
              <w:rPr>
                <w:rStyle w:val="CommentReference"/>
              </w:rPr>
              <w:commentReference w:id="10"/>
            </w:r>
            <w:r>
              <w:rPr>
                <w:rFonts w:ascii="Traditional Arabic" w:hAnsi="Traditional Arabic"/>
                <w:b/>
                <w:color w:val="0D5C3A"/>
                <w:sz w:val="28"/>
              </w:rPr>
              <w:t xml:space="preserve"> </w:t>
            </w:r>
            <w:r>
              <w:rPr>
                <w:rFonts w:ascii="Traditional Arabic" w:hAnsi="Traditional Arabic"/>
                <w:color w:val="282828"/>
                <w:sz w:val="27"/>
              </w:rPr>
              <w:t>يخلص البحث إلى أن إلزام المراكز الإسلامية بإبراز وثيقة الزواج المدني الرسمية قبل إجراء العقد الشرعي هو الموقف الأكمل والأحوط فقهياً؛ لقطع النزاع وصيانة حقوق الزوجة وأولادها من الضياع.</w:t>
            </w:r>
          </w:p>
        </w:tc>
      </w:tr>
    </w:tbl>
    <w:p w14:paraId="1B265BD0" w14:textId="77777777" w:rsidR="002878CA" w:rsidRDefault="002878CA" w:rsidP="00965695">
      <w:pPr>
        <w:bidi/>
        <w:spacing w:after="80"/>
      </w:pPr>
    </w:p>
    <w:sectPr w:rsidR="002878CA" w:rsidRPr="009F31FB" w:rsidSect="00034616">
      <w:headerReference w:type="even" r:id="rId8"/>
      <w:headerReference w:type="default" r:id="rId9"/>
      <w:footerReference w:type="even" r:id="rId10"/>
      <w:footerReference w:type="default" r:id="rId11"/>
      <w:headerReference w:type="first" r:id="rId12"/>
      <w:footerReference w:type="first" r:id="rId13"/>
      <w:pgSz w:w="11909" w:h="16834"/>
      <w:pgMar w:top="1440" w:right="1440" w:bottom="1440" w:left="1440"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Claude (مراجعة)" w:initials="CL" w:date="2026-10-19T06:00:19Z">
    <w:p>
      <w:pPr>
        <w:pStyle w:val="CommentText"/>
      </w:pPr>
      <w:r>
        <w:rPr>
          <w:rStyle w:val="CommentReference"/>
        </w:rPr>
        <w:annotationRef/>
      </w:r>
      <w:r>
        <w:t>المهر ليس شرطًا لصحة النكاح عند الجمهور، ويجب مهر المثل عند السكوت عنه؛ فيُذكر أثرًا من آثار العقد. التقرير، ثالثًا ورابعًا ٧.</w:t>
      </w:r>
    </w:p>
  </w:comment>
  <w:comment w:id="1" w:author="Claude (مراجعة)" w:initials="CL" w:date="2026-10-19T06:00:19Z">
    <w:p>
      <w:pPr>
        <w:pStyle w:val="CommentText"/>
      </w:pPr>
      <w:r>
        <w:rPr>
          <w:rStyle w:val="CommentReference"/>
        </w:rPr>
        <w:annotationRef/>
      </w:r>
      <w:r>
        <w:t>وصف القطع زائد على الحاجة. التقرير، رابعًا ٧.</w:t>
      </w:r>
    </w:p>
  </w:comment>
  <w:comment w:id="2" w:author="Claude (مراجعة)" w:initials="CL" w:date="2026-10-19T06:00:19Z">
    <w:p>
      <w:pPr>
        <w:pStyle w:val="CommentText"/>
      </w:pPr>
      <w:r>
        <w:rPr>
          <w:rStyle w:val="CommentReference"/>
        </w:rPr>
        <w:annotationRef/>
      </w:r>
      <w:r>
        <w:t>تكرار «الواجب الواجب»، و«عينًا» توهم مقابلة الكفائي. التقرير، رابعًا ٧.</w:t>
      </w:r>
    </w:p>
  </w:comment>
  <w:comment w:id="3" w:author="Claude (مراجعة)" w:initials="CL" w:date="2026-10-19T06:00:19Z">
    <w:p>
      <w:pPr>
        <w:pStyle w:val="CommentText"/>
      </w:pPr>
      <w:r>
        <w:rPr>
          <w:rStyle w:val="CommentReference"/>
        </w:rPr>
        <w:annotationRef/>
      </w:r>
      <w:r>
        <w:t>سد الذرائع يُستدل به هنا مؤيدًا لمقدمة الواجب لا أصلًا مستقلًا؛ لاختلاف المذاهب في حدود إعماله. التقرير، رابعًا ٧.</w:t>
      </w:r>
    </w:p>
  </w:comment>
  <w:comment w:id="4" w:author="Claude (مراجعة)" w:initials="CL" w:date="2026-10-19T06:00:19Z">
    <w:p>
      <w:pPr>
        <w:pStyle w:val="CommentText"/>
      </w:pPr>
      <w:r>
        <w:rPr>
          <w:rStyle w:val="CommentReference"/>
        </w:rPr>
        <w:annotationRef/>
      </w:r>
      <w:r>
        <w:t>قال الشافعي: «وقد رُوي من وجه لا يُثبت أهل الحديث مثله…» (الأم 7/96–97؛ البيهقي ت التركي 12/130). والكاساني 4/210 لم يذكر قول علي. التقرير، خامسًا ٢/ز ومراجعة التوثيق.</w:t>
      </w:r>
    </w:p>
  </w:comment>
  <w:comment w:id="5" w:author="Claude (مراجعة)" w:initials="CL" w:date="2026-10-19T06:00:19Z">
    <w:p>
      <w:pPr>
        <w:pStyle w:val="CommentText"/>
      </w:pPr>
      <w:r>
        <w:rPr>
          <w:rStyle w:val="CommentReference"/>
        </w:rPr>
        <w:annotationRef/>
      </w:r>
      <w:r>
        <w:t>لم أجد «ديوان الشهود المعدلين» في تبصرة الحكام 1/195 (ط الشاملة). والموثق: الهداية 3/118 «والفتوى على قولهما في هذا الزمان»، والكندي ص361. التقرير، خامسًا ٢/د.</w:t>
      </w:r>
    </w:p>
  </w:comment>
  <w:comment w:id="6" w:author="Claude (مراجعة)" w:initials="CL" w:date="2026-10-19T06:00:19Z">
    <w:p>
      <w:pPr>
        <w:pStyle w:val="CommentText"/>
      </w:pPr>
      <w:r>
        <w:rPr>
          <w:rStyle w:val="CommentReference"/>
        </w:rPr>
        <w:annotationRef/>
      </w:r>
      <w:r>
        <w:t>ابن القيم في الموضع المحال إليه رجّح خلافه: «أنه لا يُحبس في شيء من ذلك، إلا أن يظهر بقرينة أنه قادر مماطل» (ط البيان ص56–57). فيُحذف النظير أو يُنسب إلى مصدر فقهي آخر. التقرير، خامسًا ١.</w:t>
      </w:r>
    </w:p>
  </w:comment>
  <w:comment w:id="7" w:author="Claude (مراجعة)" w:initials="CL" w:date="2026-10-19T06:00:19Z">
    <w:p>
      <w:pPr>
        <w:pStyle w:val="CommentText"/>
      </w:pPr>
      <w:r>
        <w:rPr>
          <w:rStyle w:val="CommentReference"/>
        </w:rPr>
        <w:annotationRef/>
      </w:r>
      <w:r>
        <w:t>خطأ مطبعي.</w:t>
      </w:r>
    </w:p>
  </w:comment>
  <w:comment w:id="8" w:author="Claude (مراجعة)" w:initials="CL" w:date="2026-10-19T06:00:19Z">
    <w:p>
      <w:pPr>
        <w:pStyle w:val="CommentText"/>
      </w:pPr>
      <w:r>
        <w:rPr>
          <w:rStyle w:val="CommentReference"/>
        </w:rPr>
        <w:annotationRef/>
      </w:r>
      <w:r>
        <w:t>حذف الرمز. وتُقترح فقرة الجامع والحدود مكان الصندوق (فقرة فقهية). التقرير، خامسًا ٣.</w:t>
      </w:r>
    </w:p>
  </w:comment>
  <w:comment w:id="9" w:author="Claude (مراجعة)" w:initials="CL" w:date="2026-10-19T06:00:19Z">
    <w:p>
      <w:pPr>
        <w:pStyle w:val="CommentText"/>
      </w:pPr>
      <w:r>
        <w:rPr>
          <w:rStyle w:val="CommentReference"/>
        </w:rPr>
        <w:annotationRef/>
      </w:r>
      <w:r>
        <w:t>لفظ «المؤقت» في النكاح ينصرف إلى نكاح المتعة الباطل، والمراد عقد مؤبد يتأخر قيده. التقرير، ثالثًا.</w:t>
      </w:r>
    </w:p>
  </w:comment>
  <w:comment w:id="10" w:author="Claude (مراجعة)" w:initials="CL" w:date="2026-10-19T06:00:19Z">
    <w:p>
      <w:pPr>
        <w:pStyle w:val="CommentText"/>
      </w:pPr>
      <w:r>
        <w:rPr>
          <w:rStyle w:val="CommentReference"/>
        </w:rPr>
        <w:annotationRef/>
      </w:r>
      <w:r>
        <w:t>حذف الرمز. ودرجة الحكم هنا «الأكمل والأحوط»، وفي الملخص «واجب»؛ فتوحَّد على: التوثيق متعيّن عند القدرة، وبدائل لذوي العذر بضوابط وحد زمني. التقرير، رابعًا ٥.</w:t>
      </w:r>
    </w:p>
  </w:comment>
  <w:comment w:id="11" w:author="Claude (مراجعة)" w:initials="CL" w:date="2026-10-19T06:00:19Z">
    <w:p>
      <w:pPr>
        <w:pStyle w:val="CommentText"/>
      </w:pPr>
      <w:r>
        <w:rPr>
          <w:rStyle w:val="CommentReference"/>
        </w:rPr>
        <w:annotationRef/>
      </w:r>
      <w:r>
        <w:t>توحيد المصطلح. التقرير، ثامنًا ٤.</w:t>
      </w:r>
    </w:p>
  </w:comment>
  <w:comment w:id="12" w:author="Claude (مراجعة)" w:initials="CL" w:date="2026-10-19T06:00:19Z">
    <w:p>
      <w:pPr>
        <w:pStyle w:val="CommentText"/>
      </w:pPr>
      <w:r>
        <w:rPr>
          <w:rStyle w:val="CommentReference"/>
        </w:rPr>
        <w:annotationRef/>
      </w:r>
      <w:r>
        <w:t>الموافقات (ت مشهور) 2/393 في ثواب النية، ولا ذكر للإشهاد. يُقترح المغني 7/7–8 في حكمة الإشهاد على النكاح، أو حذف الإحالة. (مراجعة التوثيق، أولًا ٣)</w:t>
      </w:r>
    </w:p>
  </w:comment>
  <w:comment w:id="13" w:author="Claude (مراجعة)" w:initials="CL" w:date="2026-10-19T06:00:19Z">
    <w:p>
      <w:pPr>
        <w:pStyle w:val="CommentText"/>
      </w:pPr>
      <w:r>
        <w:rPr>
          <w:rStyle w:val="CommentReference"/>
        </w:rPr>
        <w:annotationRef/>
      </w:r>
      <w:r>
        <w:t>النص في الفروق (ط الشاملة) 1/177؛ فرق صفحة، تُطابق على طبعتك.</w:t>
      </w:r>
    </w:p>
  </w:comment>
  <w:comment w:id="14" w:author="Claude (مراجعة)" w:initials="CL" w:date="2026-10-19T06:00:19Z">
    <w:p>
      <w:pPr>
        <w:pStyle w:val="CommentText"/>
      </w:pPr>
      <w:r>
        <w:rPr>
          <w:rStyle w:val="CommentReference"/>
        </w:rPr>
        <w:annotationRef/>
      </w:r>
      <w:r>
        <w:t>المستصفى (ت عبد الشافي) مجلد واحد، والمسألة ص57. (مراجعة التوثيق، ثانيًا)</w:t>
      </w:r>
    </w:p>
  </w:comment>
  <w:comment w:id="15" w:author="Claude (مراجعة)" w:initials="CL" w:date="2026-10-19T06:00:19Z">
    <w:p>
      <w:pPr>
        <w:pStyle w:val="CommentText"/>
      </w:pPr>
      <w:r>
        <w:rPr>
          <w:rStyle w:val="CommentReference"/>
        </w:rPr>
        <w:annotationRef/>
      </w:r>
      <w:r>
        <w:t>«النظر في مآلات الأفعال معتبر مقصود شرعًا» في 5/177؛ و5/194 في الاستحسان. (مراجعة التوثيق، ثانيًا)</w:t>
      </w:r>
    </w:p>
  </w:comment>
  <w:comment w:id="16" w:author="Claude (مراجعة)" w:initials="CL" w:date="2026-10-19T06:00:19Z">
    <w:p>
      <w:pPr>
        <w:pStyle w:val="CommentText"/>
      </w:pPr>
      <w:r>
        <w:rPr>
          <w:rStyle w:val="CommentReference"/>
        </w:rPr>
        <w:annotationRef/>
      </w:r>
      <w:r>
        <w:t>كشاف القناع (ت مصيلحي) 4/33–34 في الأجير المشترك؛ و4/25 في انفساخ الإجارة. والكاساني 4/210 لم يذكر قول علي. ويُضاف تخريج الأثر: الأم 7/96–97، والبيهقي ت التركي 12/130. (خامسًا ٤)</w:t>
      </w:r>
    </w:p>
  </w:comment>
  <w:comment w:id="17" w:author="Claude (مراجعة)" w:initials="CL" w:date="2026-10-19T06:00:19Z">
    <w:p>
      <w:pPr>
        <w:pStyle w:val="CommentText"/>
      </w:pPr>
      <w:r>
        <w:rPr>
          <w:rStyle w:val="CommentReference"/>
        </w:rPr>
        <w:annotationRef/>
      </w:r>
      <w:r>
        <w:t>لم أجد ديوان الشهود المعدلين في 1/195؛ والموضع في الإعذار وتزكية الشهود. (مراجعة التوثيق، أولًا ٤)</w:t>
      </w:r>
    </w:p>
  </w:comment>
  <w:comment w:id="18" w:author="Claude (مراجعة)" w:initials="CL" w:date="2026-10-19T06:00:19Z">
    <w:p>
      <w:pPr>
        <w:pStyle w:val="CommentText"/>
      </w:pPr>
      <w:r>
        <w:rPr>
          <w:rStyle w:val="CommentReference"/>
        </w:rPr>
        <w:annotationRef/>
      </w:r>
      <w:r>
        <w:t>الموضع (ط البيان ص56–57) يرجّح عدم الحبس إلا بقرينة. (مراجعة التوثيق، أولًا ٢)</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8750172" w14:textId="77777777" w:rsidR="002A3DDE" w:rsidRDefault="002A3DDE">
      <w:pPr>
        <w:spacing w:after="0" w:line="240" w:lineRule="auto"/>
      </w:pPr>
      <w:r>
        <w:separator/>
      </w:r>
    </w:p>
  </w:endnote>
  <w:endnote w:type="continuationSeparator" w:id="0">
    <w:p w14:paraId="48D4E4C3" w14:textId="77777777" w:rsidR="002A3DDE" w:rsidRDefault="002A3D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Traditional Arabic">
    <w:panose1 w:val="02020603050405020304"/>
    <w:charset w:val="B2"/>
    <w:family w:val="roman"/>
    <w:pitch w:val="variable"/>
    <w:sig w:usb0="00002003" w:usb1="80000000"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4B090CA" w14:textId="77777777" w:rsidR="009F31FB" w:rsidRDefault="009F31FB">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A03419F" w14:textId="5D24DD5B" w:rsidR="009F31FB" w:rsidRDefault="009F31FB">
    <w:pPr>
      <w:pStyle w:val="a6"/>
      <w:jc w:val="center"/>
      <w:rPr>
        <w:sz w:val="24"/>
        <w:szCs w:val="24"/>
      </w:rPr>
    </w:pPr>
    <w:r>
      <w:rPr>
        <w:rFonts w:ascii="Traditional Arabic" w:hAnsi="Traditional Arabic" w:cs="Traditional Arabic" w:hint="cs"/>
        <w:color w:val="787878"/>
        <w:sz w:val="20"/>
        <w:szCs w:val="20"/>
      </w:rPr>
      <w:t xml:space="preserve">- </w:t>
    </w:r>
    <w:r>
      <w:fldChar w:fldCharType="begin"/>
    </w:r>
    <w:r>
      <w:instrText>PAGE</w:instrText>
    </w:r>
    <w:r>
      <w:fldChar w:fldCharType="separate"/>
    </w:r>
    <w:r>
      <w:rPr>
        <w:noProof/>
      </w:rPr>
      <w:t>1</w:t>
    </w:r>
    <w:r>
      <w:fldChar w:fldCharType="end"/>
    </w:r>
    <w:r>
      <w:rPr>
        <w:rFonts w:ascii="Traditional Arabic" w:hAnsi="Traditional Arabic" w:cs="Traditional Arabic" w:hint="cs"/>
        <w:color w:val="787878"/>
        <w:sz w:val="20"/>
        <w:szCs w:val="20"/>
      </w:rPr>
      <w:t xml:space="preserve"> -</w:t>
    </w:r>
  </w:p>
  <w:p w14:paraId="02E62C7B" w14:textId="19F958B1" w:rsidR="002878CA" w:rsidRDefault="009F31FB">
    <w:pPr>
      <w:pStyle w:val="a6"/>
      <w:jc w:val="center"/>
    </w:pPr>
    <w:r>
      <w:t>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1B3C25F" w14:textId="77777777" w:rsidR="009F31FB" w:rsidRDefault="009F31FB">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80791A8" w14:textId="77777777" w:rsidR="002A3DDE" w:rsidRDefault="002A3DDE">
      <w:pPr>
        <w:spacing w:after="0" w:line="240" w:lineRule="auto"/>
      </w:pPr>
      <w:r>
        <w:separator/>
      </w:r>
    </w:p>
  </w:footnote>
  <w:footnote w:type="continuationSeparator" w:id="0">
    <w:p w14:paraId="4DCC7B9C" w14:textId="77777777" w:rsidR="002A3DDE" w:rsidRDefault="002A3DDE">
      <w:pPr>
        <w:spacing w:after="0" w:line="240" w:lineRule="auto"/>
      </w:pPr>
      <w:r>
        <w:continuationSeparator/>
      </w:r>
    </w:p>
  </w:footnote>
  <w:footnote w:id="1">
    <w:p>
      <w:pPr>
        <w:bidi/>
      </w:pPr>
      <w:r>
        <w:rPr>
          <w:vertAlign w:val="superscript"/>
        </w:rPr>
        <w:footnoteRef/>
      </w:r>
      <w:r>
        <w:rPr>
          <w:rFonts w:ascii="Traditional Arabic" w:hAnsi="Traditional Arabic" w:cs="Traditional Arabic"/>
          <w:rtl/>
          <w:sz w:val="24"/>
          <w:szCs w:val="24"/>
        </w:rPr>
        <w:t xml:space="preserve"> العتيبي، فيصل بن عبد الله، عقد الزواج غير الموثق رسمياً وأحكامه في الفقه الإسلامي، رسالة ماجستير غير منشورة، كلية الشريعة، جامعة أم القرى، 2014.</w:t>
      </w:r>
    </w:p>
  </w:footnote>
  <w:footnote w:id="2">
    <w:p>
      <w:pPr>
        <w:bidi/>
      </w:pPr>
      <w:r>
        <w:rPr>
          <w:vertAlign w:val="superscript"/>
        </w:rPr>
        <w:footnoteRef/>
      </w:r>
      <w:r>
        <w:rPr>
          <w:rFonts w:ascii="Traditional Arabic" w:hAnsi="Traditional Arabic" w:cs="Traditional Arabic"/>
          <w:rtl/>
          <w:sz w:val="24"/>
          <w:szCs w:val="24"/>
        </w:rPr>
        <w:t xml:space="preserve"> الزحيلي، وهبة بن مصطفى، الفقه الإسلامي وأدلته، ط4، دار الفكر، 2002.</w:t>
      </w:r>
    </w:p>
  </w:footnote>
  <w:footnote w:id="3">
    <w:p>
      <w:pPr>
        <w:bidi/>
      </w:pPr>
      <w:r>
        <w:rPr>
          <w:vertAlign w:val="superscript"/>
        </w:rPr>
        <w:footnoteRef/>
      </w:r>
      <w:r>
        <w:rPr>
          <w:rFonts w:ascii="Traditional Arabic" w:hAnsi="Traditional Arabic" w:cs="Traditional Arabic"/>
          <w:rtl/>
          <w:sz w:val="24"/>
          <w:szCs w:val="24"/>
        </w:rPr>
        <w:t xml:space="preserve"> Ferguson, L. (2018). Unregistered Muslim marriages in the UK: Examining the intersections of religion, law and gender. Oxford Journal of Law and Religion, 7(2), 273–296.</w:t>
      </w:r>
    </w:p>
  </w:footnote>
  <w:footnote w:id="4">
    <w:p>
      <w:pPr>
        <w:bidi/>
      </w:pPr>
      <w:r>
        <w:rPr>
          <w:vertAlign w:val="superscript"/>
        </w:rPr>
        <w:footnoteRef/>
      </w:r>
      <w:r>
        <w:rPr>
          <w:rFonts w:ascii="Traditional Arabic" w:hAnsi="Traditional Arabic" w:cs="Traditional Arabic"/>
          <w:rtl/>
          <w:sz w:val="24"/>
          <w:szCs w:val="24"/>
        </w:rPr>
        <w:t xml:space="preserve"> Bano, S. (2017). Modern family law and religious legal traditions: Unregistered Muslim marriages in England and Wales. Journal of Social Welfare and Family Law, 39(4), 488–505.</w:t>
      </w:r>
    </w:p>
  </w:footnote>
  <w:footnote w:id="5">
    <w:p>
      <w:pPr>
        <w:bidi/>
      </w:pPr>
      <w:r>
        <w:rPr>
          <w:vertAlign w:val="superscript"/>
        </w:rPr>
        <w:footnoteRef/>
      </w:r>
      <w:r>
        <w:rPr>
          <w:rFonts w:ascii="Traditional Arabic" w:hAnsi="Traditional Arabic" w:cs="Traditional Arabic"/>
          <w:rtl/>
          <w:sz w:val="24"/>
          <w:szCs w:val="24"/>
        </w:rPr>
        <w:t xml:space="preserve"> Farfán, M. E., &amp; Medina, G. (2018). Las uniones convivenciales en el nuevo Código Civil y Comercial de la Nación. Revista La Ley, 2018(3), 112–129.</w:t>
      </w:r>
    </w:p>
  </w:footnote>
  <w:footnote w:id="6">
    <w:p>
      <w:pPr>
        <w:bidi/>
      </w:pPr>
      <w:r>
        <w:rPr>
          <w:vertAlign w:val="superscript"/>
        </w:rPr>
        <w:footnoteRef/>
      </w:r>
      <w:r>
        <w:rPr>
          <w:rFonts w:ascii="Traditional Arabic" w:hAnsi="Traditional Arabic" w:cs="Traditional Arabic"/>
          <w:rtl/>
          <w:sz w:val="24"/>
          <w:szCs w:val="24"/>
        </w:rPr>
        <w:t xml:space="preserve"> Herrera, M. (2016). Manual de derecho de las familias (2da ed.). Abeledo Perrot.</w:t>
      </w:r>
    </w:p>
  </w:footnote>
  <w:footnote w:id="7">
    <w:p>
      <w:pPr>
        <w:bidi/>
      </w:pPr>
      <w:r>
        <w:rPr>
          <w:vertAlign w:val="superscript"/>
        </w:rPr>
        <w:footnoteRef/>
      </w:r>
      <w:r>
        <w:rPr>
          <w:rFonts w:ascii="Traditional Arabic" w:hAnsi="Traditional Arabic" w:cs="Traditional Arabic"/>
          <w:rtl/>
          <w:sz w:val="24"/>
          <w:szCs w:val="24"/>
        </w:rPr>
        <w:t xml:space="preserve"> ابن قدامة، المغني، 7/6؛ الكاساني، بدائع الصنائع، 2/332.</w:t>
      </w:r>
    </w:p>
  </w:footnote>
  <w:footnote w:id="8">
    <w:p>
      <w:pPr>
        <w:bidi/>
      </w:pPr>
      <w:r>
        <w:rPr>
          <w:vertAlign w:val="superscript"/>
        </w:rPr>
        <w:footnoteRef/>
      </w:r>
      <w:r>
        <w:rPr>
          <w:rFonts w:ascii="Traditional Arabic" w:hAnsi="Traditional Arabic" w:cs="Traditional Arabic"/>
          <w:rtl/>
          <w:sz w:val="24"/>
          <w:szCs w:val="24"/>
        </w:rPr>
        <w:t xml:space="preserve"> الشاطبي، الموافقات، 2/393.</w:t>
      </w:r>
    </w:p>
  </w:footnote>
  <w:footnote w:id="9">
    <w:p>
      <w:pPr>
        <w:bidi/>
      </w:pPr>
      <w:r>
        <w:rPr>
          <w:vertAlign w:val="superscript"/>
        </w:rPr>
        <w:footnoteRef/>
      </w:r>
      <w:r>
        <w:rPr>
          <w:rFonts w:ascii="Traditional Arabic" w:hAnsi="Traditional Arabic" w:cs="Traditional Arabic"/>
          <w:rtl/>
          <w:sz w:val="24"/>
          <w:szCs w:val="24"/>
        </w:rPr>
        <w:t xml:space="preserve"> ابن القيم، إعلام الموقعين عن رب العالمين، 3/11.</w:t>
      </w:r>
    </w:p>
  </w:footnote>
  <w:footnote w:id="10">
    <w:p>
      <w:pPr>
        <w:bidi/>
      </w:pPr>
      <w:r>
        <w:rPr>
          <w:vertAlign w:val="superscript"/>
        </w:rPr>
        <w:footnoteRef/>
      </w:r>
      <w:r>
        <w:rPr>
          <w:rFonts w:ascii="Traditional Arabic" w:hAnsi="Traditional Arabic" w:cs="Traditional Arabic"/>
          <w:rtl/>
          <w:sz w:val="24"/>
          <w:szCs w:val="24"/>
        </w:rPr>
        <w:t xml:space="preserve"> القرافي، الفروق، 1/176.</w:t>
      </w:r>
    </w:p>
  </w:footnote>
  <w:footnote w:id="11">
    <w:p>
      <w:pPr>
        <w:bidi/>
      </w:pPr>
      <w:r>
        <w:rPr>
          <w:vertAlign w:val="superscript"/>
        </w:rPr>
        <w:footnoteRef/>
      </w:r>
      <w:r>
        <w:rPr>
          <w:rFonts w:ascii="Traditional Arabic" w:hAnsi="Traditional Arabic" w:cs="Traditional Arabic"/>
          <w:rtl/>
          <w:sz w:val="24"/>
          <w:szCs w:val="24"/>
        </w:rPr>
        <w:t xml:space="preserve"> ابن عابدين، نشر العرف في بناء بعض الأحكام على العرف (ضمن مجموع رسائل ابن عابدين)، 2/125.</w:t>
      </w:r>
    </w:p>
  </w:footnote>
  <w:footnote w:id="12">
    <w:p>
      <w:pPr>
        <w:bidi/>
      </w:pPr>
      <w:r>
        <w:rPr>
          <w:vertAlign w:val="superscript"/>
        </w:rPr>
        <w:footnoteRef/>
      </w:r>
      <w:r>
        <w:rPr>
          <w:rFonts w:ascii="Traditional Arabic" w:hAnsi="Traditional Arabic" w:cs="Traditional Arabic"/>
          <w:rtl/>
          <w:sz w:val="24"/>
          <w:szCs w:val="24"/>
        </w:rPr>
        <w:t xml:space="preserve"> مجلة الأحكام العدلية، المادة 39.</w:t>
      </w:r>
    </w:p>
  </w:footnote>
  <w:footnote w:id="13">
    <w:p>
      <w:pPr>
        <w:bidi/>
      </w:pPr>
      <w:r>
        <w:rPr>
          <w:vertAlign w:val="superscript"/>
        </w:rPr>
        <w:footnoteRef/>
      </w:r>
      <w:r>
        <w:rPr>
          <w:rFonts w:ascii="Traditional Arabic" w:hAnsi="Traditional Arabic" w:cs="Traditional Arabic"/>
          <w:rtl/>
          <w:sz w:val="24"/>
          <w:szCs w:val="24"/>
        </w:rPr>
        <w:t xml:space="preserve"> الغزالي، المستصفى، </w:t>
      </w:r>
      <w:r>
        <w:rPr>
          <w:rFonts w:ascii="Traditional Arabic" w:hAnsi="Traditional Arabic" w:cs="Traditional Arabic"/>
          <w:highlight w:val="yellow"/>
          <w:rtl/>
          <w:sz w:val="24"/>
          <w:szCs w:val="24"/>
        </w:rPr>
        <w:t xml:space="preserve">ص57</w:t>
      </w:r>
      <w:r>
        <w:rPr>
          <w:rFonts w:ascii="Traditional Arabic" w:hAnsi="Traditional Arabic" w:cs="Traditional Arabic"/>
          <w:rtl/>
          <w:sz w:val="24"/>
          <w:szCs w:val="24"/>
        </w:rPr>
        <w:t xml:space="preserve">.</w:t>
      </w:r>
    </w:p>
  </w:footnote>
  <w:footnote w:id="14">
    <w:p>
      <w:pPr>
        <w:bidi/>
      </w:pPr>
      <w:r>
        <w:rPr>
          <w:vertAlign w:val="superscript"/>
        </w:rPr>
        <w:footnoteRef/>
      </w:r>
      <w:r>
        <w:rPr>
          <w:rFonts w:ascii="Traditional Arabic" w:hAnsi="Traditional Arabic" w:cs="Traditional Arabic"/>
          <w:rtl/>
          <w:sz w:val="24"/>
          <w:szCs w:val="24"/>
        </w:rPr>
        <w:t xml:space="preserve"> الشاطبي، الموافقات، </w:t>
      </w:r>
      <w:r>
        <w:rPr>
          <w:rFonts w:ascii="Traditional Arabic" w:hAnsi="Traditional Arabic" w:cs="Traditional Arabic"/>
          <w:highlight w:val="yellow"/>
          <w:rtl/>
          <w:sz w:val="24"/>
          <w:szCs w:val="24"/>
        </w:rPr>
        <w:t xml:space="preserve">5/177</w:t>
      </w:r>
      <w:r>
        <w:rPr>
          <w:rFonts w:ascii="Traditional Arabic" w:hAnsi="Traditional Arabic" w:cs="Traditional Arabic"/>
          <w:rtl/>
          <w:sz w:val="24"/>
          <w:szCs w:val="24"/>
        </w:rPr>
        <w:t xml:space="preserve">.</w:t>
      </w:r>
    </w:p>
  </w:footnote>
  <w:footnote w:id="15">
    <w:p>
      <w:pPr>
        <w:bidi/>
      </w:pPr>
      <w:r>
        <w:rPr>
          <w:vertAlign w:val="superscript"/>
        </w:rPr>
        <w:footnoteRef/>
      </w:r>
      <w:r>
        <w:rPr>
          <w:rFonts w:ascii="Traditional Arabic" w:hAnsi="Traditional Arabic" w:cs="Traditional Arabic"/>
          <w:rtl/>
          <w:sz w:val="24"/>
          <w:szCs w:val="24"/>
        </w:rPr>
        <w:t xml:space="preserve"> الكاساني، بدائع الصنائع، 4/210؛ البهوتي، كشاف القناع، 4/25.</w:t>
      </w:r>
    </w:p>
  </w:footnote>
  <w:footnote w:id="16">
    <w:p>
      <w:pPr>
        <w:bidi/>
      </w:pPr>
      <w:r>
        <w:rPr>
          <w:vertAlign w:val="superscript"/>
        </w:rPr>
        <w:footnoteRef/>
      </w:r>
      <w:r>
        <w:rPr>
          <w:rFonts w:ascii="Traditional Arabic" w:hAnsi="Traditional Arabic" w:cs="Traditional Arabic"/>
          <w:rtl/>
          <w:sz w:val="24"/>
          <w:szCs w:val="24"/>
        </w:rPr>
        <w:t xml:space="preserve"> ابن فرحون، تبصرة الحكام، 1/195.</w:t>
      </w:r>
    </w:p>
  </w:footnote>
  <w:footnote w:id="17">
    <w:p>
      <w:pPr>
        <w:bidi/>
      </w:pPr>
      <w:r>
        <w:rPr>
          <w:vertAlign w:val="superscript"/>
        </w:rPr>
        <w:footnoteRef/>
      </w:r>
      <w:r>
        <w:rPr>
          <w:rFonts w:ascii="Traditional Arabic" w:hAnsi="Traditional Arabic" w:cs="Traditional Arabic"/>
          <w:rtl/>
          <w:sz w:val="24"/>
          <w:szCs w:val="24"/>
        </w:rPr>
        <w:t xml:space="preserve"> ابن القيم، الطرق الحكمية، ص89.</w:t>
      </w:r>
    </w:p>
  </w:footnote>
  <w:footnote w:id="18">
    <w:p>
      <w:pPr>
        <w:bidi/>
      </w:pPr>
      <w:r>
        <w:rPr>
          <w:vertAlign w:val="superscript"/>
        </w:rPr>
        <w:footnoteRef/>
      </w:r>
      <w:r>
        <w:rPr>
          <w:rFonts w:ascii="Traditional Arabic" w:hAnsi="Traditional Arabic" w:cs="Traditional Arabic"/>
          <w:rtl/>
          <w:sz w:val="24"/>
          <w:szCs w:val="24"/>
        </w:rPr>
        <w:t xml:space="preserve"> ابن القيم، الطرق الحكمية، ص14.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28870BB" w14:textId="77777777" w:rsidR="009F31FB" w:rsidRDefault="009F31FB">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D7C1F5A" w14:textId="77777777" w:rsidR="009F31FB" w:rsidRDefault="009F31FB">
    <w:pPr>
      <w:pStyle w:val="a5"/>
      <w:bidi/>
      <w:jc w:val="center"/>
      <w:rPr>
        <w:sz w:val="24"/>
        <w:szCs w:val="24"/>
      </w:rPr>
    </w:pPr>
    <w:r>
      <w:rPr>
        <w:rFonts w:ascii="Traditional Arabic" w:hAnsi="Traditional Arabic" w:cs="Traditional Arabic" w:hint="cs"/>
        <w:color w:val="787878"/>
        <w:sz w:val="20"/>
        <w:szCs w:val="20"/>
        <w:rtl/>
      </w:rPr>
      <w:t>المؤتمر الدولي السادس للدراسات الإسلامية المعاصرة والقضايا المستجدة (</w:t>
    </w:r>
    <w:r>
      <w:rPr>
        <w:rFonts w:ascii="Traditional Arabic" w:hAnsi="Traditional Arabic" w:cs="Traditional Arabic" w:hint="cs"/>
        <w:color w:val="787878"/>
        <w:sz w:val="20"/>
        <w:szCs w:val="20"/>
      </w:rPr>
      <w:t>ICCISEI 2026</w:t>
    </w:r>
    <w:r>
      <w:rPr>
        <w:rFonts w:ascii="Traditional Arabic" w:hAnsi="Traditional Arabic" w:cs="Traditional Arabic" w:hint="cs"/>
        <w:color w:val="787878"/>
        <w:sz w:val="20"/>
        <w:szCs w:val="20"/>
        <w:rtl/>
      </w:rPr>
      <w:t>)</w:t>
    </w:r>
    <w:r>
      <w:rPr>
        <w:rFonts w:ascii="Traditional Arabic" w:hAnsi="Traditional Arabic" w:cs="Traditional Arabic" w:hint="cs"/>
        <w:color w:val="787878"/>
        <w:sz w:val="20"/>
        <w:szCs w:val="20"/>
        <w:rtl/>
      </w:rPr>
      <w:br/>
      <w:t>جامعة المدينة العالمية</w:t>
    </w:r>
  </w:p>
  <w:p w14:paraId="7EA87493" w14:textId="5DCB94BD" w:rsidR="002878CA" w:rsidRDefault="009F31FB">
    <w:pPr>
      <w:pStyle w:val="a5"/>
    </w:pPr>
    <w:r>
      <w:t>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6C6CC58" w14:textId="77777777" w:rsidR="009F31FB" w:rsidRDefault="009F31FB">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61492259">
    <w:abstractNumId w:val="8"/>
  </w:num>
  <w:num w:numId="2" w16cid:durableId="195318873">
    <w:abstractNumId w:val="6"/>
  </w:num>
  <w:num w:numId="3" w16cid:durableId="512378246">
    <w:abstractNumId w:val="5"/>
  </w:num>
  <w:num w:numId="4" w16cid:durableId="1150362364">
    <w:abstractNumId w:val="4"/>
  </w:num>
  <w:num w:numId="5" w16cid:durableId="811486131">
    <w:abstractNumId w:val="7"/>
  </w:num>
  <w:num w:numId="6" w16cid:durableId="1947151548">
    <w:abstractNumId w:val="3"/>
  </w:num>
  <w:num w:numId="7" w16cid:durableId="1248416341">
    <w:abstractNumId w:val="2"/>
  </w:num>
  <w:num w:numId="8" w16cid:durableId="249511441">
    <w:abstractNumId w:val="1"/>
  </w:num>
  <w:num w:numId="9" w16cid:durableId="86980707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78CA"/>
    <w:rsid w:val="0029639D"/>
    <w:rsid w:val="002A3DDE"/>
    <w:rsid w:val="00326F90"/>
    <w:rsid w:val="00965695"/>
    <w:rsid w:val="009F31FB"/>
    <w:rsid w:val="00AA1D8D"/>
    <w:rsid w:val="00AA2A88"/>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21D14A"/>
  <w14:defaultImageDpi w14:val="300"/>
  <w15:docId w15:val="{A13FDB58-DDE5-5547-85FD-C7EF48FAB8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رأس الصفحة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تذييل الصفحة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العنوان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عنوان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عنوان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العنوان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عنوان فرعي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نص أساسي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نص أساسي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نص أساسي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نص ماكرو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اقتباس Char"/>
    <w:basedOn w:val="a2"/>
    <w:link w:val="af"/>
    <w:uiPriority w:val="29"/>
    <w:rsid w:val="00FC693F"/>
    <w:rPr>
      <w:i/>
      <w:iCs/>
      <w:color w:val="000000" w:themeColor="text1"/>
    </w:rPr>
  </w:style>
  <w:style w:type="character" w:customStyle="1" w:styleId="4Char">
    <w:name w:val="عنوان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عنوان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عنوان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عنوان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عنوان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عنوان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اقتباس مكثف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af9">
    <w:name w:val="TOC Heading"/>
    <w:basedOn w:val="1"/>
    <w:next w:val="a1"/>
    <w:uiPriority w:val="39"/>
    <w:semiHidden/>
    <w:unhideWhenUsed/>
    <w:qFormat/>
    <w:rsid w:val="00FC693F"/>
    <w:pPr>
      <w:outlineLvl w:val="9"/>
    </w:pPr>
  </w:style>
  <w:style w:type="table" w:styleId="afa">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b">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c">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d">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e">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1">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sonormal0">
    <w:name w:val="msonormal"/>
    <w:basedOn w:val="a1"/>
    <w:rsid w:val="009F31FB"/>
    <w:pPr>
      <w:spacing w:before="100" w:beforeAutospacing="1" w:after="100" w:afterAutospacing="1" w:line="240" w:lineRule="auto"/>
    </w:pPr>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lef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0FF1A43-F2EB-464D-9A05-0003D1062D5C}">
  <we:reference id="wa200010453" version="1.0.0.1" store="en-US" storeType="OMEX"/>
  <we:alternateReferences>
    <we:reference id="WA200010453" version="1.0.0.1" store="" storeType="OMEX"/>
  </we:alternateReferences>
  <we:properties>
    <we:property name="claude.fileId" value="&quot;5a316aa2-f31b-4833-9aff-c06459a717d0&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17</Pages>
  <Words>5135</Words>
  <Characters>27785</Characters>
  <Application>Microsoft Office Word</Application>
  <DocSecurity>0</DocSecurity>
  <Lines>448</Lines>
  <Paragraphs>118</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32802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مركز الملك فهد الثقافي الإسلامي في جمهورية الأرجنتين</cp:lastModifiedBy>
  <cp:revision>2</cp:revision>
  <dcterms:created xsi:type="dcterms:W3CDTF">2013-12-23T23:15:00Z</dcterms:created>
  <dcterms:modified xsi:type="dcterms:W3CDTF">2026-10-13T00:37:00Z</dcterms:modified>
  <cp:category/>
</cp:coreProperties>
</file>