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9D0A23" w14:textId="77777777" w:rsidR="002878CA" w:rsidRDefault="00000000" w:rsidP="00965695">
      <w:pPr>
        <w:keepNext/>
        <w:bidi/>
        <w:spacing w:before="360" w:after="160"/>
      </w:pPr>
      <w:r>
        <w:rPr>
          <w:rFonts w:ascii="Traditional Arabic" w:hAnsi="Traditional Arabic"/>
          <w:b/>
          <w:color w:val="0D5C3A"/>
          <w:sz w:val="36"/>
        </w:rPr>
        <w:lastRenderedPageBreak/>
        <w:t>المبحث الثاني: الآثار القانونية لعدم التوثيق في القانون المدني والتجاري الأرجنتيني (Ley 26.994)</w:t>
      </w:r>
    </w:p>
    <w:p w14:paraId="089AB6D0" w14:textId="77777777" w:rsidR="002878CA" w:rsidRDefault="00000000" w:rsidP="00965695">
      <w:pPr>
        <w:keepNext/>
        <w:bidi/>
        <w:spacing w:before="280" w:after="120"/>
      </w:pPr>
      <w:r>
        <w:rPr>
          <w:rFonts w:ascii="Traditional Arabic" w:hAnsi="Traditional Arabic"/>
          <w:b/>
          <w:color w:val="143250"/>
          <w:sz w:val="32"/>
        </w:rPr>
        <w:t>المطلب الأول: احتكار الدولة للزواج المدني وتكييف العلاقة غير المسجلة</w:t>
      </w:r>
    </w:p>
    <w:p w14:paraId="3263F1BA" w14:textId="77777777" w:rsidR="002878CA" w:rsidRDefault="00000000" w:rsidP="00965695">
      <w:pPr>
        <w:bidi/>
        <w:spacing w:after="120"/>
      </w:pPr>
      <w:r>
        <w:rPr>
          <w:rFonts w:ascii="Traditional Arabic" w:hAnsi="Traditional Arabic"/>
          <w:color w:val="282828"/>
          <w:sz w:val="30"/>
        </w:rPr>
        <w:t xml:space="preserve">يقوم تنظيم الأسرة في الأرجنتين على مبدأ قديم ومستقر هو احتكار الدولة للزواج المدني، والمؤكد بالقانون المدني والتجاري الموحد (Ley 26.994 النافذ منذ أغسطس 2015). </w:t>
      </w:r>
      <w:commentRangeStart w:id="2"/>
      <w:r>
        <w:rPr>
          <w:rFonts w:ascii="Traditional Arabic" w:hAnsi="Traditional Arabic"/>
          <w:color w:val="282828"/>
          <w:sz w:val="30"/>
          <w:highlight w:val="yellow"/>
        </w:rPr>
        <w:t xml:space="preserve">ولا يوجد الزواج مدنياً إلا برضا الطرفين المعبَّر عنه بنفسيهما ومجتمعين أمام الموظف المختص (المادة 406)، ويُعقد علناً بحضور شاهدين، أو أربعة إذا عُقد خارج مكتب السجل (المادة 418)، ويثبت بمحضره المقيد في السجل (المادة 423)</w:t>
      </w:r>
      <w:commentRangeEnd w:id="2"/>
      <w:r>
        <w:rPr>
          <w:rStyle w:val="CommentReference"/>
        </w:rPr>
        <w:commentReference w:id="2"/>
      </w:r>
      <w:r>
        <w:rPr>
          <w:rFonts w:ascii="Traditional Arabic" w:hAnsi="Traditional Arabic"/>
          <w:color w:val="282828"/>
          <w:sz w:val="30"/>
        </w:rPr>
        <w:t xml:space="preserve">.</w:t>
      </w:r>
      <w:r>
        <w:rPr>
          <w:rFonts w:ascii="Traditional Arabic" w:hAnsi="Traditional Arabic"/>
          <w:color w:val="282828"/>
          <w:sz w:val="30"/>
        </w:rPr>
        <w:br/>
      </w:r>
      <w:r>
        <w:rPr>
          <w:rFonts w:ascii="Traditional Arabic" w:hAnsi="Traditional Arabic"/>
          <w:color w:val="282828"/>
          <w:sz w:val="30"/>
        </w:rPr>
        <w:br/>
        <w:t xml:space="preserve">أما إذا أُبرم الزواج بعقد ديني فقط داخل الأرجنتين، </w:t>
      </w:r>
      <w:commentRangeStart w:id="3"/>
      <w:r>
        <w:rPr>
          <w:rFonts w:ascii="Traditional Arabic" w:hAnsi="Traditional Arabic"/>
          <w:color w:val="282828"/>
          <w:sz w:val="30"/>
          <w:highlight w:val="yellow"/>
        </w:rPr>
        <w:t xml:space="preserve">فإن القانون لا يرتب على العقد الديني وحده أثراً مدنياً (المادة 406)، وإنما قد تنطبق على المعاشرة أحكام المساكنة (Unión convivencial) المقررة في المواد (509 إلى 528) إذا توافرت شروطها في المادة (510)، والعقد الديني ليس منها</w:t>
      </w:r>
      <w:commentRangeEnd w:id="3"/>
      <w:r>
        <w:rPr>
          <w:rStyle w:val="CommentReference"/>
        </w:rPr>
        <w:commentReference w:id="3"/>
      </w:r>
      <w:r>
        <w:rPr>
          <w:rFonts w:ascii="Traditional Arabic" w:hAnsi="Traditional Arabic"/>
          <w:color w:val="282828"/>
          <w:sz w:val="30"/>
        </w:rPr>
        <w:t xml:space="preserve">. (مع التنبيه على أن عقود الزواج المبرمة خارج الأرجنتين وفق قوانين بلدانها يعترف بها القانون الأرجنتيني استناداً لقواعد القانون الدولي الخاص في المادة </w:t>
      </w:r>
      <w:commentRangeStart w:id="4"/>
      <w:r>
        <w:rPr>
          <w:rFonts w:ascii="Traditional Arabic" w:hAnsi="Traditional Arabic"/>
          <w:color w:val="282828"/>
          <w:sz w:val="30"/>
          <w:highlight w:val="yellow"/>
        </w:rPr>
        <w:t xml:space="preserve">2622</w:t>
      </w:r>
      <w:commentRangeEnd w:id="4"/>
      <w:r>
        <w:rPr>
          <w:rStyle w:val="CommentReference"/>
        </w:rPr>
        <w:commentReference w:id="4"/>
      </w:r>
      <w:r>
        <w:rPr>
          <w:rFonts w:ascii="Traditional Arabic" w:hAnsi="Traditional Arabic"/>
          <w:color w:val="282828"/>
          <w:sz w:val="30"/>
        </w:rPr>
        <w:t xml:space="preserve">).</w:t>
      </w:r>
      <w:r>
        <w:rPr>
          <w:rFonts w:ascii="Traditional Arabic" w:hAnsi="Traditional Arabic"/>
          <w:color w:val="282828"/>
          <w:sz w:val="30"/>
        </w:rPr>
        <w:br/>
      </w:r>
      <w:r>
        <w:rPr>
          <w:rFonts w:ascii="Traditional Arabic" w:hAnsi="Traditional Arabic"/>
          <w:color w:val="282828"/>
          <w:sz w:val="30"/>
        </w:rPr>
        <w:br/>
        <w:t xml:space="preserve">وتشترط المادة (510، الفقرة e) </w:t>
      </w:r>
      <w:commentRangeStart w:id="5"/>
      <w:r>
        <w:rPr>
          <w:rFonts w:ascii="Traditional Arabic" w:hAnsi="Traditional Arabic"/>
          <w:color w:val="282828"/>
          <w:sz w:val="30"/>
          <w:highlight w:val="yellow"/>
        </w:rPr>
        <w:t xml:space="preserve">لترتيب الآثار المقررة للمساكنة</w:t>
      </w:r>
      <w:commentRangeEnd w:id="5"/>
      <w:r>
        <w:rPr>
          <w:rStyle w:val="CommentReference"/>
        </w:rPr>
        <w:commentReference w:id="5"/>
      </w:r>
      <w:r>
        <w:rPr>
          <w:rFonts w:ascii="Traditional Arabic" w:hAnsi="Traditional Arabic"/>
          <w:color w:val="282828"/>
          <w:sz w:val="30"/>
        </w:rPr>
        <w:t xml:space="preserve"> أن تستمر المساكنة المشتركة المستقرة لمدة لا تقل عن سنتين كاملتين. ويترتب على ذلك خطر واضح: فلو افترق الطرفان أو توفي الزوج قبل اكتمال السنتين، لم يعترف القانون للمرأة حتى بصفة </w:t>
      </w:r>
      <w:commentRangeStart w:id="6"/>
      <w:r>
        <w:rPr>
          <w:rFonts w:ascii="Traditional Arabic" w:hAnsi="Traditional Arabic"/>
          <w:color w:val="282828"/>
          <w:sz w:val="30"/>
          <w:highlight w:val="yellow"/>
        </w:rPr>
        <w:t xml:space="preserve">المتساكنة</w:t>
      </w:r>
      <w:commentRangeEnd w:id="6"/>
      <w:r>
        <w:rPr>
          <w:rStyle w:val="CommentReference"/>
        </w:rPr>
        <w:commentReference w:id="6"/>
      </w:r>
      <w:r>
        <w:rPr>
          <w:rFonts w:ascii="Traditional Arabic" w:hAnsi="Traditional Arabic"/>
          <w:color w:val="282828"/>
          <w:sz w:val="30"/>
        </w:rPr>
        <w:t xml:space="preserve">، وعُوملت كأجنبية لا تملك مطالبة بنفقة ولا حماية مسكن.</w:t>
      </w:r>
    </w:p>
    <w:p w14:paraId="3F3D2DD5" w14:textId="77777777" w:rsidR="002878CA" w:rsidRDefault="00000000" w:rsidP="00965695">
      <w:pPr>
        <w:keepNext/>
        <w:bidi/>
        <w:spacing w:before="280" w:after="120"/>
      </w:pPr>
      <w:r>
        <w:rPr>
          <w:rFonts w:ascii="Traditional Arabic" w:hAnsi="Traditional Arabic"/>
          <w:b/>
          <w:color w:val="143250"/>
          <w:sz w:val="32"/>
        </w:rPr>
        <w:t>المطلب الثاني: الآثار المالية والميراث</w:t>
      </w:r>
    </w:p>
    <w:p w14:paraId="2914263D" w14:textId="77777777" w:rsidR="002878CA" w:rsidRDefault="00000000" w:rsidP="00965695">
      <w:pPr>
        <w:bidi/>
        <w:spacing w:after="120"/>
      </w:pPr>
      <w:r>
        <w:rPr>
          <w:rFonts w:ascii="Traditional Arabic" w:hAnsi="Traditional Arabic"/>
          <w:color w:val="282828"/>
          <w:sz w:val="30"/>
        </w:rPr>
        <w:t>تظهر الفجوة الكبيرة بين حقوق الزوجة في الشريعة ووضعها في الزواج غير الموثق مدنياً في جوانب مالية محددة:</w:t>
      </w:r>
      <w:r>
        <w:rPr>
          <w:rFonts w:ascii="Traditional Arabic" w:hAnsi="Traditional Arabic"/>
          <w:color w:val="282828"/>
          <w:sz w:val="30"/>
        </w:rPr>
        <w:br/>
      </w:r>
      <w:r>
        <w:rPr>
          <w:rFonts w:ascii="Traditional Arabic" w:hAnsi="Traditional Arabic"/>
          <w:color w:val="282828"/>
          <w:sz w:val="30"/>
        </w:rPr>
        <w:br/>
        <w:t>1. الميراث:</w:t>
      </w:r>
      <w:r>
        <w:rPr>
          <w:rFonts w:ascii="Traditional Arabic" w:hAnsi="Traditional Arabic"/>
          <w:color w:val="282828"/>
          <w:sz w:val="30"/>
        </w:rPr>
        <w:br/>
      </w:r>
      <w:commentRangeStart w:id="7"/>
      <w:r>
        <w:rPr>
          <w:rFonts w:ascii="Traditional Arabic" w:hAnsi="Traditional Arabic"/>
          <w:color w:val="282828"/>
          <w:sz w:val="30"/>
          <w:highlight w:val="yellow"/>
        </w:rPr>
        <w:t xml:space="preserve">يجعل القانون الأرجنتيني في المادة (2444) أصحاب النصيب المحفوظ (legítima): الفروع وإن نزلوا، والأصول وإن علوا، والزوج المسجل مدنياً</w:t>
      </w:r>
      <w:commentRangeEnd w:id="7"/>
      <w:r>
        <w:rPr>
          <w:rStyle w:val="CommentReference"/>
        </w:rPr>
        <w:commentReference w:id="7"/>
      </w:r>
      <w:r>
        <w:rPr>
          <w:rFonts w:ascii="Traditional Arabic" w:hAnsi="Traditional Arabic"/>
          <w:color w:val="282828"/>
          <w:sz w:val="30"/>
        </w:rPr>
        <w:t xml:space="preserve">. أما </w:t>
      </w:r>
      <w:commentRangeStart w:id="8"/>
      <w:r>
        <w:rPr>
          <w:rFonts w:ascii="Traditional Arabic" w:hAnsi="Traditional Arabic"/>
          <w:color w:val="282828"/>
          <w:sz w:val="30"/>
          <w:highlight w:val="yellow"/>
        </w:rPr>
        <w:t xml:space="preserve">المتساكن</w:t>
      </w:r>
      <w:commentRangeEnd w:id="8"/>
      <w:r>
        <w:rPr>
          <w:rStyle w:val="CommentReference"/>
        </w:rPr>
        <w:commentReference w:id="8"/>
      </w:r>
      <w:r>
        <w:rPr>
          <w:rFonts w:ascii="Traditional Arabic" w:hAnsi="Traditional Arabic"/>
          <w:color w:val="282828"/>
          <w:sz w:val="30"/>
        </w:rPr>
        <w:t xml:space="preserve"> في الزواج غير الموثق، فلا يرث شيئاً بحكم القانون إذا مات شريكه دون وصية. فلو توفي الزوج بعد سنوات طويلة من الزواج الشرعي، آلت التركة كلها إلى أقاربه الآخرين وحُرمت الزوجة من نصيبها المفروض شرعاً (الثمن أو الربع)، ما لم يكن قد خصها بوصية رسمية.</w:t>
      </w:r>
      <w:r>
        <w:rPr>
          <w:rFonts w:ascii="Traditional Arabic" w:hAnsi="Traditional Arabic"/>
          <w:color w:val="282828"/>
          <w:sz w:val="30"/>
        </w:rPr>
        <w:br/>
      </w:r>
      <w:r>
        <w:rPr>
          <w:rFonts w:ascii="Traditional Arabic" w:hAnsi="Traditional Arabic"/>
          <w:color w:val="282828"/>
          <w:sz w:val="30"/>
        </w:rPr>
        <w:br/>
      </w:r>
      <w:commentRangeStart w:id="0"/>
      <w:r>
        <w:rPr>
          <w:rFonts w:ascii="Traditional Arabic" w:hAnsi="Traditional Arabic"/>
          <w:color w:val="282828"/>
          <w:sz w:val="30"/>
        </w:rPr>
        <w:lastRenderedPageBreak/>
        <w:t>2. النفقة والتعويض المالي عند الانفصال:</w:t>
      </w:r>
      <w:commentRangeEnd w:id="0"/>
      <w:r>
        <w:rPr>
          <w:rStyle w:val="CommentReference"/>
        </w:rPr>
        <w:commentReference w:id="0"/>
      </w:r>
      <w:r>
        <w:rPr>
          <w:rFonts w:ascii="Traditional Arabic" w:hAnsi="Traditional Arabic"/>
          <w:color w:val="282828"/>
          <w:sz w:val="30"/>
        </w:rPr>
        <w:br/>
        <w:t xml:space="preserve">لا يفرض القانون الأرجنتيني نفقة زوجية مستمرة </w:t>
      </w:r>
      <w:commentRangeStart w:id="9"/>
      <w:r>
        <w:rPr>
          <w:rFonts w:ascii="Traditional Arabic" w:hAnsi="Traditional Arabic"/>
          <w:color w:val="282828"/>
          <w:sz w:val="30"/>
          <w:highlight w:val="yellow"/>
        </w:rPr>
        <w:t xml:space="preserve">بعد انتهاء المساكنة</w:t>
      </w:r>
      <w:commentRangeEnd w:id="9"/>
      <w:r>
        <w:rPr>
          <w:rStyle w:val="CommentReference"/>
        </w:rPr>
        <w:commentReference w:id="9"/>
      </w:r>
      <w:r>
        <w:rPr>
          <w:rFonts w:ascii="Traditional Arabic" w:hAnsi="Traditional Arabic"/>
          <w:color w:val="282828"/>
          <w:sz w:val="30"/>
        </w:rPr>
        <w:t xml:space="preserve">، وإنما يتيح في المادة (524) </w:t>
      </w:r>
      <w:commentRangeStart w:id="10"/>
      <w:r>
        <w:rPr>
          <w:rFonts w:ascii="Traditional Arabic" w:hAnsi="Traditional Arabic"/>
          <w:color w:val="282828"/>
          <w:sz w:val="30"/>
          <w:highlight w:val="yellow"/>
        </w:rPr>
        <w:t xml:space="preserve">طلب مقابل اقتصادي (Compensación económica) يكون أداءً واحداً أو إيراداً لمدة محددة لا تزيد على مدة المساكنة</w:t>
      </w:r>
      <w:commentRangeEnd w:id="10"/>
      <w:r>
        <w:rPr>
          <w:rStyle w:val="CommentReference"/>
        </w:rPr>
        <w:commentReference w:id="10"/>
      </w:r>
      <w:r>
        <w:rPr>
          <w:rFonts w:ascii="Traditional Arabic" w:hAnsi="Traditional Arabic"/>
          <w:color w:val="282828"/>
          <w:sz w:val="30"/>
        </w:rPr>
        <w:t xml:space="preserve"> إذا لحق بالشريك اختلال مادي بين أثر سلباً على مستواه المعيشي. غير أن المادة (525) تقرر أن هذه الدعوى:</w:t>
      </w:r>
      <w:r>
        <w:rPr>
          <w:rFonts w:ascii="Traditional Arabic" w:hAnsi="Traditional Arabic"/>
          <w:color w:val="282828"/>
          <w:sz w:val="30"/>
        </w:rPr>
        <w:br/>
        <w:t xml:space="preserve">«تسقط بمضي ستة أشهر </w:t>
      </w:r>
      <w:commentRangeStart w:id="11"/>
      <w:r>
        <w:rPr>
          <w:rFonts w:ascii="Traditional Arabic" w:hAnsi="Traditional Arabic"/>
          <w:color w:val="282828"/>
          <w:sz w:val="30"/>
          <w:highlight w:val="yellow"/>
        </w:rPr>
        <w:t xml:space="preserve">من وقوع أي سبب من أسباب انتهاء المساكنة المعددة في المادة 523»</w:t>
      </w:r>
      <w:commentRangeEnd w:id="11"/>
      <w:r>
        <w:rPr>
          <w:rStyle w:val="CommentReference"/>
        </w:rPr>
        <w:commentReference w:id="11"/>
      </w:r>
      <w:r>
        <w:rPr>
          <w:rFonts w:ascii="Traditional Arabic" w:hAnsi="Traditional Arabic"/>
          <w:color w:val="282828"/>
          <w:sz w:val="30"/>
        </w:rPr>
        <w:t xml:space="preserve"> (caduca a los seis meses de haberse producido cualquiera de las causas de finalización...).</w:t>
      </w:r>
      <w:r>
        <w:rPr>
          <w:rFonts w:ascii="Traditional Arabic" w:hAnsi="Traditional Arabic"/>
          <w:color w:val="282828"/>
          <w:sz w:val="30"/>
        </w:rPr>
        <w:br/>
      </w:r>
      <w:commentRangeStart w:id="12"/>
      <w:r>
        <w:rPr>
          <w:rFonts w:ascii="Traditional Arabic" w:hAnsi="Traditional Arabic"/>
          <w:color w:val="282828"/>
          <w:sz w:val="30"/>
          <w:highlight w:val="yellow"/>
        </w:rPr>
        <w:t xml:space="preserve">والمدة نفسها مقررة في الطلاق المدني، لكنها تبدأ فيه من صدور حكم الطلاق (المادة 442)، أما في المساكنة فتبدأ من وقوع سبب الانتهاء (المادة 525). ثم إن</w:t>
      </w:r>
      <w:commentRangeEnd w:id="12"/>
      <w:r>
        <w:rPr>
          <w:rStyle w:val="CommentReference"/>
        </w:rPr>
        <w:commentReference w:id="12"/>
      </w:r>
      <w:r>
        <w:rPr>
          <w:rFonts w:ascii="Traditional Arabic" w:hAnsi="Traditional Arabic"/>
          <w:color w:val="282828"/>
          <w:sz w:val="30"/>
        </w:rPr>
        <w:t xml:space="preserve"> الزوجة المدنية تتمتع بحماية نظام الأموال المشتركة المكتسبة أثناء الزواج، بينما تُحرم </w:t>
      </w:r>
      <w:r>
        <w:rPr>
          <w:rFonts w:ascii="Traditional Arabic" w:hAnsi="Traditional Arabic"/>
          <w:color w:val="282828"/>
          <w:sz w:val="30"/>
          <w:highlight w:val="yellow"/>
        </w:rPr>
        <w:t xml:space="preserve">المتساكنة</w:t>
      </w:r>
      <w:r>
        <w:rPr>
          <w:rFonts w:ascii="Traditional Arabic" w:hAnsi="Traditional Arabic"/>
          <w:color w:val="282828"/>
          <w:sz w:val="30"/>
        </w:rPr>
        <w:t xml:space="preserve"> من الذمة المشتركة، </w:t>
      </w:r>
      <w:commentRangeStart w:id="1"/>
      <w:r>
        <w:rPr>
          <w:rFonts w:ascii="Traditional Arabic" w:hAnsi="Traditional Arabic"/>
          <w:color w:val="282828"/>
          <w:sz w:val="30"/>
          <w:highlight w:val="yellow"/>
        </w:rPr>
        <w:t xml:space="preserve">ولا يبقى لها إلا هذا المقابل</w:t>
      </w:r>
      <w:commentRangeEnd w:id="1"/>
      <w:r>
        <w:rPr>
          <w:rStyle w:val="CommentReference"/>
        </w:rPr>
        <w:commentReference w:id="1"/>
      </w:r>
      <w:r>
        <w:rPr>
          <w:rFonts w:ascii="Traditional Arabic" w:hAnsi="Traditional Arabic"/>
          <w:color w:val="282828"/>
          <w:sz w:val="30"/>
        </w:rPr>
        <w:t xml:space="preserve"> الذي كثيراً ما يسقط بانقضاء الأشهر الستة أثناء انشغال المرأة بظروف الفراق ومساعي الإصلاح الودي.</w:t>
      </w:r>
      <w:r>
        <w:rPr>
          <w:rFonts w:ascii="Traditional Arabic" w:hAnsi="Traditional Arabic"/>
          <w:color w:val="282828"/>
          <w:sz w:val="30"/>
        </w:rPr>
        <w:br/>
      </w:r>
      <w:r>
        <w:rPr>
          <w:rFonts w:ascii="Traditional Arabic" w:hAnsi="Traditional Arabic"/>
          <w:color w:val="282828"/>
          <w:sz w:val="30"/>
        </w:rPr>
        <w:br/>
        <w:t>3. مصير مسكن الأسرة:</w:t>
      </w:r>
      <w:r>
        <w:rPr>
          <w:rFonts w:ascii="Traditional Arabic" w:hAnsi="Traditional Arabic"/>
          <w:color w:val="282828"/>
          <w:sz w:val="30"/>
        </w:rPr>
        <w:br/>
        <w:t xml:space="preserve">تتيح المادة (526) للقاضي عند الانفصال </w:t>
      </w:r>
      <w:commentRangeStart w:id="13"/>
      <w:r>
        <w:rPr>
          <w:rFonts w:ascii="Traditional Arabic" w:hAnsi="Traditional Arabic"/>
          <w:color w:val="282828"/>
          <w:sz w:val="30"/>
          <w:highlight w:val="yellow"/>
        </w:rPr>
        <w:t xml:space="preserve">منح أحد المتساكنين حق البقاء في مسكن الأسرة في حالتين: إذا كان يرعى أولاداً قاصرين أو ذوي إعاقة، أو إذا أثبت حاجته الشديدة إلى السكن وعجزه عن تحصيله فوراً؛ ويحدد القاضي المدة بما لا يزيد على سنتين من انتهاء المساكنة</w:t>
      </w:r>
      <w:commentRangeEnd w:id="13"/>
      <w:r>
        <w:rPr>
          <w:rStyle w:val="CommentReference"/>
        </w:rPr>
        <w:commentReference w:id="13"/>
      </w:r>
      <w:r>
        <w:rPr>
          <w:rFonts w:ascii="Traditional Arabic" w:hAnsi="Traditional Arabic"/>
          <w:color w:val="282828"/>
          <w:sz w:val="30"/>
        </w:rPr>
        <w:t xml:space="preserve">. وفي حال وفاة الشريك، تتيح المادة (527) حق سكنى مجانياً لا يتجاوز سنتين لمن لا يملك مسكناً مناسباً، ثم يعود المسكن للورثة؛ بخلاف الزوجة المدنية التي يمنحها القانون في المادة (2383) </w:t>
      </w:r>
      <w:commentRangeStart w:id="14"/>
      <w:r>
        <w:rPr>
          <w:rFonts w:ascii="Traditional Arabic" w:hAnsi="Traditional Arabic"/>
          <w:color w:val="282828"/>
          <w:sz w:val="30"/>
          <w:highlight w:val="yellow"/>
        </w:rPr>
        <w:t xml:space="preserve">حق سكنى عينياً مجانياً مدى الحياة بقوة القانون على العقار المملوك للمتوفى الذي كان آخر مسكن للزوجية، إذا لم يكن مشتركاً مع غيره عند افتتاح التركة</w:t>
      </w:r>
      <w:commentRangeEnd w:id="14"/>
      <w:r>
        <w:rPr>
          <w:rStyle w:val="CommentReference"/>
        </w:rPr>
        <w:commentReference w:id="14"/>
      </w:r>
      <w:r>
        <w:rPr>
          <w:rFonts w:ascii="Traditional Arabic" w:hAnsi="Traditional Arabic"/>
          <w:color w:val="282828"/>
          <w:sz w:val="30"/>
        </w:rPr>
        <w:t xml:space="preserve">.</w:t>
      </w:r>
    </w:p>
    <w:p w14:paraId="050BAE2F" w14:textId="77777777" w:rsidR="002878CA" w:rsidRDefault="00000000" w:rsidP="00965695">
      <w:pPr>
        <w:keepNext/>
        <w:bidi/>
        <w:spacing w:before="280" w:after="120"/>
      </w:pPr>
      <w:r>
        <w:rPr>
          <w:rFonts w:ascii="Traditional Arabic" w:hAnsi="Traditional Arabic"/>
          <w:b/>
          <w:color w:val="143250"/>
          <w:sz w:val="32"/>
        </w:rPr>
        <w:t>المطلب الثالث: معاش الوفاة والتقاعد (Ley 24.241)</w:t>
      </w:r>
    </w:p>
    <w:p w14:paraId="2C25E125" w14:textId="77777777" w:rsidR="002878CA" w:rsidRDefault="00000000" w:rsidP="00965695">
      <w:pPr>
        <w:bidi/>
        <w:spacing w:after="120"/>
      </w:pPr>
      <w:r>
        <w:rPr>
          <w:rFonts w:ascii="Traditional Arabic" w:hAnsi="Traditional Arabic"/>
          <w:color w:val="282828"/>
          <w:sz w:val="30"/>
        </w:rPr>
        <w:t xml:space="preserve">أما بخصوص معاش التقاعد والوفاة (</w:t>
      </w:r>
      <w:commentRangeStart w:id="15"/>
      <w:r>
        <w:rPr>
          <w:rFonts w:ascii="Traditional Arabic" w:hAnsi="Traditional Arabic"/>
          <w:color w:val="282828"/>
          <w:sz w:val="30"/>
          <w:highlight w:val="yellow"/>
        </w:rPr>
        <w:t xml:space="preserve">Pensión por fallecimiento</w:t>
      </w:r>
      <w:commentRangeEnd w:id="15"/>
      <w:r>
        <w:rPr>
          <w:rStyle w:val="CommentReference"/>
        </w:rPr>
        <w:commentReference w:id="15"/>
      </w:r>
      <w:r>
        <w:rPr>
          <w:rFonts w:ascii="Traditional Arabic" w:hAnsi="Traditional Arabic"/>
          <w:color w:val="282828"/>
          <w:sz w:val="30"/>
        </w:rPr>
        <w:t xml:space="preserve">) الذي تمنحه الدولة عبر هيئة الضمان الاجتماعي (ANSES)، فإن القانون رقم (Ley 24.241، المادة 53) لا يحرم </w:t>
      </w:r>
      <w:r>
        <w:rPr>
          <w:rFonts w:ascii="Traditional Arabic" w:hAnsi="Traditional Arabic"/>
          <w:color w:val="282828"/>
          <w:sz w:val="30"/>
          <w:highlight w:val="yellow"/>
        </w:rPr>
        <w:t xml:space="preserve">المتساكن</w:t>
      </w:r>
      <w:r>
        <w:rPr>
          <w:rFonts w:ascii="Traditional Arabic" w:hAnsi="Traditional Arabic"/>
          <w:color w:val="282828"/>
          <w:sz w:val="30"/>
        </w:rPr>
        <w:t xml:space="preserve"> مطلقاً، لكنه يعلق استحقاقه على شروط إثبات مشددة: وهي إثبات مساكنة علنية مستمرة لمدة خمس سنوات على الأقل قبل الوفاة، </w:t>
      </w:r>
      <w:commentRangeStart w:id="16"/>
      <w:r>
        <w:rPr>
          <w:rFonts w:ascii="Traditional Arabic" w:hAnsi="Traditional Arabic"/>
          <w:color w:val="282828"/>
          <w:sz w:val="30"/>
          <w:highlight w:val="yellow"/>
        </w:rPr>
        <w:t xml:space="preserve">أو سنتين إذا وُجد ولد اعترف به الطرفان</w:t>
      </w:r>
      <w:commentRangeEnd w:id="16"/>
      <w:r>
        <w:rPr>
          <w:rStyle w:val="CommentReference"/>
        </w:rPr>
        <w:commentReference w:id="16"/>
      </w:r>
      <w:r>
        <w:rPr>
          <w:rFonts w:ascii="Traditional Arabic" w:hAnsi="Traditional Arabic"/>
          <w:color w:val="282828"/>
          <w:sz w:val="30"/>
        </w:rPr>
        <w:t xml:space="preserve">. وفي ظل غياب وثيقة زواج رسمية، تواجه الأرملة المسلمة إجراءات إثبات شاقة وتنازعاً مع ورثة آخرين، مما يعرض حقها ومعاش أطفالها للتأخير أو الضياع.</w:t>
      </w:r>
    </w:p>
    <w:p w14:paraId="443B1864" w14:textId="77777777" w:rsidR="002878CA" w:rsidRDefault="00000000" w:rsidP="00965695">
      <w:pPr>
        <w:keepNext/>
        <w:bidi/>
        <w:spacing w:before="280" w:after="120"/>
      </w:pPr>
      <w:r>
        <w:rPr>
          <w:rFonts w:ascii="Traditional Arabic" w:hAnsi="Traditional Arabic"/>
          <w:b/>
          <w:color w:val="143250"/>
          <w:sz w:val="32"/>
        </w:rPr>
        <w:t>المطلب الرابع: مركز الأولاد وثبوت النسب</w:t>
      </w:r>
    </w:p>
    <w:p w14:paraId="2A2386E7" w14:textId="77777777" w:rsidR="002878CA" w:rsidRDefault="00000000" w:rsidP="00965695">
      <w:pPr>
        <w:bidi/>
        <w:spacing w:after="120"/>
      </w:pPr>
      <w:r>
        <w:rPr>
          <w:rFonts w:ascii="Traditional Arabic" w:hAnsi="Traditional Arabic"/>
          <w:color w:val="282828"/>
          <w:sz w:val="30"/>
        </w:rPr>
        <w:t>فيما يتعلق بالأطفال، ينبغي التمييز بين الجنسية وثبوت النسب:</w:t>
      </w:r>
      <w:commentRangeStart w:id="17"/>
      <w:r>
        <w:rPr>
          <w:rFonts w:ascii="Traditional Arabic" w:hAnsi="Traditional Arabic"/>
          <w:color w:val="282828"/>
          <w:sz w:val="30"/>
        </w:rPr>
        <w:br/>
        <w:t>• من جهة الجنسية: يحصل الطفل المولود على الأرض الأرجنتينية على الجنسية الأرجنتينية بقوة الدستور استناداً لحق الإقليم (Jus soli)، بصرف النظر عن الحالة المدنية لوالديه، ولا تتأثر جنسيته بعدم توثيق الزواج.</w:t>
      </w:r>
      <w:commentRangeEnd w:id="17"/>
      <w:r>
        <w:rPr>
          <w:rStyle w:val="CommentReference"/>
        </w:rPr>
        <w:commentReference w:id="17"/>
      </w:r>
      <w:r>
        <w:rPr>
          <w:rFonts w:ascii="Traditional Arabic" w:hAnsi="Traditional Arabic"/>
          <w:color w:val="282828"/>
          <w:sz w:val="30"/>
        </w:rPr>
        <w:br/>
        <w:t xml:space="preserve">• أما من جهة ثبوت النسب للأب: ففي الزواج المدني الرسمي تنطبق قرينة الأبوة التلقائية في المادة (566)، فيُنسب الولد </w:t>
      </w:r>
      <w:r>
        <w:rPr>
          <w:rFonts w:ascii="Traditional Arabic" w:hAnsi="Traditional Arabic"/>
          <w:color w:val="282828"/>
          <w:sz w:val="30"/>
        </w:rPr>
        <w:t xml:space="preserve">للزوج مباشرة. أما في الزواج غير المسجل، فيثبت نسب الطفل لأمه بالولادة (المادة 565)، في حين يستلزم ثبوت نسبه للأب </w:t>
      </w:r>
      <w:commentRangeStart w:id="18"/>
      <w:r>
        <w:rPr>
          <w:rFonts w:ascii="Traditional Arabic" w:hAnsi="Traditional Arabic"/>
          <w:color w:val="282828"/>
          <w:sz w:val="30"/>
          <w:highlight w:val="yellow"/>
        </w:rPr>
        <w:t xml:space="preserve">اعترافاً منه (المادتان 570 و571)، يكون أمام موظف السجل المدني، أو في محرر رسمي أو عرفي مصدَّق، أو في وصية ولو جاء الاعتراف فيها عرضاً</w:t>
      </w:r>
      <w:commentRangeEnd w:id="18"/>
      <w:r>
        <w:rPr>
          <w:rStyle w:val="CommentReference"/>
        </w:rPr>
        <w:commentReference w:id="18"/>
      </w:r>
      <w:r>
        <w:rPr>
          <w:rFonts w:ascii="Traditional Arabic" w:hAnsi="Traditional Arabic"/>
          <w:color w:val="282828"/>
          <w:sz w:val="30"/>
        </w:rPr>
        <w:t xml:space="preserve">، أو رفع دعوى إثبات بنوة وفحص الحمض النووي (DNA) </w:t>
      </w:r>
      <w:commentRangeStart w:id="19"/>
      <w:r>
        <w:rPr>
          <w:rFonts w:ascii="Traditional Arabic" w:hAnsi="Traditional Arabic"/>
          <w:color w:val="282828"/>
          <w:sz w:val="30"/>
          <w:highlight w:val="yellow"/>
        </w:rPr>
        <w:t xml:space="preserve">بموجب المادة (579)، وهي تجيز عند تعذر الفحص إجراءه على مادة الأقارب إلى الدرجة الثانية، وتعدّ الامتناع عنه قرينة خطيرة (indicio grave)</w:t>
      </w:r>
      <w:commentRangeEnd w:id="19"/>
      <w:r>
        <w:rPr>
          <w:rStyle w:val="CommentReference"/>
        </w:rPr>
        <w:commentReference w:id="19"/>
      </w:r>
      <w:r>
        <w:rPr>
          <w:rFonts w:ascii="Traditional Arabic" w:hAnsi="Traditional Arabic"/>
          <w:color w:val="282828"/>
          <w:sz w:val="30"/>
        </w:rPr>
        <w:t xml:space="preserve">. فلو توفي الأب فجأة قبل قيد الطفل رسمياً أو امتنع عن الاعتراف، واجهت الأم إجراءات قضائية صعبة لإثبات النسب وضمان حق أولادها في حمل اسم والدهم وحيازة نصيبهم من تركته.</w:t>
      </w:r>
    </w:p>
    <w:sectPr w:rsidR="002878CA" w:rsidRPr="009F31FB" w:rsidSect="00034616">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مراجعة)" w:initials="CL" w:date="2026-10-19T06:00:19Z">
    <w:p>
      <w:pPr>
        <w:pStyle w:val="CommentText"/>
      </w:pPr>
      <w:r>
        <w:rPr>
          <w:rStyle w:val="CommentReference"/>
        </w:rPr>
        <w:annotationRef/>
      </w:r>
      <w:r>
        <w:t>المصطلح القانوني «المقابل الاقتصادي» (compensación económica)؛ والعنوان تُرك كما هو.</w:t>
      </w:r>
    </w:p>
  </w:comment>
  <w:comment w:id="1" w:author="Claude (مراجعة)" w:initials="CL" w:date="2026-10-19T06:00:19Z">
    <w:p>
      <w:pPr>
        <w:pStyle w:val="CommentText"/>
      </w:pPr>
      <w:r>
        <w:rPr>
          <w:rStyle w:val="CommentReference"/>
        </w:rPr>
        <w:annotationRef/>
      </w:r>
      <w:r>
        <w:t>توحيد المصطلح بحسب المادة 524.</w:t>
      </w:r>
    </w:p>
  </w:comment>
  <w:comment w:id="2" w:author="Claude (مراجعة)" w:initials="CL" w:date="2026-10-19T06:00:19Z">
    <w:p>
      <w:pPr>
        <w:pStyle w:val="CommentText"/>
      </w:pPr>
      <w:r>
        <w:rPr>
          <w:rStyle w:val="CommentReference"/>
        </w:rPr>
        <w:annotationRef/>
      </w:r>
      <w:r>
        <w:t>406 شرط وجود، و418 شكل الانعقاد، و423 الإثبات؛ والفقرة 3 من 423: حيازة الحال لا تكفي بديلًا عن المحضر. التقرير، ثامنًا ١ و٢.</w:t>
      </w:r>
    </w:p>
  </w:comment>
  <w:comment w:id="3" w:author="Claude (مراجعة)" w:initials="CL" w:date="2026-10-19T06:00:19Z">
    <w:p>
      <w:pPr>
        <w:pStyle w:val="CommentText"/>
      </w:pPr>
      <w:r>
        <w:rPr>
          <w:rStyle w:val="CommentReference"/>
        </w:rPr>
        <w:annotationRef/>
      </w:r>
      <w:r>
        <w:t>المواد 509–528 تنظّم المعاشرة نفسها لا العقد الديني. التقرير، ثامنًا ٢.</w:t>
      </w:r>
    </w:p>
  </w:comment>
  <w:comment w:id="4" w:author="Claude (مراجعة)" w:initials="CL" w:date="2026-10-19T06:00:19Z">
    <w:p>
      <w:pPr>
        <w:pStyle w:val="CommentText"/>
      </w:pPr>
      <w:r>
        <w:rPr>
          <w:rStyle w:val="CommentReference"/>
        </w:rPr>
        <w:annotationRef/>
      </w:r>
      <w:r>
        <w:t>2621 في الاختصاص القضائي، والقانون الواجب التطبيق في 2622. وفقرتها الثانية: لا يُعترف بزواج أجنبي قام فيه مانع المادة 403/د (الزواج السابق القائم). التقرير، ثامنًا ٣.</w:t>
      </w:r>
    </w:p>
  </w:comment>
  <w:comment w:id="5" w:author="Claude (مراجعة)" w:initials="CL" w:date="2026-10-19T06:00:19Z">
    <w:p>
      <w:pPr>
        <w:pStyle w:val="CommentText"/>
      </w:pPr>
      <w:r>
        <w:rPr>
          <w:rStyle w:val="CommentReference"/>
        </w:rPr>
        <w:annotationRef/>
      </w:r>
      <w:r>
        <w:t>صدر المادة 510: «El reconocimiento de los efectos jurídicos… requiere que». ويُضاف البند (د): «no tengan impedimento de ligamen»، وهو حكم الزوجة الثانية. التقرير، ثامنًا ٣.</w:t>
      </w:r>
    </w:p>
  </w:comment>
  <w:comment w:id="6" w:author="Claude (مراجعة)" w:initials="CL" w:date="2026-10-19T06:00:19Z">
    <w:p>
      <w:pPr>
        <w:pStyle w:val="CommentText"/>
      </w:pPr>
      <w:r>
        <w:rPr>
          <w:rStyle w:val="CommentReference"/>
        </w:rPr>
        <w:annotationRef/>
      </w:r>
      <w:r>
        <w:t>توحيد المصطلح على «المساكنة» (قاعدة ملف التسليم).</w:t>
      </w:r>
    </w:p>
  </w:comment>
  <w:comment w:id="7" w:author="Claude (مراجعة)" w:initials="CL" w:date="2026-10-19T06:00:19Z">
    <w:p>
      <w:pPr>
        <w:pStyle w:val="CommentText"/>
      </w:pPr>
      <w:r>
        <w:rPr>
          <w:rStyle w:val="CommentReference"/>
        </w:rPr>
        <w:annotationRef/>
      </w:r>
      <w:r>
        <w:t>نص 2444: «los descendientes, los ascendientes y el cónyuge»، وهي في النصيب المحفوظ لا في ترتيب الورثة. وعدم توريث المتساكن مستنده مواد الإرث بلا وصية (2424 وما بعدها)، ولم أطّلع عليها. التقرير، ثامنًا ٢.</w:t>
      </w:r>
    </w:p>
  </w:comment>
  <w:comment w:id="8" w:author="Claude (مراجعة)" w:initials="CL" w:date="2026-10-19T06:00:19Z">
    <w:p>
      <w:pPr>
        <w:pStyle w:val="CommentText"/>
      </w:pPr>
      <w:r>
        <w:rPr>
          <w:rStyle w:val="CommentReference"/>
        </w:rPr>
        <w:annotationRef/>
      </w:r>
      <w:r>
        <w:t>توحيد المصطلح على «المساكنة».</w:t>
      </w:r>
    </w:p>
  </w:comment>
  <w:comment w:id="9" w:author="Claude (مراجعة)" w:initials="CL" w:date="2026-10-19T06:00:19Z">
    <w:p>
      <w:pPr>
        <w:pStyle w:val="CommentText"/>
      </w:pPr>
      <w:r>
        <w:rPr>
          <w:rStyle w:val="CommentReference"/>
        </w:rPr>
        <w:annotationRef/>
      </w:r>
      <w:r>
        <w:t>توحيد المصطلح.</w:t>
      </w:r>
    </w:p>
  </w:comment>
  <w:comment w:id="10" w:author="Claude (مراجعة)" w:initials="CL" w:date="2026-10-19T06:00:19Z">
    <w:p>
      <w:pPr>
        <w:pStyle w:val="CommentText"/>
      </w:pPr>
      <w:r>
        <w:rPr>
          <w:rStyle w:val="CommentReference"/>
        </w:rPr>
        <w:annotationRef/>
      </w:r>
      <w:r>
        <w:t>المادة 524: «una prestación única o… una renta por un tiempo determinado que no puede ser mayor a la duración de la unión convivencial». التقرير، ثامنًا ٢.</w:t>
      </w:r>
    </w:p>
  </w:comment>
  <w:comment w:id="11" w:author="Claude (مراجعة)" w:initials="CL" w:date="2026-10-19T06:00:19Z">
    <w:p>
      <w:pPr>
        <w:pStyle w:val="CommentText"/>
      </w:pPr>
      <w:r>
        <w:rPr>
          <w:rStyle w:val="CommentReference"/>
        </w:rPr>
        <w:annotationRef/>
      </w:r>
      <w:r>
        <w:t>تكملة الترجمة بحسب النص: «…enumeradas en el artículo 523».</w:t>
      </w:r>
    </w:p>
  </w:comment>
  <w:comment w:id="12" w:author="Claude (مراجعة)" w:initials="CL" w:date="2026-10-19T06:00:19Z">
    <w:p>
      <w:pPr>
        <w:pStyle w:val="CommentText"/>
      </w:pPr>
      <w:r>
        <w:rPr>
          <w:rStyle w:val="CommentReference"/>
        </w:rPr>
        <w:annotationRef/>
      </w:r>
      <w:r>
        <w:t>المادة 442: «caduca a los seis meses de haberse dictado la sentencia de divorcio». والفرق يقوّي حجة الورقة في ضياع الحق أثناء مساعي الصلح. التقرير، ثامنًا ٢.</w:t>
      </w:r>
    </w:p>
  </w:comment>
  <w:comment w:id="13" w:author="Claude (مراجعة)" w:initials="CL" w:date="2026-10-19T06:00:19Z">
    <w:p>
      <w:pPr>
        <w:pStyle w:val="CommentText"/>
      </w:pPr>
      <w:r>
        <w:rPr>
          <w:rStyle w:val="CommentReference"/>
        </w:rPr>
        <w:annotationRef/>
      </w:r>
      <w:r>
        <w:t>المادة 526، البندان (a) و(b)، و«no puede exceder de dos años a contarse desde… el cese de la convivencia». التقرير، ثامنًا ٢.</w:t>
      </w:r>
    </w:p>
  </w:comment>
  <w:comment w:id="14" w:author="Claude (مراجعة)" w:initials="CL" w:date="2026-10-19T06:00:19Z">
    <w:p>
      <w:pPr>
        <w:pStyle w:val="CommentText"/>
      </w:pPr>
      <w:r>
        <w:rPr>
          <w:rStyle w:val="CommentReference"/>
        </w:rPr>
        <w:annotationRef/>
      </w:r>
      <w:r>
        <w:t>المادة 2383: «derecho real de habitación vitalicio y gratuito de pleno derecho». التقرير، ثامنًا ٢.</w:t>
      </w:r>
    </w:p>
  </w:comment>
  <w:comment w:id="15" w:author="Claude (مراجعة)" w:initials="CL" w:date="2026-10-19T06:00:19Z">
    <w:p>
      <w:pPr>
        <w:pStyle w:val="CommentText"/>
      </w:pPr>
      <w:r>
        <w:rPr>
          <w:rStyle w:val="CommentReference"/>
        </w:rPr>
        <w:annotationRef/>
      </w:r>
      <w:r>
        <w:t>عنوان المادة 53 من القانون 24.241: «Pensión por fallecimiento. Derechohabientes». والنص المحدَّث للمادة لم أحصل عليه. التقرير، ثامنًا ٢.</w:t>
      </w:r>
    </w:p>
  </w:comment>
  <w:comment w:id="16" w:author="Claude (مراجعة)" w:initials="CL" w:date="2026-10-19T06:00:19Z">
    <w:p>
      <w:pPr>
        <w:pStyle w:val="CommentText"/>
      </w:pPr>
      <w:r>
        <w:rPr>
          <w:rStyle w:val="CommentReference"/>
        </w:rPr>
        <w:annotationRef/>
      </w:r>
      <w:r>
        <w:t>النص: «descendencia reconocida por ambos convivientes»؛ فإن لم يعترف الأب بالولد بقيت المدة خمس سنوات، وهذا يصل المطلب الثالث بالرابع.</w:t>
      </w:r>
    </w:p>
  </w:comment>
  <w:comment w:id="17" w:author="Claude (مراجعة)" w:initials="CL" w:date="2026-10-19T06:00:19Z">
    <w:p>
      <w:pPr>
        <w:pStyle w:val="CommentText"/>
      </w:pPr>
      <w:r>
        <w:rPr>
          <w:rStyle w:val="CommentReference"/>
        </w:rPr>
        <w:annotationRef/>
      </w:r>
      <w:r>
        <w:t>الجنسية بحق الإقليم مقررة في القانون 346 (المادة 1) لا في نص الدستور مباشرة بحسب ما ظهر لي، ولم أقرأ نصه؛ وكذلك المادتان 565 و566 لم أطابقهما. تُطابق قبل التسليم. التقرير، ثامنًا ٧.</w:t>
      </w:r>
    </w:p>
  </w:comment>
  <w:comment w:id="18" w:author="Claude (مراجعة)" w:initials="CL" w:date="2026-10-19T06:00:19Z">
    <w:p>
      <w:pPr>
        <w:pStyle w:val="CommentText"/>
      </w:pPr>
      <w:r>
        <w:rPr>
          <w:rStyle w:val="CommentReference"/>
        </w:rPr>
        <w:annotationRef/>
      </w:r>
      <w:r>
        <w:t>المادة 571، البنود (a) و(b) و(c). والوصية منها مخرج عملي يتصل بالمبحث الرابع. التقرير، ثامنًا ٢.</w:t>
      </w:r>
    </w:p>
  </w:comment>
  <w:comment w:id="19" w:author="Claude (مراجعة)" w:initials="CL" w:date="2026-10-19T06:00:19Z">
    <w:p>
      <w:pPr>
        <w:pStyle w:val="CommentText"/>
      </w:pPr>
      <w:r>
        <w:rPr>
          <w:rStyle w:val="CommentReference"/>
        </w:rPr>
        <w:annotationRef/>
      </w:r>
      <w:r>
        <w:t>المادة 579، الفقرتان 2 و3؛ وهما جواب حالة وفاة الأب فجأة المذكورة بعدُ. التقرير، ثامنًا ٢.</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750172" w14:textId="77777777" w:rsidR="002A3DDE" w:rsidRDefault="002A3DDE">
      <w:pPr>
        <w:spacing w:after="0" w:line="240" w:lineRule="auto"/>
      </w:pPr>
      <w:r>
        <w:separator/>
      </w:r>
    </w:p>
  </w:endnote>
  <w:endnote w:type="continuationSeparator" w:id="0">
    <w:p w14:paraId="48D4E4C3" w14:textId="77777777" w:rsidR="002A3DDE" w:rsidRDefault="002A3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aditional Arabic">
    <w:panose1 w:val="02020603050405020304"/>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090CA" w14:textId="77777777" w:rsidR="009F31FB" w:rsidRDefault="009F31F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03419F" w14:textId="5D24DD5B" w:rsidR="009F31FB" w:rsidRDefault="009F31FB">
    <w:pPr>
      <w:pStyle w:val="a6"/>
      <w:jc w:val="center"/>
      <w:rPr>
        <w:sz w:val="24"/>
        <w:szCs w:val="24"/>
      </w:rPr>
    </w:pPr>
    <w:r>
      <w:rPr>
        <w:rFonts w:ascii="Traditional Arabic" w:hAnsi="Traditional Arabic" w:cs="Traditional Arabic" w:hint="cs"/>
        <w:color w:val="787878"/>
        <w:sz w:val="20"/>
        <w:szCs w:val="20"/>
      </w:rPr>
      <w:t xml:space="preserve">- </w:t>
    </w:r>
    <w:r>
      <w:fldChar w:fldCharType="begin"/>
    </w:r>
    <w:r>
      <w:instrText>PAGE</w:instrText>
    </w:r>
    <w:r>
      <w:fldChar w:fldCharType="separate"/>
    </w:r>
    <w:r>
      <w:rPr>
        <w:noProof/>
      </w:rPr>
      <w:t>1</w:t>
    </w:r>
    <w:r>
      <w:fldChar w:fldCharType="end"/>
    </w:r>
    <w:r>
      <w:rPr>
        <w:rFonts w:ascii="Traditional Arabic" w:hAnsi="Traditional Arabic" w:cs="Traditional Arabic" w:hint="cs"/>
        <w:color w:val="787878"/>
        <w:sz w:val="20"/>
        <w:szCs w:val="20"/>
      </w:rPr>
      <w:t xml:space="preserve"> -</w:t>
    </w:r>
  </w:p>
  <w:p w14:paraId="02E62C7B" w14:textId="19F958B1" w:rsidR="002878CA" w:rsidRDefault="009F31FB">
    <w:pPr>
      <w:pStyle w:val="a6"/>
      <w:jc w:val="center"/>
    </w:pPr>
    <w:r>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B3C25F" w14:textId="77777777" w:rsidR="009F31FB" w:rsidRDefault="009F31F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0791A8" w14:textId="77777777" w:rsidR="002A3DDE" w:rsidRDefault="002A3DDE">
      <w:pPr>
        <w:spacing w:after="0" w:line="240" w:lineRule="auto"/>
      </w:pPr>
      <w:r>
        <w:separator/>
      </w:r>
    </w:p>
  </w:footnote>
  <w:footnote w:type="continuationSeparator" w:id="0">
    <w:p w14:paraId="4DCC7B9C" w14:textId="77777777" w:rsidR="002A3DDE" w:rsidRDefault="002A3DDE">
      <w:pPr>
        <w:spacing w:after="0" w:line="240" w:lineRule="auto"/>
      </w:pPr>
      <w:r>
        <w:continuationSeparator/>
      </w:r>
    </w:p>
  </w:footnote>
  <w:footnote w:id="1">
    <w:p>
      <w:pPr>
        <w:bidi/>
      </w:pPr>
      <w:r>
        <w:rPr>
          <w:vertAlign w:val="superscript"/>
        </w:rPr>
        <w:footnoteRef/>
      </w:r>
      <w:r>
        <w:rPr>
          <w:rFonts w:ascii="Traditional Arabic" w:hAnsi="Traditional Arabic" w:cs="Traditional Arabic"/>
          <w:rtl/>
          <w:sz w:val="24"/>
          <w:szCs w:val="24"/>
        </w:rPr>
        <w:t xml:space="preserve"> العتيبي، فيصل بن عبد الله، عقد الزواج غير الموثق رسمياً وأحكامه في الفقه الإسلامي، رسالة ماجستير غير منشورة، كلية الشريعة، جامعة أم القرى، 2014.</w:t>
      </w:r>
    </w:p>
  </w:footnote>
  <w:footnote w:id="2">
    <w:p>
      <w:pPr>
        <w:bidi/>
      </w:pPr>
      <w:r>
        <w:rPr>
          <w:vertAlign w:val="superscript"/>
        </w:rPr>
        <w:footnoteRef/>
      </w:r>
      <w:r>
        <w:rPr>
          <w:rFonts w:ascii="Traditional Arabic" w:hAnsi="Traditional Arabic" w:cs="Traditional Arabic"/>
          <w:rtl/>
          <w:sz w:val="24"/>
          <w:szCs w:val="24"/>
        </w:rPr>
        <w:t xml:space="preserve"> الزحيلي، وهبة بن مصطفى، الفقه الإسلامي وأدلته، ط4، دار الفكر، 2002.</w:t>
      </w:r>
    </w:p>
  </w:footnote>
  <w:footnote w:id="3">
    <w:p>
      <w:pPr>
        <w:bidi/>
      </w:pPr>
      <w:r>
        <w:rPr>
          <w:vertAlign w:val="superscript"/>
        </w:rPr>
        <w:footnoteRef/>
      </w:r>
      <w:r>
        <w:rPr>
          <w:rFonts w:ascii="Traditional Arabic" w:hAnsi="Traditional Arabic" w:cs="Traditional Arabic"/>
          <w:rtl/>
          <w:sz w:val="24"/>
          <w:szCs w:val="24"/>
        </w:rPr>
        <w:t xml:space="preserve"> Ferguson, L. (2018). Unregistered Muslim marriages in the UK: Examining the intersections of religion, law and gender. Oxford Journal of Law and Religion, 7(2), 273–296.</w:t>
      </w:r>
    </w:p>
  </w:footnote>
  <w:footnote w:id="4">
    <w:p>
      <w:pPr>
        <w:bidi/>
      </w:pPr>
      <w:r>
        <w:rPr>
          <w:vertAlign w:val="superscript"/>
        </w:rPr>
        <w:footnoteRef/>
      </w:r>
      <w:r>
        <w:rPr>
          <w:rFonts w:ascii="Traditional Arabic" w:hAnsi="Traditional Arabic" w:cs="Traditional Arabic"/>
          <w:rtl/>
          <w:sz w:val="24"/>
          <w:szCs w:val="24"/>
        </w:rPr>
        <w:t xml:space="preserve"> Bano, S. (2017). Modern family law and religious legal traditions: Unregistered Muslim marriages in England and Wales. Journal of Social Welfare and Family Law, 39(4), 488–505.</w:t>
      </w:r>
    </w:p>
  </w:footnote>
  <w:footnote w:id="5">
    <w:p>
      <w:pPr>
        <w:bidi/>
      </w:pPr>
      <w:r>
        <w:rPr>
          <w:vertAlign w:val="superscript"/>
        </w:rPr>
        <w:footnoteRef/>
      </w:r>
      <w:r>
        <w:rPr>
          <w:rFonts w:ascii="Traditional Arabic" w:hAnsi="Traditional Arabic" w:cs="Traditional Arabic"/>
          <w:rtl/>
          <w:sz w:val="24"/>
          <w:szCs w:val="24"/>
        </w:rPr>
        <w:t xml:space="preserve"> Farfán, M. E., &amp; Medina, G. (2018). Las uniones convivenciales en el nuevo Código Civil y Comercial de la Nación. Revista La Ley, 2018(3), 112–129.</w:t>
      </w:r>
    </w:p>
  </w:footnote>
  <w:footnote w:id="6">
    <w:p>
      <w:pPr>
        <w:bidi/>
      </w:pPr>
      <w:r>
        <w:rPr>
          <w:vertAlign w:val="superscript"/>
        </w:rPr>
        <w:footnoteRef/>
      </w:r>
      <w:r>
        <w:rPr>
          <w:rFonts w:ascii="Traditional Arabic" w:hAnsi="Traditional Arabic" w:cs="Traditional Arabic"/>
          <w:rtl/>
          <w:sz w:val="24"/>
          <w:szCs w:val="24"/>
        </w:rPr>
        <w:t xml:space="preserve"> Herrera, M. (2016). Manual de derecho de las familias (2da ed.). Abeledo Perrot.</w:t>
      </w:r>
    </w:p>
  </w:footnote>
  <w:footnote w:id="7">
    <w:p>
      <w:pPr>
        <w:bidi/>
      </w:pPr>
      <w:r>
        <w:rPr>
          <w:vertAlign w:val="superscript"/>
        </w:rPr>
        <w:footnoteRef/>
      </w:r>
      <w:r>
        <w:rPr>
          <w:rFonts w:ascii="Traditional Arabic" w:hAnsi="Traditional Arabic" w:cs="Traditional Arabic"/>
          <w:rtl/>
          <w:sz w:val="24"/>
          <w:szCs w:val="24"/>
        </w:rPr>
        <w:t xml:space="preserve"> ابن قدامة، المغني، 7/6؛ الكاساني، بدائع الصنائع، 2/332.</w:t>
      </w:r>
    </w:p>
  </w:footnote>
  <w:footnote w:id="8">
    <w:p>
      <w:pPr>
        <w:bidi/>
      </w:pPr>
      <w:r>
        <w:rPr>
          <w:vertAlign w:val="superscript"/>
        </w:rPr>
        <w:footnoteRef/>
      </w:r>
      <w:r>
        <w:rPr>
          <w:rFonts w:ascii="Traditional Arabic" w:hAnsi="Traditional Arabic" w:cs="Traditional Arabic"/>
          <w:rtl/>
          <w:sz w:val="24"/>
          <w:szCs w:val="24"/>
        </w:rPr>
        <w:t xml:space="preserve"> الشاطبي، الموافقات، 2/393.</w:t>
      </w:r>
    </w:p>
  </w:footnote>
  <w:footnote w:id="9">
    <w:p>
      <w:pPr>
        <w:bidi/>
      </w:pPr>
      <w:r>
        <w:rPr>
          <w:vertAlign w:val="superscript"/>
        </w:rPr>
        <w:footnoteRef/>
      </w:r>
      <w:r>
        <w:rPr>
          <w:rFonts w:ascii="Traditional Arabic" w:hAnsi="Traditional Arabic" w:cs="Traditional Arabic"/>
          <w:rtl/>
          <w:sz w:val="24"/>
          <w:szCs w:val="24"/>
        </w:rPr>
        <w:t xml:space="preserve"> ابن القيم، إعلام الموقعين عن رب العالمين، 3/11.</w:t>
      </w:r>
    </w:p>
  </w:footnote>
  <w:footnote w:id="10">
    <w:p>
      <w:pPr>
        <w:bidi/>
      </w:pPr>
      <w:r>
        <w:rPr>
          <w:vertAlign w:val="superscript"/>
        </w:rPr>
        <w:footnoteRef/>
      </w:r>
      <w:r>
        <w:rPr>
          <w:rFonts w:ascii="Traditional Arabic" w:hAnsi="Traditional Arabic" w:cs="Traditional Arabic"/>
          <w:rtl/>
          <w:sz w:val="24"/>
          <w:szCs w:val="24"/>
        </w:rPr>
        <w:t xml:space="preserve"> القرافي، الفروق، 1/176.</w:t>
      </w:r>
    </w:p>
  </w:footnote>
  <w:footnote w:id="11">
    <w:p>
      <w:pPr>
        <w:bidi/>
      </w:pPr>
      <w:r>
        <w:rPr>
          <w:vertAlign w:val="superscript"/>
        </w:rPr>
        <w:footnoteRef/>
      </w:r>
      <w:r>
        <w:rPr>
          <w:rFonts w:ascii="Traditional Arabic" w:hAnsi="Traditional Arabic" w:cs="Traditional Arabic"/>
          <w:rtl/>
          <w:sz w:val="24"/>
          <w:szCs w:val="24"/>
        </w:rPr>
        <w:t xml:space="preserve"> ابن عابدين، نشر العرف في بناء بعض الأحكام على العرف (ضمن مجموع رسائل ابن عابدين)، 2/125.</w:t>
      </w:r>
    </w:p>
  </w:footnote>
  <w:footnote w:id="12">
    <w:p>
      <w:pPr>
        <w:bidi/>
      </w:pPr>
      <w:r>
        <w:rPr>
          <w:vertAlign w:val="superscript"/>
        </w:rPr>
        <w:footnoteRef/>
      </w:r>
      <w:r>
        <w:rPr>
          <w:rFonts w:ascii="Traditional Arabic" w:hAnsi="Traditional Arabic" w:cs="Traditional Arabic"/>
          <w:rtl/>
          <w:sz w:val="24"/>
          <w:szCs w:val="24"/>
        </w:rPr>
        <w:t xml:space="preserve"> مجلة الأحكام العدلية، المادة 39.</w:t>
      </w:r>
    </w:p>
  </w:footnote>
  <w:footnote w:id="13">
    <w:p>
      <w:pPr>
        <w:bidi/>
      </w:pPr>
      <w:r>
        <w:rPr>
          <w:vertAlign w:val="superscript"/>
        </w:rPr>
        <w:footnoteRef/>
      </w:r>
      <w:r>
        <w:rPr>
          <w:rFonts w:ascii="Traditional Arabic" w:hAnsi="Traditional Arabic" w:cs="Traditional Arabic"/>
          <w:rtl/>
          <w:sz w:val="24"/>
          <w:szCs w:val="24"/>
        </w:rPr>
        <w:t xml:space="preserve"> الغزالي، المستصفى، </w:t>
      </w:r>
      <w:r>
        <w:rPr>
          <w:rFonts w:ascii="Traditional Arabic" w:hAnsi="Traditional Arabic" w:cs="Traditional Arabic"/>
          <w:highlight w:val="yellow"/>
          <w:rtl/>
          <w:sz w:val="24"/>
          <w:szCs w:val="24"/>
        </w:rPr>
        <w:t xml:space="preserve">ص57</w:t>
      </w:r>
      <w:r>
        <w:rPr>
          <w:rFonts w:ascii="Traditional Arabic" w:hAnsi="Traditional Arabic" w:cs="Traditional Arabic"/>
          <w:rtl/>
          <w:sz w:val="24"/>
          <w:szCs w:val="24"/>
        </w:rPr>
        <w:t xml:space="preserve">.</w:t>
      </w:r>
    </w:p>
  </w:footnote>
  <w:footnote w:id="14">
    <w:p>
      <w:pPr>
        <w:bidi/>
      </w:pPr>
      <w:r>
        <w:rPr>
          <w:vertAlign w:val="superscript"/>
        </w:rPr>
        <w:footnoteRef/>
      </w:r>
      <w:r>
        <w:rPr>
          <w:rFonts w:ascii="Traditional Arabic" w:hAnsi="Traditional Arabic" w:cs="Traditional Arabic"/>
          <w:rtl/>
          <w:sz w:val="24"/>
          <w:szCs w:val="24"/>
        </w:rPr>
        <w:t xml:space="preserve"> الشاطبي، الموافقات، </w:t>
      </w:r>
      <w:r>
        <w:rPr>
          <w:rFonts w:ascii="Traditional Arabic" w:hAnsi="Traditional Arabic" w:cs="Traditional Arabic"/>
          <w:highlight w:val="yellow"/>
          <w:rtl/>
          <w:sz w:val="24"/>
          <w:szCs w:val="24"/>
        </w:rPr>
        <w:t xml:space="preserve">5/177</w:t>
      </w:r>
      <w:r>
        <w:rPr>
          <w:rFonts w:ascii="Traditional Arabic" w:hAnsi="Traditional Arabic" w:cs="Traditional Arabic"/>
          <w:rtl/>
          <w:sz w:val="24"/>
          <w:szCs w:val="24"/>
        </w:rPr>
        <w:t xml:space="preserve">.</w:t>
      </w:r>
    </w:p>
  </w:footnote>
  <w:footnote w:id="15">
    <w:p>
      <w:pPr>
        <w:bidi/>
      </w:pPr>
      <w:r>
        <w:rPr>
          <w:vertAlign w:val="superscript"/>
        </w:rPr>
        <w:footnoteRef/>
      </w:r>
      <w:r>
        <w:rPr>
          <w:rFonts w:ascii="Traditional Arabic" w:hAnsi="Traditional Arabic" w:cs="Traditional Arabic"/>
          <w:rtl/>
          <w:sz w:val="24"/>
          <w:szCs w:val="24"/>
        </w:rPr>
        <w:t xml:space="preserve"> الكاساني، بدائع الصنائع، 4/210؛ البهوتي، كشاف القناع، 4/25.</w:t>
      </w:r>
    </w:p>
  </w:footnote>
  <w:footnote w:id="16">
    <w:p>
      <w:pPr>
        <w:bidi/>
      </w:pPr>
      <w:r>
        <w:rPr>
          <w:vertAlign w:val="superscript"/>
        </w:rPr>
        <w:footnoteRef/>
      </w:r>
      <w:r>
        <w:rPr>
          <w:rFonts w:ascii="Traditional Arabic" w:hAnsi="Traditional Arabic" w:cs="Traditional Arabic"/>
          <w:rtl/>
          <w:sz w:val="24"/>
          <w:szCs w:val="24"/>
        </w:rPr>
        <w:t xml:space="preserve"> ابن فرحون، تبصرة الحكام، 1/195.</w:t>
      </w:r>
    </w:p>
  </w:footnote>
  <w:footnote w:id="17">
    <w:p>
      <w:pPr>
        <w:bidi/>
      </w:pPr>
      <w:r>
        <w:rPr>
          <w:vertAlign w:val="superscript"/>
        </w:rPr>
        <w:footnoteRef/>
      </w:r>
      <w:r>
        <w:rPr>
          <w:rFonts w:ascii="Traditional Arabic" w:hAnsi="Traditional Arabic" w:cs="Traditional Arabic"/>
          <w:rtl/>
          <w:sz w:val="24"/>
          <w:szCs w:val="24"/>
        </w:rPr>
        <w:t xml:space="preserve"> ابن القيم، الطرق الحكمية، ص89.</w:t>
      </w:r>
    </w:p>
  </w:footnote>
  <w:footnote w:id="18">
    <w:p>
      <w:pPr>
        <w:bidi/>
      </w:pPr>
      <w:r>
        <w:rPr>
          <w:vertAlign w:val="superscript"/>
        </w:rPr>
        <w:footnoteRef/>
      </w:r>
      <w:r>
        <w:rPr>
          <w:rFonts w:ascii="Traditional Arabic" w:hAnsi="Traditional Arabic" w:cs="Traditional Arabic"/>
          <w:rtl/>
          <w:sz w:val="24"/>
          <w:szCs w:val="24"/>
        </w:rPr>
        <w:t xml:space="preserve"> ابن القيم، الطرق الحكمية، ص14.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8870BB" w14:textId="77777777" w:rsidR="009F31FB" w:rsidRDefault="009F31F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C1F5A" w14:textId="77777777" w:rsidR="009F31FB" w:rsidRDefault="009F31FB">
    <w:pPr>
      <w:pStyle w:val="a5"/>
      <w:bidi/>
      <w:jc w:val="center"/>
      <w:rPr>
        <w:sz w:val="24"/>
        <w:szCs w:val="24"/>
      </w:rPr>
    </w:pPr>
    <w:r>
      <w:rPr>
        <w:rFonts w:ascii="Traditional Arabic" w:hAnsi="Traditional Arabic" w:cs="Traditional Arabic" w:hint="cs"/>
        <w:color w:val="787878"/>
        <w:sz w:val="20"/>
        <w:szCs w:val="20"/>
        <w:rtl/>
      </w:rPr>
      <w:t>المؤتمر الدولي السادس للدراسات الإسلامية المعاصرة والقضايا المستجدة (</w:t>
    </w:r>
    <w:r>
      <w:rPr>
        <w:rFonts w:ascii="Traditional Arabic" w:hAnsi="Traditional Arabic" w:cs="Traditional Arabic" w:hint="cs"/>
        <w:color w:val="787878"/>
        <w:sz w:val="20"/>
        <w:szCs w:val="20"/>
      </w:rPr>
      <w:t>ICCISEI 2026</w:t>
    </w:r>
    <w:r>
      <w:rPr>
        <w:rFonts w:ascii="Traditional Arabic" w:hAnsi="Traditional Arabic" w:cs="Traditional Arabic" w:hint="cs"/>
        <w:color w:val="787878"/>
        <w:sz w:val="20"/>
        <w:szCs w:val="20"/>
        <w:rtl/>
      </w:rPr>
      <w:t>)</w:t>
    </w:r>
    <w:r>
      <w:rPr>
        <w:rFonts w:ascii="Traditional Arabic" w:hAnsi="Traditional Arabic" w:cs="Traditional Arabic" w:hint="cs"/>
        <w:color w:val="787878"/>
        <w:sz w:val="20"/>
        <w:szCs w:val="20"/>
        <w:rtl/>
      </w:rPr>
      <w:br/>
      <w:t>جامعة المدينة العالمية</w:t>
    </w:r>
  </w:p>
  <w:p w14:paraId="7EA87493" w14:textId="5DCB94BD" w:rsidR="002878CA" w:rsidRDefault="009F31FB">
    <w:pPr>
      <w:pStyle w:val="a5"/>
    </w:pPr>
    <w: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C6CC58" w14:textId="77777777" w:rsidR="009F31FB" w:rsidRDefault="009F31F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1492259">
    <w:abstractNumId w:val="8"/>
  </w:num>
  <w:num w:numId="2" w16cid:durableId="195318873">
    <w:abstractNumId w:val="6"/>
  </w:num>
  <w:num w:numId="3" w16cid:durableId="512378246">
    <w:abstractNumId w:val="5"/>
  </w:num>
  <w:num w:numId="4" w16cid:durableId="1150362364">
    <w:abstractNumId w:val="4"/>
  </w:num>
  <w:num w:numId="5" w16cid:durableId="811486131">
    <w:abstractNumId w:val="7"/>
  </w:num>
  <w:num w:numId="6" w16cid:durableId="1947151548">
    <w:abstractNumId w:val="3"/>
  </w:num>
  <w:num w:numId="7" w16cid:durableId="1248416341">
    <w:abstractNumId w:val="2"/>
  </w:num>
  <w:num w:numId="8" w16cid:durableId="249511441">
    <w:abstractNumId w:val="1"/>
  </w:num>
  <w:num w:numId="9" w16cid:durableId="8698070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8CA"/>
    <w:rsid w:val="0029639D"/>
    <w:rsid w:val="002A3DDE"/>
    <w:rsid w:val="00326F90"/>
    <w:rsid w:val="00965695"/>
    <w:rsid w:val="009F31FB"/>
    <w:rsid w:val="00AA1D8D"/>
    <w:rsid w:val="00AA2A8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1D14A"/>
  <w14:defaultImageDpi w14:val="300"/>
  <w15:docId w15:val="{A13FDB58-DDE5-5547-85FD-C7EF48FA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a1"/>
    <w:rsid w:val="009F31FB"/>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FF1A43-F2EB-464D-9A05-0003D1062D5C}">
  <we:reference id="wa200010453" version="1.0.0.1" store="en-US" storeType="OMEX"/>
  <we:alternateReferences>
    <we:reference id="WA200010453" version="1.0.0.1" store="" storeType="OMEX"/>
  </we:alternateReferences>
  <we:properties>
    <we:property name="claude.fileId" value="&quot;5a316aa2-f31b-4833-9aff-c06459a717d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5135</Words>
  <Characters>27785</Characters>
  <Application>Microsoft Office Word</Application>
  <DocSecurity>0</DocSecurity>
  <Lines>448</Lines>
  <Paragraphs>118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مركز الملك فهد الثقافي الإسلامي في جمهورية الأرجنتين</cp:lastModifiedBy>
  <cp:revision>2</cp:revision>
  <dcterms:created xsi:type="dcterms:W3CDTF">2013-12-23T23:15:00Z</dcterms:created>
  <dcterms:modified xsi:type="dcterms:W3CDTF">2026-10-13T00:37:00Z</dcterms:modified>
  <cp:category/>
</cp:coreProperties>
</file>