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B05D7" w14:textId="77777777" w:rsidR="002878CA" w:rsidRDefault="00000000" w:rsidP="00965695">
      <w:pPr>
        <w:keepNext/>
        <w:bidi/>
        <w:spacing w:before="360" w:after="160"/>
      </w:pPr>
      <w:r>
        <w:rPr>
          <w:rFonts w:ascii="Traditional Arabic" w:hAnsi="Traditional Arabic"/>
          <w:b/>
          <w:color w:val="0D5C3A"/>
          <w:sz w:val="36"/>
        </w:rPr>
        <w:t>المبحث الثالث: الموازنة بالنظم الغربية والمدونة القضائية المقارنة</w:t>
      </w:r>
    </w:p>
    <w:p w14:paraId="4C1BCC3E" w14:textId="77777777" w:rsidR="002878CA" w:rsidRDefault="00000000" w:rsidP="00965695">
      <w:pPr>
        <w:keepNext/>
        <w:bidi/>
        <w:spacing w:before="280" w:after="120"/>
      </w:pPr>
      <w:r>
        <w:rPr>
          <w:rFonts w:ascii="Traditional Arabic" w:hAnsi="Traditional Arabic"/>
          <w:b/>
          <w:color w:val="143250"/>
          <w:sz w:val="32"/>
        </w:rPr>
        <w:t>المطلب الأول: النظم الغربية في التعامل مع الزواج الديني غير المسجل</w:t>
      </w:r>
    </w:p>
    <w:p w14:paraId="617736C5" w14:textId="77777777" w:rsidR="002878CA" w:rsidRDefault="00000000" w:rsidP="00965695">
      <w:pPr>
        <w:bidi/>
        <w:spacing w:after="120"/>
      </w:pPr>
      <w:r>
        <w:rPr>
          <w:rFonts w:ascii="Traditional Arabic" w:hAnsi="Traditional Arabic"/>
          <w:color w:val="282828"/>
          <w:sz w:val="30"/>
        </w:rPr>
        <w:t>تختلف القوانين الغربية في تعاملها مع الزواج الديني إلى نماذج متعددة:</w:t>
      </w:r>
      <w:r>
        <w:rPr>
          <w:rFonts w:ascii="Traditional Arabic" w:hAnsi="Traditional Arabic"/>
          <w:color w:val="282828"/>
          <w:sz w:val="30"/>
        </w:rPr>
        <w:br/>
      </w:r>
      <w:r>
        <w:rPr>
          <w:rFonts w:ascii="Traditional Arabic" w:hAnsi="Traditional Arabic"/>
          <w:color w:val="282828"/>
          <w:sz w:val="30"/>
        </w:rPr>
        <w:br/>
        <w:t xml:space="preserve">1. النموذج المدني الصارم: كما في فرنسا؛ حيث تشترط المادة (433-21) من قانون العقوبات الفرنسي إتمام الزواج المدني أولاً، وتعاقب رجل الدين الذي يقيم مراسم دينية قبل الزواج المدني متى قام بذلك «على وجه الاعتياد» </w:t>
      </w:r>
      <w:commentRangeStart w:id="1"/>
      <w:r>
        <w:rPr>
          <w:rFonts w:ascii="Traditional Arabic" w:hAnsi="Traditional Arabic"/>
          <w:color w:val="282828"/>
          <w:sz w:val="30"/>
          <w:highlight w:val="yellow"/>
        </w:rPr>
        <w:t xml:space="preserve">(de manière habituelle)، بالحبس سنة وبغرامة سبعة آلاف وخمسمائة يورو</w:t>
      </w:r>
      <w:commentRangeEnd w:id="1"/>
      <w:r>
        <w:rPr>
          <w:rStyle w:val="CommentReference"/>
        </w:rPr>
        <w:commentReference w:id="1"/>
      </w:r>
      <w:r>
        <w:rPr>
          <w:rFonts w:ascii="Traditional Arabic" w:hAnsi="Traditional Arabic"/>
          <w:color w:val="282828"/>
          <w:sz w:val="30"/>
        </w:rPr>
        <w:t xml:space="preserve">. </w:t>
      </w:r>
      <w:commentRangeStart w:id="2"/>
      <w:r>
        <w:rPr>
          <w:rFonts w:ascii="Traditional Arabic" w:hAnsi="Traditional Arabic"/>
          <w:color w:val="282828"/>
          <w:sz w:val="30"/>
          <w:highlight w:val="yellow"/>
        </w:rPr>
        <w:t xml:space="preserve">وكذلك القانون البلجيكي، وأصله المادة (21) فقرة 2 من الدستور، وكانت الجريمة في المادة (267) من قانون العقوبات القديم، ثم نقلها قانون العقوبات الجديد (قانون 29 فبراير 2024، النافذ منذ 8 أبريل 2026) إلى المادة (642) ووسّعها إلى الزواج غير الطائفي</w:t>
      </w:r>
      <w:commentRangeEnd w:id="2"/>
      <w:r>
        <w:rPr>
          <w:rStyle w:val="CommentReference"/>
        </w:rPr>
        <w:commentReference w:id="2"/>
      </w:r>
      <w:r>
        <w:rPr>
          <w:rFonts w:ascii="Traditional Arabic" w:hAnsi="Traditional Arabic"/>
          <w:color w:val="282828"/>
          <w:sz w:val="30"/>
        </w:rPr>
        <w:t xml:space="preserve">. </w:t>
      </w:r>
      <w:commentRangeStart w:id="3"/>
      <w:r>
        <w:rPr>
          <w:rFonts w:ascii="Traditional Arabic" w:hAnsi="Traditional Arabic"/>
          <w:color w:val="282828"/>
          <w:sz w:val="30"/>
          <w:highlight w:val="yellow"/>
        </w:rPr>
        <w:t xml:space="preserve">أما القانون الأرجنتيني فلا يرتب على العقد الديني أثراً مدنياً، ولم يقف البحث في النص الأصلي لقانون العقوبات (Ley 11.179) على عقوبة لمن يجريه</w:t>
      </w:r>
      <w:commentRangeEnd w:id="3"/>
      <w:r>
        <w:rPr>
          <w:rStyle w:val="CommentReference"/>
        </w:rPr>
        <w:commentReference w:id="3"/>
      </w:r>
      <w:r>
        <w:rPr>
          <w:rFonts w:ascii="Traditional Arabic" w:hAnsi="Traditional Arabic"/>
          <w:color w:val="282828"/>
          <w:sz w:val="30"/>
        </w:rPr>
        <w:t xml:space="preserve">.</w:t>
      </w:r>
      <w:r>
        <w:rPr>
          <w:rFonts w:ascii="Traditional Arabic" w:hAnsi="Traditional Arabic"/>
          <w:color w:val="282828"/>
          <w:sz w:val="30"/>
        </w:rPr>
        <w:br/>
      </w:r>
      <w:commentRangeStart w:id="4"/>
      <w:r>
        <w:rPr>
          <w:rFonts w:ascii="Traditional Arabic" w:hAnsi="Traditional Arabic"/>
          <w:color w:val="282828"/>
          <w:sz w:val="30"/>
        </w:rPr>
        <w:br/>
        <w:t>2. النموذج التعاقدي المزدوج: وأبرز أمثلته إسبانيا، بموجب اتفاقية التعاون التاريخية مع المفوضية الإسلامية لعام 1992 (Ley 26/1992)؛ حيث يعترف القانون الإسباني بالأثر المدني للعقد الشرعي المبرم لدى إمام معتمد، شريطة استخراج ملف أهلية زواج مسبق (expediente matrimonial) من السجل المدني ثم قيد العقد فيه. وهذا النموذج التعاوني غير مطبق في الأرجنتين لعدم إبرام اتفاقات مماثلة مع المراكز الإسلامية.</w:t>
      </w:r>
      <w:commentRangeEnd w:id="4"/>
      <w:r>
        <w:rPr>
          <w:rStyle w:val="CommentReference"/>
        </w:rPr>
        <w:commentReference w:id="4"/>
      </w:r>
      <w:r>
        <w:rPr>
          <w:rFonts w:ascii="Traditional Arabic" w:hAnsi="Traditional Arabic"/>
          <w:color w:val="282828"/>
          <w:sz w:val="30"/>
        </w:rPr>
        <w:br/>
      </w:r>
      <w:r>
        <w:rPr>
          <w:rFonts w:ascii="Traditional Arabic" w:hAnsi="Traditional Arabic"/>
          <w:color w:val="282828"/>
          <w:sz w:val="30"/>
        </w:rPr>
        <w:br/>
        <w:t>3. النموذج الأنجلوسكسوني: كما في بريطانيا؛ حيث يخضع الزواج لقانون (Marriage Act 1949). ولا يعترف القانون الإنجليزي بعقد النكاح الإسلامي المجرد، ويصنفه كحفل غير مؤهل قانوناً (Non-qualifying ceremony)، مما يحرم المطلقة من التسويات المالية المتاحة للزوجات المدنيات، وإن كان يتيح لها حقوقاً متعلقة بنفقة الأطفال بموجب قانون الطفل (Children Act 1989) وبعض دعاوى الملكية المشتركة.</w:t>
      </w:r>
    </w:p>
    <w:p w14:paraId="357D1203" w14:textId="77777777" w:rsidR="002878CA" w:rsidRDefault="00000000" w:rsidP="00965695">
      <w:pPr>
        <w:keepNext/>
        <w:bidi/>
        <w:spacing w:before="280" w:after="120"/>
      </w:pPr>
      <w:r>
        <w:rPr>
          <w:rFonts w:ascii="Traditional Arabic" w:hAnsi="Traditional Arabic"/>
          <w:b/>
          <w:color w:val="143250"/>
          <w:sz w:val="32"/>
        </w:rPr>
        <w:t>المطلب الثاني: السوابق القضائية المفصلية وأبعادها</w:t>
      </w:r>
    </w:p>
    <w:p w14:paraId="1A28CCE4" w14:textId="77777777" w:rsidR="002878CA" w:rsidRDefault="00000000" w:rsidP="00965695">
      <w:pPr>
        <w:bidi/>
        <w:spacing w:after="120"/>
      </w:pPr>
      <w:r>
        <w:rPr>
          <w:rFonts w:ascii="Traditional Arabic" w:hAnsi="Traditional Arabic"/>
          <w:color w:val="282828"/>
          <w:sz w:val="30"/>
        </w:rPr>
        <w:t>تقدم الأحكام القضائية الغربية دروساً واقعية تؤكد خطورة إهمال التوثيق:</w:t>
      </w:r>
      <w:r>
        <w:rPr>
          <w:rFonts w:ascii="Traditional Arabic" w:hAnsi="Traditional Arabic"/>
          <w:color w:val="282828"/>
          <w:sz w:val="30"/>
        </w:rPr>
        <w:br/>
      </w:r>
      <w:r>
        <w:rPr>
          <w:rFonts w:ascii="Traditional Arabic" w:hAnsi="Traditional Arabic"/>
          <w:color w:val="282828"/>
          <w:sz w:val="30"/>
        </w:rPr>
        <w:br/>
      </w:r>
      <w:r>
        <w:rPr>
          <w:rFonts w:ascii="Traditional Arabic" w:hAnsi="Traditional Arabic"/>
          <w:color w:val="282828"/>
          <w:sz w:val="30"/>
        </w:rPr>
        <w:lastRenderedPageBreak/>
        <w:t>1. قضية أختر في بريطانيا (Attorney General v Akhter [2020] EWCA Civ 122):</w:t>
      </w:r>
      <w:r>
        <w:rPr>
          <w:rFonts w:ascii="Traditional Arabic" w:hAnsi="Traditional Arabic"/>
          <w:color w:val="282828"/>
          <w:sz w:val="30"/>
        </w:rPr>
        <w:br/>
        <w:t xml:space="preserve">تزوج طرفان مسلمان بعقد شرعي بلندن عام 1998 واستمرت حياتهما </w:t>
      </w:r>
      <w:commentRangeStart w:id="5"/>
      <w:r>
        <w:rPr>
          <w:rFonts w:ascii="Traditional Arabic" w:hAnsi="Traditional Arabic"/>
          <w:color w:val="282828"/>
          <w:sz w:val="30"/>
          <w:highlight w:val="yellow"/>
        </w:rPr>
        <w:t xml:space="preserve">نحو ثمانية عشر عاماً</w:t>
      </w:r>
      <w:commentRangeEnd w:id="5"/>
      <w:r>
        <w:rPr>
          <w:rStyle w:val="CommentReference"/>
        </w:rPr>
        <w:commentReference w:id="5"/>
      </w:r>
      <w:r>
        <w:rPr>
          <w:rFonts w:ascii="Traditional Arabic" w:hAnsi="Traditional Arabic"/>
          <w:color w:val="282828"/>
          <w:sz w:val="30"/>
        </w:rPr>
        <w:t xml:space="preserve"> وأنجبا أربعة أطفال، </w:t>
      </w:r>
      <w:commentRangeStart w:id="6"/>
      <w:r>
        <w:rPr>
          <w:rFonts w:ascii="Traditional Arabic" w:hAnsi="Traditional Arabic"/>
          <w:color w:val="282828"/>
          <w:sz w:val="30"/>
          <w:highlight w:val="yellow"/>
        </w:rPr>
        <w:t xml:space="preserve">وكان الطرفان يعلمان أن العقد بلا أثر قانوني، ويقصدان عقداً مدنياً لم يتم</w:t>
      </w:r>
      <w:commentRangeEnd w:id="6"/>
      <w:r>
        <w:rPr>
          <w:rStyle w:val="CommentReference"/>
        </w:rPr>
        <w:commentReference w:id="6"/>
      </w:r>
      <w:r>
        <w:rPr>
          <w:rFonts w:ascii="Traditional Arabic" w:hAnsi="Traditional Arabic"/>
          <w:color w:val="282828"/>
          <w:sz w:val="30"/>
        </w:rPr>
        <w:t xml:space="preserve">. وعند وقوع الخلاف، </w:t>
      </w:r>
      <w:commentRangeStart w:id="7"/>
      <w:r>
        <w:rPr>
          <w:rFonts w:ascii="Traditional Arabic" w:hAnsi="Traditional Arabic"/>
          <w:color w:val="282828"/>
          <w:sz w:val="30"/>
          <w:highlight w:val="yellow"/>
        </w:rPr>
        <w:t xml:space="preserve">طلبت الزوجة الطلاق، فقضت محكمة الأسرة (Williams J, [2018] EWFC 54) بأنه زواج باطل (void marriage) يجيز لها طلب التسوية المالية</w:t>
      </w:r>
      <w:commentRangeEnd w:id="7"/>
      <w:r>
        <w:rPr>
          <w:rStyle w:val="CommentReference"/>
        </w:rPr>
        <w:commentReference w:id="7"/>
      </w:r>
      <w:r>
        <w:rPr>
          <w:rFonts w:ascii="Traditional Arabic" w:hAnsi="Traditional Arabic"/>
          <w:color w:val="282828"/>
          <w:sz w:val="30"/>
        </w:rPr>
        <w:t xml:space="preserve">؛ إلا أن محكمة الاستئناف الإنجليزية (Court of Appeal) </w:t>
      </w:r>
      <w:commentRangeStart w:id="8"/>
      <w:r>
        <w:rPr>
          <w:rFonts w:ascii="Traditional Arabic" w:hAnsi="Traditional Arabic"/>
          <w:color w:val="282828"/>
          <w:sz w:val="30"/>
          <w:highlight w:val="yellow"/>
        </w:rPr>
        <w:t xml:space="preserve">نقضت الحكم بالإجماع في عام 2020، وقررت أنه لم تقع مراسم زواج يصح أن يصدر بشأنها حكم بالبطلان، بل هي مراسم غير مؤهلة (non-qualifying ceremony)</w:t>
      </w:r>
      <w:commentRangeEnd w:id="8"/>
      <w:r>
        <w:rPr>
          <w:rStyle w:val="CommentReference"/>
        </w:rPr>
        <w:commentReference w:id="8"/>
      </w:r>
      <w:r>
        <w:rPr>
          <w:rFonts w:ascii="Traditional Arabic" w:hAnsi="Traditional Arabic"/>
          <w:color w:val="282828"/>
          <w:sz w:val="30"/>
        </w:rPr>
        <w:t xml:space="preserve">، وحرمت الزوجة من التسوية المالية المقررة للزوجات.</w:t>
      </w:r>
      <w:r>
        <w:rPr>
          <w:rFonts w:ascii="Traditional Arabic" w:hAnsi="Traditional Arabic"/>
          <w:color w:val="282828"/>
          <w:sz w:val="30"/>
        </w:rPr>
        <w:br/>
      </w:r>
      <w:r>
        <w:rPr>
          <w:rFonts w:ascii="Traditional Arabic" w:hAnsi="Traditional Arabic"/>
          <w:color w:val="282828"/>
          <w:sz w:val="30"/>
        </w:rPr>
        <w:br/>
        <w:t>2. قضية شريفة يغيت أمام المحكمة الأوروبية لحقوق الإنسان (Şerife Yiğit v. Turkey, 2010):</w:t>
      </w:r>
      <w:r>
        <w:rPr>
          <w:rFonts w:ascii="Traditional Arabic" w:hAnsi="Traditional Arabic"/>
          <w:color w:val="282828"/>
          <w:sz w:val="30"/>
        </w:rPr>
        <w:br/>
        <w:t xml:space="preserve">عاشت مواطنة تركية مع زوجها </w:t>
      </w:r>
      <w:commentRangeStart w:id="9"/>
      <w:r>
        <w:rPr>
          <w:rFonts w:ascii="Traditional Arabic" w:hAnsi="Traditional Arabic"/>
          <w:color w:val="282828"/>
          <w:sz w:val="30"/>
          <w:highlight w:val="yellow"/>
        </w:rPr>
        <w:t xml:space="preserve">26 عاماً</w:t>
      </w:r>
      <w:commentRangeEnd w:id="9"/>
      <w:r>
        <w:rPr>
          <w:rStyle w:val="CommentReference"/>
        </w:rPr>
        <w:commentReference w:id="9"/>
      </w:r>
      <w:r>
        <w:rPr>
          <w:rFonts w:ascii="Traditional Arabic" w:hAnsi="Traditional Arabic"/>
          <w:color w:val="282828"/>
          <w:sz w:val="30"/>
        </w:rPr>
        <w:t xml:space="preserve"> بعقد زواج ديني غير موثق مدنياً </w:t>
      </w:r>
      <w:commentRangeStart w:id="10"/>
      <w:r>
        <w:rPr>
          <w:rFonts w:ascii="Traditional Arabic" w:hAnsi="Traditional Arabic"/>
          <w:color w:val="282828"/>
          <w:sz w:val="30"/>
          <w:highlight w:val="yellow"/>
        </w:rPr>
        <w:t xml:space="preserve">وأنجبت منه ستة أولاد</w:t>
      </w:r>
      <w:commentRangeEnd w:id="10"/>
      <w:r>
        <w:rPr>
          <w:rStyle w:val="CommentReference"/>
        </w:rPr>
        <w:commentReference w:id="10"/>
      </w:r>
      <w:r>
        <w:rPr>
          <w:rFonts w:ascii="Traditional Arabic" w:hAnsi="Traditional Arabic"/>
          <w:color w:val="282828"/>
          <w:sz w:val="30"/>
        </w:rPr>
        <w:t xml:space="preserve">، وعند وفاته رُفض طلبها للحصول على معاش الوفاة لعدم وجود عقد مدني. لجأت للمحكمة الأوروبية بدعوى انتهاك الحق في حماية الأسرة، فقضت الغرفة الكبرى </w:t>
      </w:r>
      <w:commentRangeStart w:id="11"/>
      <w:r>
        <w:rPr>
          <w:rFonts w:ascii="Traditional Arabic" w:hAnsi="Traditional Arabic"/>
          <w:color w:val="282828"/>
          <w:sz w:val="30"/>
          <w:highlight w:val="yellow"/>
        </w:rPr>
        <w:t xml:space="preserve">بالإجماع برفض دعواها (لا مخالفة للمادة 14 مع المادة 1 من البروتوكول الأول، ولا للمادة 8)</w:t>
      </w:r>
      <w:commentRangeEnd w:id="11"/>
      <w:r>
        <w:rPr>
          <w:rStyle w:val="CommentReference"/>
        </w:rPr>
        <w:commentReference w:id="11"/>
      </w:r>
      <w:r>
        <w:rPr>
          <w:rFonts w:ascii="Traditional Arabic" w:hAnsi="Traditional Arabic"/>
          <w:color w:val="282828"/>
          <w:sz w:val="30"/>
        </w:rPr>
        <w:t xml:space="preserve">، معتبرة أن اشتراط الدول للتوثيق المدني هو تنظيم مشروع لحماية النظام العام وحقوق المرأة.</w:t>
      </w:r>
      <w:r>
        <w:rPr>
          <w:rFonts w:ascii="Traditional Arabic" w:hAnsi="Traditional Arabic"/>
          <w:color w:val="282828"/>
          <w:sz w:val="30"/>
        </w:rPr>
        <w:br/>
        <w:t xml:space="preserve">وفي المقابل، قضت المحكمة في قضية (Muñoz Díaz v. Spain, 2009) </w:t>
      </w:r>
      <w:commentRangeStart w:id="12"/>
      <w:r>
        <w:rPr>
          <w:rFonts w:ascii="Traditional Arabic" w:hAnsi="Traditional Arabic"/>
          <w:color w:val="282828"/>
          <w:sz w:val="30"/>
          <w:highlight w:val="yellow"/>
        </w:rPr>
        <w:t xml:space="preserve">بستة أصوات مقابل صوت بأحقية أرملة في المعاش، وكان زواجها على أعراف جماعة الروما سنة 1971،</w:t>
      </w:r>
      <w:commentRangeEnd w:id="12"/>
      <w:r>
        <w:rPr>
          <w:rStyle w:val="CommentReference"/>
        </w:rPr>
        <w:commentReference w:id="12"/>
      </w:r>
      <w:r>
        <w:rPr>
          <w:rFonts w:ascii="Traditional Arabic" w:hAnsi="Traditional Arabic"/>
          <w:color w:val="282828"/>
          <w:sz w:val="30"/>
        </w:rPr>
        <w:t xml:space="preserve"> لوجود «توقع مشروع» نشأ عن اعتراف الدولة الضمني بأسرتها لسنوات، وهو ما يدل على أن التوثيق يظل الأصل الحاسم لقطع النزاع.</w:t>
      </w:r>
      <w:r>
        <w:rPr>
          <w:rFonts w:ascii="Traditional Arabic" w:hAnsi="Traditional Arabic"/>
          <w:color w:val="282828"/>
          <w:sz w:val="30"/>
        </w:rPr>
        <w:br/>
      </w:r>
      <w:r>
        <w:rPr>
          <w:rFonts w:ascii="Traditional Arabic" w:hAnsi="Traditional Arabic"/>
          <w:color w:val="282828"/>
          <w:sz w:val="30"/>
        </w:rPr>
        <w:br/>
        <w:t>3. سابقة المحكمة الفيدرالية العليا في البرازيل (RE 878.694 لعام 2017):</w:t>
      </w:r>
      <w:r>
        <w:rPr>
          <w:rFonts w:ascii="Traditional Arabic" w:hAnsi="Traditional Arabic"/>
          <w:color w:val="282828"/>
          <w:sz w:val="30"/>
        </w:rPr>
        <w:br/>
      </w:r>
      <w:commentRangeStart w:id="13"/>
      <w:r>
        <w:rPr>
          <w:rFonts w:ascii="Traditional Arabic" w:hAnsi="Traditional Arabic"/>
          <w:color w:val="282828"/>
          <w:sz w:val="30"/>
          <w:highlight w:val="yellow"/>
        </w:rPr>
        <w:t xml:space="preserve">قضت المحكمة العليا البرازيلية في 10 مايو 2017، بثمانية أصوات مقابل ثلاثة، بمساواة</w:t>
      </w:r>
      <w:commentRangeEnd w:id="13"/>
      <w:r>
        <w:rPr>
          <w:rStyle w:val="CommentReference"/>
        </w:rPr>
        <w:commentReference w:id="13"/>
      </w:r>
      <w:r>
        <w:rPr>
          <w:rFonts w:ascii="Traditional Arabic" w:hAnsi="Traditional Arabic"/>
          <w:color w:val="282828"/>
          <w:sz w:val="30"/>
        </w:rPr>
        <w:t xml:space="preserve"> </w:t>
      </w:r>
      <w:commentRangeStart w:id="0"/>
      <w:r>
        <w:rPr>
          <w:rFonts w:ascii="Traditional Arabic" w:hAnsi="Traditional Arabic"/>
          <w:color w:val="282828"/>
          <w:sz w:val="30"/>
          <w:highlight w:val="yellow"/>
        </w:rPr>
        <w:t xml:space="preserve">المتساكن</w:t>
      </w:r>
      <w:commentRangeEnd w:id="0"/>
      <w:r>
        <w:rPr>
          <w:rStyle w:val="CommentReference"/>
        </w:rPr>
        <w:commentReference w:id="0"/>
      </w:r>
      <w:r>
        <w:rPr>
          <w:rFonts w:ascii="Traditional Arabic" w:hAnsi="Traditional Arabic"/>
          <w:color w:val="282828"/>
          <w:sz w:val="30"/>
        </w:rPr>
        <w:t xml:space="preserve"> بالزوج في الميراث (Tema 809). ورغم جوار البرازيل للأرجنتين، </w:t>
      </w:r>
      <w:commentRangeStart w:id="14"/>
      <w:r>
        <w:rPr>
          <w:rFonts w:ascii="Traditional Arabic" w:hAnsi="Traditional Arabic"/>
          <w:color w:val="282828"/>
          <w:sz w:val="30"/>
          <w:highlight w:val="yellow"/>
        </w:rPr>
        <w:t xml:space="preserve">إلا أن هذا التوجه القضائي لا يظهر أنه انتقل إلى الأرجنتين</w:t>
      </w:r>
      <w:commentRangeEnd w:id="14"/>
      <w:r>
        <w:rPr>
          <w:rStyle w:val="CommentReference"/>
        </w:rPr>
        <w:commentReference w:id="14"/>
      </w:r>
      <w:r>
        <w:rPr>
          <w:rFonts w:ascii="Traditional Arabic" w:hAnsi="Traditional Arabic"/>
          <w:color w:val="282828"/>
          <w:sz w:val="30"/>
        </w:rPr>
        <w:t xml:space="preserve"> لصراحة نصوص القانون الأرجنتيني التي قصرت الإرث على الزوج المدني دون </w:t>
      </w:r>
      <w:r>
        <w:rPr>
          <w:rFonts w:ascii="Traditional Arabic" w:hAnsi="Traditional Arabic"/>
          <w:color w:val="282828"/>
          <w:sz w:val="30"/>
          <w:highlight w:val="yellow"/>
        </w:rPr>
        <w:t xml:space="preserve">المتساكن</w:t>
      </w:r>
      <w:r>
        <w:rPr>
          <w:rFonts w:ascii="Traditional Arabic" w:hAnsi="Traditional Arabic"/>
          <w:color w:val="282828"/>
          <w:sz w:val="30"/>
        </w:rPr>
        <w:t xml:space="preserve">.</w:t>
      </w:r>
    </w:p>
    <w:sectPr w:rsidR="002878CA" w:rsidRPr="009F31FB"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مراجعة)" w:initials="CL" w:date="2026-10-19T06:00:19Z">
    <w:p>
      <w:pPr>
        <w:pStyle w:val="CommentText"/>
      </w:pPr>
      <w:r>
        <w:rPr>
          <w:rStyle w:val="CommentReference"/>
        </w:rPr>
        <w:annotationRef/>
      </w:r>
      <w:r>
        <w:t>توحيد المصطلح على «المساكنة».</w:t>
      </w:r>
    </w:p>
  </w:comment>
  <w:comment w:id="1" w:author="Claude (مراجعة)" w:initials="CL" w:date="2026-10-19T06:00:19Z">
    <w:p>
      <w:pPr>
        <w:pStyle w:val="CommentText"/>
      </w:pPr>
      <w:r>
        <w:rPr>
          <w:rStyle w:val="CommentReference"/>
        </w:rPr>
        <w:annotationRef/>
      </w:r>
      <w:r>
        <w:t>نص 433-21 نقلته من Juritravail («Entrée en vigueur 2021-08-26»)، وهو مصدر ثانوي؛ تجب مطابقته على Légifrance. التقرير، ثامنًا ٦.</w:t>
      </w:r>
    </w:p>
  </w:comment>
  <w:comment w:id="2" w:author="Claude (مراجعة)" w:initials="CL" w:date="2026-10-19T06:00:19Z">
    <w:p>
      <w:pPr>
        <w:pStyle w:val="CommentText"/>
      </w:pPr>
      <w:r>
        <w:rPr>
          <w:rStyle w:val="CommentReference"/>
        </w:rPr>
        <w:annotationRef/>
      </w:r>
      <w:r>
        <w:t>نص المادة 642 منقول بواسطة دراسة Christians (UCLouvain)، ولم أقرأ الجريدة الرسمية. التقرير، ثامنًا ٦.</w:t>
      </w:r>
    </w:p>
  </w:comment>
  <w:comment w:id="3" w:author="Claude (مراجعة)" w:initials="CL" w:date="2026-10-19T06:00:19Z">
    <w:p>
      <w:pPr>
        <w:pStyle w:val="CommentText"/>
      </w:pPr>
      <w:r>
        <w:rPr>
          <w:rStyle w:val="CommentReference"/>
        </w:rPr>
        <w:annotationRef/>
      </w:r>
      <w:r>
        <w:t>العقوبة في المادة 136 من النص الأصلي على الموظف العام. والنص المحدَّث ومصير المادة 118 من القانون 2.393 لم يُتحقق منهما. التقرير، ثامنًا ٥.</w:t>
      </w:r>
    </w:p>
  </w:comment>
  <w:comment w:id="4" w:author="Claude (مراجعة)" w:initials="CL" w:date="2026-10-19T06:00:19Z">
    <w:p>
      <w:pPr>
        <w:pStyle w:val="CommentText"/>
      </w:pPr>
      <w:r>
        <w:rPr>
          <w:rStyle w:val="CommentReference"/>
        </w:rPr>
        <w:annotationRef/>
      </w:r>
      <w:r>
        <w:t>المادة 7 من الاتفاق الملحق بالقانون 26/1992 عُدّلت بالقانون 15/2015؛ والأثر المدني من وقت الانعقاد، والقيد شرط لكمال الاعتراف. النص المعدَّل لم أقرأه. التقرير، ثامنًا ٦.</w:t>
      </w:r>
    </w:p>
  </w:comment>
  <w:comment w:id="5" w:author="Claude (مراجعة)" w:initials="CL" w:date="2026-10-19T06:00:19Z">
    <w:p>
      <w:pPr>
        <w:pStyle w:val="CommentText"/>
      </w:pPr>
      <w:r>
        <w:rPr>
          <w:rStyle w:val="CommentReference"/>
        </w:rPr>
        <w:annotationRef/>
      </w:r>
      <w:r>
        <w:t>العقد في 13 ديسمبر 1998 والانفصال سنة 2016، بحسب حكم الاستئناف [2020] EWCA Civ 122. التقرير، ثامنًا ٦.</w:t>
      </w:r>
    </w:p>
  </w:comment>
  <w:comment w:id="6" w:author="Claude (مراجعة)" w:initials="CL" w:date="2026-10-19T06:00:19Z">
    <w:p>
      <w:pPr>
        <w:pStyle w:val="CommentText"/>
      </w:pPr>
      <w:r>
        <w:rPr>
          <w:rStyle w:val="CommentReference"/>
        </w:rPr>
        <w:annotationRef/>
      </w:r>
      <w:r>
        <w:t>تصويب الوقائع بحسب الحكم. التقرير، ثامنًا ٦.</w:t>
      </w:r>
    </w:p>
  </w:comment>
  <w:comment w:id="7" w:author="Claude (مراجعة)" w:initials="CL" w:date="2026-10-19T06:00:19Z">
    <w:p>
      <w:pPr>
        <w:pStyle w:val="CommentText"/>
      </w:pPr>
      <w:r>
        <w:rPr>
          <w:rStyle w:val="CommentReference"/>
        </w:rPr>
        <w:annotationRef/>
      </w:r>
      <w:r>
        <w:t>الحكم الأول قضى بالبطلان (void) لا بقابلية الإبطال. التقرير، ثامنًا ٦.</w:t>
      </w:r>
    </w:p>
  </w:comment>
  <w:comment w:id="8" w:author="Claude (مراجعة)" w:initials="CL" w:date="2026-10-19T06:00:19Z">
    <w:p>
      <w:pPr>
        <w:pStyle w:val="CommentText"/>
      </w:pPr>
      <w:r>
        <w:rPr>
          <w:rStyle w:val="CommentReference"/>
        </w:rPr>
        <w:annotationRef/>
      </w:r>
      <w:r>
        <w:t>الفقرتان [123] و[128]: «no marriage ceremony took place in respect of which a decree of nullity could be granted». والحكم مبني على وقائعه فلا يُعمَّم. التقرير، ثامنًا ٦.</w:t>
      </w:r>
    </w:p>
  </w:comment>
  <w:comment w:id="9" w:author="Claude (مراجعة)" w:initials="CL" w:date="2026-10-19T06:00:19Z">
    <w:p>
      <w:pPr>
        <w:pStyle w:val="CommentText"/>
      </w:pPr>
      <w:r>
        <w:rPr>
          <w:rStyle w:val="CommentReference"/>
        </w:rPr>
        <w:annotationRef/>
      </w:r>
      <w:r>
        <w:t>Şerife Yiğit v. Turkey [GC], no. 3976/05, 2 November 2010. التقرير، ثامنًا ٦.</w:t>
      </w:r>
    </w:p>
  </w:comment>
  <w:comment w:id="10" w:author="Claude (مراجعة)" w:initials="CL" w:date="2026-10-19T06:00:19Z">
    <w:p>
      <w:pPr>
        <w:pStyle w:val="CommentText"/>
      </w:pPr>
      <w:r>
        <w:rPr>
          <w:rStyle w:val="CommentReference"/>
        </w:rPr>
        <w:annotationRef/>
      </w:r>
      <w:r>
        <w:t>بحسب وقائع الحكم.</w:t>
      </w:r>
    </w:p>
  </w:comment>
  <w:comment w:id="11" w:author="Claude (مراجعة)" w:initials="CL" w:date="2026-10-19T06:00:19Z">
    <w:p>
      <w:pPr>
        <w:pStyle w:val="CommentText"/>
      </w:pPr>
      <w:r>
        <w:rPr>
          <w:rStyle w:val="CommentReference"/>
        </w:rPr>
        <w:annotationRef/>
      </w:r>
      <w:r>
        <w:t>الحكم صدر بالإجماع. التقرير، ثامنًا ٦.</w:t>
      </w:r>
    </w:p>
  </w:comment>
  <w:comment w:id="12" w:author="Claude (مراجعة)" w:initials="CL" w:date="2026-10-19T06:00:19Z">
    <w:p>
      <w:pPr>
        <w:pStyle w:val="CommentText"/>
      </w:pPr>
      <w:r>
        <w:rPr>
          <w:rStyle w:val="CommentReference"/>
        </w:rPr>
        <w:annotationRef/>
      </w:r>
      <w:r>
        <w:t>Muñoz Díaz v. Spain, no. 49151/07, 8 December 2009, § 8؛ وقضت لها بسبعين ألف يورو. والزواج عرفي لجماعة الروما لا ديني، وهذا يحدّ من القياس عليه. التقرير، ثامنًا ٦.</w:t>
      </w:r>
    </w:p>
  </w:comment>
  <w:comment w:id="13" w:author="Claude (مراجعة)" w:initials="CL" w:date="2026-10-19T06:00:19Z">
    <w:p>
      <w:pPr>
        <w:pStyle w:val="CommentText"/>
      </w:pPr>
      <w:r>
        <w:rPr>
          <w:rStyle w:val="CommentReference"/>
        </w:rPr>
        <w:annotationRef/>
      </w:r>
      <w:r>
        <w:t>المقرر Barroso؛ والمصدر Migalhas، وهو ثانوي، ويُستحسن نقل المبدأ من بوابة المحكمة. التقرير، ثامنًا ٦.</w:t>
      </w:r>
    </w:p>
  </w:comment>
  <w:comment w:id="14" w:author="Claude (مراجعة)" w:initials="CL" w:date="2026-10-19T06:00:19Z">
    <w:p>
      <w:pPr>
        <w:pStyle w:val="CommentText"/>
      </w:pPr>
      <w:r>
        <w:rPr>
          <w:rStyle w:val="CommentReference"/>
        </w:rPr>
        <w:annotationRef/>
      </w:r>
      <w:r>
        <w:t>العبارة استنتاج من البحث، فتُصاغ بلفظ الاستنتاج. التقرير، ثامنًا ٦.</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50172" w14:textId="77777777" w:rsidR="002A3DDE" w:rsidRDefault="002A3DDE">
      <w:pPr>
        <w:spacing w:after="0" w:line="240" w:lineRule="auto"/>
      </w:pPr>
      <w:r>
        <w:separator/>
      </w:r>
    </w:p>
  </w:endnote>
  <w:endnote w:type="continuationSeparator" w:id="0">
    <w:p w14:paraId="48D4E4C3" w14:textId="77777777" w:rsidR="002A3DDE" w:rsidRDefault="002A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090CA" w14:textId="77777777" w:rsidR="009F31FB" w:rsidRDefault="009F31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3419F" w14:textId="5D24DD5B" w:rsidR="009F31FB" w:rsidRDefault="009F31FB">
    <w:pPr>
      <w:pStyle w:val="a6"/>
      <w:jc w:val="center"/>
      <w:rPr>
        <w:sz w:val="24"/>
        <w:szCs w:val="24"/>
      </w:rPr>
    </w:pPr>
    <w:r>
      <w:rPr>
        <w:rFonts w:ascii="Traditional Arabic" w:hAnsi="Traditional Arabic" w:cs="Traditional Arabic" w:hint="cs"/>
        <w:color w:val="787878"/>
        <w:sz w:val="20"/>
        <w:szCs w:val="20"/>
      </w:rPr>
      <w:t xml:space="preserve">- </w:t>
    </w:r>
    <w:r>
      <w:fldChar w:fldCharType="begin"/>
    </w:r>
    <w:r>
      <w:instrText>PAGE</w:instrText>
    </w:r>
    <w:r>
      <w:fldChar w:fldCharType="separate"/>
    </w:r>
    <w:r>
      <w:rPr>
        <w:noProof/>
      </w:rPr>
      <w:t>1</w:t>
    </w:r>
    <w:r>
      <w:fldChar w:fldCharType="end"/>
    </w:r>
    <w:r>
      <w:rPr>
        <w:rFonts w:ascii="Traditional Arabic" w:hAnsi="Traditional Arabic" w:cs="Traditional Arabic" w:hint="cs"/>
        <w:color w:val="787878"/>
        <w:sz w:val="20"/>
        <w:szCs w:val="20"/>
      </w:rPr>
      <w:t xml:space="preserve"> -</w:t>
    </w:r>
  </w:p>
  <w:p w14:paraId="02E62C7B" w14:textId="19F958B1" w:rsidR="002878CA" w:rsidRDefault="009F31FB">
    <w:pPr>
      <w:pStyle w:val="a6"/>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25F" w14:textId="77777777" w:rsidR="009F31FB" w:rsidRDefault="009F31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791A8" w14:textId="77777777" w:rsidR="002A3DDE" w:rsidRDefault="002A3DDE">
      <w:pPr>
        <w:spacing w:after="0" w:line="240" w:lineRule="auto"/>
      </w:pPr>
      <w:r>
        <w:separator/>
      </w:r>
    </w:p>
  </w:footnote>
  <w:footnote w:type="continuationSeparator" w:id="0">
    <w:p w14:paraId="4DCC7B9C" w14:textId="77777777" w:rsidR="002A3DDE" w:rsidRDefault="002A3DDE">
      <w:pPr>
        <w:spacing w:after="0" w:line="240" w:lineRule="auto"/>
      </w:pPr>
      <w:r>
        <w:continuationSeparator/>
      </w:r>
    </w:p>
  </w:footnote>
  <w:footnote w:id="1">
    <w:p>
      <w:pPr>
        <w:bidi/>
      </w:pPr>
      <w:r>
        <w:rPr>
          <w:vertAlign w:val="superscript"/>
        </w:rPr>
        <w:footnoteRef/>
      </w:r>
      <w:r>
        <w:rPr>
          <w:rFonts w:ascii="Traditional Arabic" w:hAnsi="Traditional Arabic" w:cs="Traditional Arabic"/>
          <w:rtl/>
          <w:sz w:val="24"/>
          <w:szCs w:val="24"/>
        </w:rPr>
        <w:t xml:space="preserve"> العتيبي، فيصل بن عبد الله، عقد الزواج غير الموثق رسمياً وأحكامه في الفقه الإسلامي، رسالة ماجستير غير منشورة، كلية الشريعة، جامعة أم القرى، 2014.</w:t>
      </w:r>
    </w:p>
  </w:footnote>
  <w:footnote w:id="2">
    <w:p>
      <w:pPr>
        <w:bidi/>
      </w:pPr>
      <w:r>
        <w:rPr>
          <w:vertAlign w:val="superscript"/>
        </w:rPr>
        <w:footnoteRef/>
      </w:r>
      <w:r>
        <w:rPr>
          <w:rFonts w:ascii="Traditional Arabic" w:hAnsi="Traditional Arabic" w:cs="Traditional Arabic"/>
          <w:rtl/>
          <w:sz w:val="24"/>
          <w:szCs w:val="24"/>
        </w:rPr>
        <w:t xml:space="preserve"> الزحيلي، وهبة بن مصطفى، الفقه الإسلامي وأدلته، ط4، دار الفكر، 2002.</w:t>
      </w:r>
    </w:p>
  </w:footnote>
  <w:footnote w:id="3">
    <w:p>
      <w:pPr>
        <w:bidi/>
      </w:pPr>
      <w:r>
        <w:rPr>
          <w:vertAlign w:val="superscript"/>
        </w:rPr>
        <w:footnoteRef/>
      </w:r>
      <w:r>
        <w:rPr>
          <w:rFonts w:ascii="Traditional Arabic" w:hAnsi="Traditional Arabic" w:cs="Traditional Arabic"/>
          <w:rtl/>
          <w:sz w:val="24"/>
          <w:szCs w:val="24"/>
        </w:rPr>
        <w:t xml:space="preserve"> Ferguson, L. (2018). Unregistered Muslim marriages in the UK: Examining the intersections of religion, law and gender. Oxford Journal of Law and Religion, 7(2), 273–296.</w:t>
      </w:r>
    </w:p>
  </w:footnote>
  <w:footnote w:id="4">
    <w:p>
      <w:pPr>
        <w:bidi/>
      </w:pPr>
      <w:r>
        <w:rPr>
          <w:vertAlign w:val="superscript"/>
        </w:rPr>
        <w:footnoteRef/>
      </w:r>
      <w:r>
        <w:rPr>
          <w:rFonts w:ascii="Traditional Arabic" w:hAnsi="Traditional Arabic" w:cs="Traditional Arabic"/>
          <w:rtl/>
          <w:sz w:val="24"/>
          <w:szCs w:val="24"/>
        </w:rPr>
        <w:t xml:space="preserve"> Bano, S. (2017). Modern family law and religious legal traditions: Unregistered Muslim marriages in England and Wales. Journal of Social Welfare and Family Law, 39(4), 488–505.</w:t>
      </w:r>
    </w:p>
  </w:footnote>
  <w:footnote w:id="5">
    <w:p>
      <w:pPr>
        <w:bidi/>
      </w:pPr>
      <w:r>
        <w:rPr>
          <w:vertAlign w:val="superscript"/>
        </w:rPr>
        <w:footnoteRef/>
      </w:r>
      <w:r>
        <w:rPr>
          <w:rFonts w:ascii="Traditional Arabic" w:hAnsi="Traditional Arabic" w:cs="Traditional Arabic"/>
          <w:rtl/>
          <w:sz w:val="24"/>
          <w:szCs w:val="24"/>
        </w:rPr>
        <w:t xml:space="preserve"> Farfán, M. E., &amp; Medina, G. (2018). Las uniones convivenciales en el nuevo Código Civil y Comercial de la Nación. Revista La Ley, 2018(3), 112–129.</w:t>
      </w:r>
    </w:p>
  </w:footnote>
  <w:footnote w:id="6">
    <w:p>
      <w:pPr>
        <w:bidi/>
      </w:pPr>
      <w:r>
        <w:rPr>
          <w:vertAlign w:val="superscript"/>
        </w:rPr>
        <w:footnoteRef/>
      </w:r>
      <w:r>
        <w:rPr>
          <w:rFonts w:ascii="Traditional Arabic" w:hAnsi="Traditional Arabic" w:cs="Traditional Arabic"/>
          <w:rtl/>
          <w:sz w:val="24"/>
          <w:szCs w:val="24"/>
        </w:rPr>
        <w:t xml:space="preserve"> Herrera, M. (2016). Manual de derecho de las familias (2da ed.). Abeledo Perrot.</w:t>
      </w:r>
    </w:p>
  </w:footnote>
  <w:footnote w:id="7">
    <w:p>
      <w:pPr>
        <w:bidi/>
      </w:pPr>
      <w:r>
        <w:rPr>
          <w:vertAlign w:val="superscript"/>
        </w:rPr>
        <w:footnoteRef/>
      </w:r>
      <w:r>
        <w:rPr>
          <w:rFonts w:ascii="Traditional Arabic" w:hAnsi="Traditional Arabic" w:cs="Traditional Arabic"/>
          <w:rtl/>
          <w:sz w:val="24"/>
          <w:szCs w:val="24"/>
        </w:rPr>
        <w:t xml:space="preserve"> ابن قدامة، المغني، 7/6؛ الكاساني، بدائع الصنائع، 2/332.</w:t>
      </w:r>
    </w:p>
  </w:footnote>
  <w:footnote w:id="8">
    <w:p>
      <w:pPr>
        <w:bidi/>
      </w:pPr>
      <w:r>
        <w:rPr>
          <w:vertAlign w:val="superscript"/>
        </w:rPr>
        <w:footnoteRef/>
      </w:r>
      <w:r>
        <w:rPr>
          <w:rFonts w:ascii="Traditional Arabic" w:hAnsi="Traditional Arabic" w:cs="Traditional Arabic"/>
          <w:rtl/>
          <w:sz w:val="24"/>
          <w:szCs w:val="24"/>
        </w:rPr>
        <w:t xml:space="preserve"> الشاطبي، الموافقات، 2/393.</w:t>
      </w:r>
    </w:p>
  </w:footnote>
  <w:footnote w:id="9">
    <w:p>
      <w:pPr>
        <w:bidi/>
      </w:pPr>
      <w:r>
        <w:rPr>
          <w:vertAlign w:val="superscript"/>
        </w:rPr>
        <w:footnoteRef/>
      </w:r>
      <w:r>
        <w:rPr>
          <w:rFonts w:ascii="Traditional Arabic" w:hAnsi="Traditional Arabic" w:cs="Traditional Arabic"/>
          <w:rtl/>
          <w:sz w:val="24"/>
          <w:szCs w:val="24"/>
        </w:rPr>
        <w:t xml:space="preserve"> ابن القيم، إعلام الموقعين عن رب العالمين، 3/11.</w:t>
      </w:r>
    </w:p>
  </w:footnote>
  <w:footnote w:id="10">
    <w:p>
      <w:pPr>
        <w:bidi/>
      </w:pPr>
      <w:r>
        <w:rPr>
          <w:vertAlign w:val="superscript"/>
        </w:rPr>
        <w:footnoteRef/>
      </w:r>
      <w:r>
        <w:rPr>
          <w:rFonts w:ascii="Traditional Arabic" w:hAnsi="Traditional Arabic" w:cs="Traditional Arabic"/>
          <w:rtl/>
          <w:sz w:val="24"/>
          <w:szCs w:val="24"/>
        </w:rPr>
        <w:t xml:space="preserve"> القرافي، الفروق، 1/176.</w:t>
      </w:r>
    </w:p>
  </w:footnote>
  <w:footnote w:id="11">
    <w:p>
      <w:pPr>
        <w:bidi/>
      </w:pPr>
      <w:r>
        <w:rPr>
          <w:vertAlign w:val="superscript"/>
        </w:rPr>
        <w:footnoteRef/>
      </w:r>
      <w:r>
        <w:rPr>
          <w:rFonts w:ascii="Traditional Arabic" w:hAnsi="Traditional Arabic" w:cs="Traditional Arabic"/>
          <w:rtl/>
          <w:sz w:val="24"/>
          <w:szCs w:val="24"/>
        </w:rPr>
        <w:t xml:space="preserve"> ابن عابدين، نشر العرف في بناء بعض الأحكام على العرف (ضمن مجموع رسائل ابن عابدين)، 2/125.</w:t>
      </w:r>
    </w:p>
  </w:footnote>
  <w:footnote w:id="12">
    <w:p>
      <w:pPr>
        <w:bidi/>
      </w:pPr>
      <w:r>
        <w:rPr>
          <w:vertAlign w:val="superscript"/>
        </w:rPr>
        <w:footnoteRef/>
      </w:r>
      <w:r>
        <w:rPr>
          <w:rFonts w:ascii="Traditional Arabic" w:hAnsi="Traditional Arabic" w:cs="Traditional Arabic"/>
          <w:rtl/>
          <w:sz w:val="24"/>
          <w:szCs w:val="24"/>
        </w:rPr>
        <w:t xml:space="preserve"> مجلة الأحكام العدلية، المادة 39.</w:t>
      </w:r>
    </w:p>
  </w:footnote>
  <w:footnote w:id="13">
    <w:p>
      <w:pPr>
        <w:bidi/>
      </w:pPr>
      <w:r>
        <w:rPr>
          <w:vertAlign w:val="superscript"/>
        </w:rPr>
        <w:footnoteRef/>
      </w:r>
      <w:r>
        <w:rPr>
          <w:rFonts w:ascii="Traditional Arabic" w:hAnsi="Traditional Arabic" w:cs="Traditional Arabic"/>
          <w:rtl/>
          <w:sz w:val="24"/>
          <w:szCs w:val="24"/>
        </w:rPr>
        <w:t xml:space="preserve"> الغزالي، المستصفى، </w:t>
      </w:r>
      <w:r>
        <w:rPr>
          <w:rFonts w:ascii="Traditional Arabic" w:hAnsi="Traditional Arabic" w:cs="Traditional Arabic"/>
          <w:highlight w:val="yellow"/>
          <w:rtl/>
          <w:sz w:val="24"/>
          <w:szCs w:val="24"/>
        </w:rPr>
        <w:t xml:space="preserve">ص57</w:t>
      </w:r>
      <w:r>
        <w:rPr>
          <w:rFonts w:ascii="Traditional Arabic" w:hAnsi="Traditional Arabic" w:cs="Traditional Arabic"/>
          <w:rtl/>
          <w:sz w:val="24"/>
          <w:szCs w:val="24"/>
        </w:rPr>
        <w:t xml:space="preserve">.</w:t>
      </w:r>
    </w:p>
  </w:footnote>
  <w:footnote w:id="14">
    <w:p>
      <w:pPr>
        <w:bidi/>
      </w:pPr>
      <w:r>
        <w:rPr>
          <w:vertAlign w:val="superscript"/>
        </w:rPr>
        <w:footnoteRef/>
      </w:r>
      <w:r>
        <w:rPr>
          <w:rFonts w:ascii="Traditional Arabic" w:hAnsi="Traditional Arabic" w:cs="Traditional Arabic"/>
          <w:rtl/>
          <w:sz w:val="24"/>
          <w:szCs w:val="24"/>
        </w:rPr>
        <w:t xml:space="preserve"> الشاطبي، الموافقات، </w:t>
      </w:r>
      <w:r>
        <w:rPr>
          <w:rFonts w:ascii="Traditional Arabic" w:hAnsi="Traditional Arabic" w:cs="Traditional Arabic"/>
          <w:highlight w:val="yellow"/>
          <w:rtl/>
          <w:sz w:val="24"/>
          <w:szCs w:val="24"/>
        </w:rPr>
        <w:t xml:space="preserve">5/177</w:t>
      </w:r>
      <w:r>
        <w:rPr>
          <w:rFonts w:ascii="Traditional Arabic" w:hAnsi="Traditional Arabic" w:cs="Traditional Arabic"/>
          <w:rtl/>
          <w:sz w:val="24"/>
          <w:szCs w:val="24"/>
        </w:rPr>
        <w:t xml:space="preserve">.</w:t>
      </w:r>
    </w:p>
  </w:footnote>
  <w:footnote w:id="15">
    <w:p>
      <w:pPr>
        <w:bidi/>
      </w:pPr>
      <w:r>
        <w:rPr>
          <w:vertAlign w:val="superscript"/>
        </w:rPr>
        <w:footnoteRef/>
      </w:r>
      <w:r>
        <w:rPr>
          <w:rFonts w:ascii="Traditional Arabic" w:hAnsi="Traditional Arabic" w:cs="Traditional Arabic"/>
          <w:rtl/>
          <w:sz w:val="24"/>
          <w:szCs w:val="24"/>
        </w:rPr>
        <w:t xml:space="preserve"> الكاساني، بدائع الصنائع، 4/210؛ البهوتي، كشاف القناع، 4/25.</w:t>
      </w:r>
    </w:p>
  </w:footnote>
  <w:footnote w:id="16">
    <w:p>
      <w:pPr>
        <w:bidi/>
      </w:pPr>
      <w:r>
        <w:rPr>
          <w:vertAlign w:val="superscript"/>
        </w:rPr>
        <w:footnoteRef/>
      </w:r>
      <w:r>
        <w:rPr>
          <w:rFonts w:ascii="Traditional Arabic" w:hAnsi="Traditional Arabic" w:cs="Traditional Arabic"/>
          <w:rtl/>
          <w:sz w:val="24"/>
          <w:szCs w:val="24"/>
        </w:rPr>
        <w:t xml:space="preserve"> ابن فرحون، تبصرة الحكام، 1/195.</w:t>
      </w:r>
    </w:p>
  </w:footnote>
  <w:footnote w:id="17">
    <w:p>
      <w:pPr>
        <w:bidi/>
      </w:pPr>
      <w:r>
        <w:rPr>
          <w:vertAlign w:val="superscript"/>
        </w:rPr>
        <w:footnoteRef/>
      </w:r>
      <w:r>
        <w:rPr>
          <w:rFonts w:ascii="Traditional Arabic" w:hAnsi="Traditional Arabic" w:cs="Traditional Arabic"/>
          <w:rtl/>
          <w:sz w:val="24"/>
          <w:szCs w:val="24"/>
        </w:rPr>
        <w:t xml:space="preserve"> ابن القيم، الطرق الحكمية، ص89.</w:t>
      </w:r>
    </w:p>
  </w:footnote>
  <w:footnote w:id="18">
    <w:p>
      <w:pPr>
        <w:bidi/>
      </w:pPr>
      <w:r>
        <w:rPr>
          <w:vertAlign w:val="superscript"/>
        </w:rPr>
        <w:footnoteRef/>
      </w:r>
      <w:r>
        <w:rPr>
          <w:rFonts w:ascii="Traditional Arabic" w:hAnsi="Traditional Arabic" w:cs="Traditional Arabic"/>
          <w:rtl/>
          <w:sz w:val="24"/>
          <w:szCs w:val="24"/>
        </w:rPr>
        <w:t xml:space="preserve"> ابن القيم، الطرق الحكمية، ص14.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870BB" w14:textId="77777777" w:rsidR="009F31FB" w:rsidRDefault="009F31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C1F5A" w14:textId="77777777" w:rsidR="009F31FB" w:rsidRDefault="009F31FB">
    <w:pPr>
      <w:pStyle w:val="a5"/>
      <w:bidi/>
      <w:jc w:val="center"/>
      <w:rPr>
        <w:sz w:val="24"/>
        <w:szCs w:val="24"/>
      </w:rPr>
    </w:pPr>
    <w:r>
      <w:rPr>
        <w:rFonts w:ascii="Traditional Arabic" w:hAnsi="Traditional Arabic" w:cs="Traditional Arabic" w:hint="cs"/>
        <w:color w:val="787878"/>
        <w:sz w:val="20"/>
        <w:szCs w:val="20"/>
        <w:rtl/>
      </w:rPr>
      <w:t>المؤتمر الدولي السادس للدراسات الإسلامية المعاصرة والقضايا المستجدة (</w:t>
    </w:r>
    <w:r>
      <w:rPr>
        <w:rFonts w:ascii="Traditional Arabic" w:hAnsi="Traditional Arabic" w:cs="Traditional Arabic" w:hint="cs"/>
        <w:color w:val="787878"/>
        <w:sz w:val="20"/>
        <w:szCs w:val="20"/>
      </w:rPr>
      <w:t>ICCISEI 2026</w:t>
    </w:r>
    <w:r>
      <w:rPr>
        <w:rFonts w:ascii="Traditional Arabic" w:hAnsi="Traditional Arabic" w:cs="Traditional Arabic" w:hint="cs"/>
        <w:color w:val="787878"/>
        <w:sz w:val="20"/>
        <w:szCs w:val="20"/>
        <w:rtl/>
      </w:rPr>
      <w:t>)</w:t>
    </w:r>
    <w:r>
      <w:rPr>
        <w:rFonts w:ascii="Traditional Arabic" w:hAnsi="Traditional Arabic" w:cs="Traditional Arabic" w:hint="cs"/>
        <w:color w:val="787878"/>
        <w:sz w:val="20"/>
        <w:szCs w:val="20"/>
        <w:rtl/>
      </w:rPr>
      <w:br/>
      <w:t>جامعة المدينة العالمية</w:t>
    </w:r>
  </w:p>
  <w:p w14:paraId="7EA87493" w14:textId="5DCB94BD" w:rsidR="002878CA" w:rsidRDefault="009F31FB">
    <w:pPr>
      <w:pStyle w:val="a5"/>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6CC58" w14:textId="77777777" w:rsidR="009F31FB" w:rsidRDefault="009F3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492259">
    <w:abstractNumId w:val="8"/>
  </w:num>
  <w:num w:numId="2" w16cid:durableId="195318873">
    <w:abstractNumId w:val="6"/>
  </w:num>
  <w:num w:numId="3" w16cid:durableId="512378246">
    <w:abstractNumId w:val="5"/>
  </w:num>
  <w:num w:numId="4" w16cid:durableId="1150362364">
    <w:abstractNumId w:val="4"/>
  </w:num>
  <w:num w:numId="5" w16cid:durableId="811486131">
    <w:abstractNumId w:val="7"/>
  </w:num>
  <w:num w:numId="6" w16cid:durableId="1947151548">
    <w:abstractNumId w:val="3"/>
  </w:num>
  <w:num w:numId="7" w16cid:durableId="1248416341">
    <w:abstractNumId w:val="2"/>
  </w:num>
  <w:num w:numId="8" w16cid:durableId="249511441">
    <w:abstractNumId w:val="1"/>
  </w:num>
  <w:num w:numId="9" w16cid:durableId="86980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8CA"/>
    <w:rsid w:val="0029639D"/>
    <w:rsid w:val="002A3DDE"/>
    <w:rsid w:val="00326F90"/>
    <w:rsid w:val="00965695"/>
    <w:rsid w:val="009F31FB"/>
    <w:rsid w:val="00AA1D8D"/>
    <w:rsid w:val="00AA2A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1D14A"/>
  <w14:defaultImageDpi w14:val="300"/>
  <w15:docId w15:val="{A13FDB58-DDE5-5547-85FD-C7EF48FA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F31F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FF1A43-F2EB-464D-9A05-0003D1062D5C}">
  <we:reference id="wa200010453" version="1.0.0.1" store="en-US" storeType="OMEX"/>
  <we:alternateReferences>
    <we:reference id="WA200010453" version="1.0.0.1" store="" storeType="OMEX"/>
  </we:alternateReferences>
  <we:properties>
    <we:property name="claude.fileId" value="&quot;5a316aa2-f31b-4833-9aff-c06459a717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5135</Words>
  <Characters>27785</Characters>
  <Application>Microsoft Office Word</Application>
  <DocSecurity>0</DocSecurity>
  <Lines>448</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مركز الملك فهد الثقافي الإسلامي في جمهورية الأرجنتين</cp:lastModifiedBy>
  <cp:revision>2</cp:revision>
  <dcterms:created xsi:type="dcterms:W3CDTF">2013-12-23T23:15:00Z</dcterms:created>
  <dcterms:modified xsi:type="dcterms:W3CDTF">2026-10-13T00:37:00Z</dcterms:modified>
  <cp:category/>
</cp:coreProperties>
</file>