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490B77" w14:textId="77777777" w:rsidR="002878CA" w:rsidRDefault="00000000" w:rsidP="00965695">
      <w:pPr>
        <w:keepNext/>
        <w:bidi/>
        <w:spacing w:before="360" w:after="160"/>
      </w:pPr>
      <w:r>
        <w:rPr>
          <w:rFonts w:ascii="Traditional Arabic" w:hAnsi="Traditional Arabic"/>
          <w:b/>
          <w:color w:val="0D5C3A"/>
          <w:sz w:val="36"/>
        </w:rPr>
        <w:t>المبحث الرابع: سبل الوقاية ودور المراكز والأئمة والقرائن الرقمية في السياسة الشرعية</w:t>
      </w:r>
    </w:p>
    <w:p w14:paraId="4F499664" w14:textId="77777777" w:rsidR="002878CA" w:rsidRDefault="00000000" w:rsidP="00965695">
      <w:pPr>
        <w:keepNext/>
        <w:bidi/>
        <w:spacing w:before="280" w:after="120"/>
      </w:pPr>
      <w:r>
        <w:rPr>
          <w:rFonts w:ascii="Traditional Arabic" w:hAnsi="Traditional Arabic"/>
          <w:b/>
          <w:color w:val="143250"/>
          <w:sz w:val="32"/>
        </w:rPr>
        <w:t>المطلب الأول: التدابير التعاقدية الوقائية في ضوء القانون الأرجنتيني</w:t>
      </w:r>
    </w:p>
    <w:p w14:paraId="551B6314" w14:textId="77777777" w:rsidR="002878CA" w:rsidRDefault="00000000" w:rsidP="00965695">
      <w:pPr>
        <w:bidi/>
        <w:spacing w:after="120"/>
      </w:pPr>
      <w:r>
        <w:rPr>
          <w:rFonts w:ascii="Traditional Arabic" w:hAnsi="Traditional Arabic"/>
          <w:color w:val="282828"/>
          <w:sz w:val="30"/>
        </w:rPr>
        <w:t>انطلاقاً من قواعد السياسة الشرعية ورعاية المصالح، يقترح البحث منظومة من التدابير الوقائية التي تخفف من آثار عدم التوثيق وتصون الحقوق:</w:t>
      </w:r>
      <w:r>
        <w:rPr>
          <w:rFonts w:ascii="Traditional Arabic" w:hAnsi="Traditional Arabic"/>
          <w:color w:val="282828"/>
          <w:sz w:val="30"/>
        </w:rPr>
        <w:br/>
      </w:r>
      <w:commentRangeStart w:id="0"/>
      <w:r>
        <w:rPr>
          <w:rFonts w:ascii="Traditional Arabic" w:hAnsi="Traditional Arabic"/>
          <w:color w:val="282828"/>
          <w:sz w:val="30"/>
        </w:rPr>
        <w:br/>
        <w:t>1. الأصل الملزم: تقديم وثيقة الزواج المدني:</w:t>
      </w:r>
      <w:commentRangeEnd w:id="0"/>
      <w:r>
        <w:rPr>
          <w:rStyle w:val="CommentReference"/>
        </w:rPr>
        <w:commentReference w:id="0"/>
      </w:r>
      <w:r>
        <w:rPr>
          <w:rFonts w:ascii="Traditional Arabic" w:hAnsi="Traditional Arabic"/>
          <w:color w:val="282828"/>
          <w:sz w:val="30"/>
        </w:rPr>
        <w:br/>
        <w:t xml:space="preserve">وهو الواجب الأكمل والأحوط الذي ينبغي اعتماده في المراكز الإسلامية؛ بحيث لا يُعقد النكاح الشرعي إلا بعد إبراز </w:t>
      </w:r>
      <w:r>
        <w:rPr>
          <w:rFonts w:ascii="Traditional Arabic" w:hAnsi="Traditional Arabic"/>
          <w:color w:val="282828"/>
          <w:sz w:val="30"/>
        </w:rPr>
        <w:lastRenderedPageBreak/>
        <w:t>صك الزواج المدني الصادر من السجل الرسمي، ليكون العقد الديني مستكملاً لشروطه الشرعية ومستنداً للحماية القانونية.</w:t>
      </w:r>
      <w:r>
        <w:rPr>
          <w:rFonts w:ascii="Traditional Arabic" w:hAnsi="Traditional Arabic"/>
          <w:color w:val="282828"/>
          <w:sz w:val="30"/>
        </w:rPr>
        <w:br/>
      </w:r>
      <w:r>
        <w:rPr>
          <w:rFonts w:ascii="Traditional Arabic" w:hAnsi="Traditional Arabic"/>
          <w:color w:val="282828"/>
          <w:sz w:val="30"/>
        </w:rPr>
        <w:br/>
        <w:t xml:space="preserve">2. </w:t>
      </w:r>
      <w:commentRangeStart w:id="1"/>
      <w:r>
        <w:rPr>
          <w:rFonts w:ascii="Traditional Arabic" w:hAnsi="Traditional Arabic"/>
          <w:color w:val="282828"/>
          <w:sz w:val="30"/>
          <w:highlight w:val="yellow"/>
        </w:rPr>
        <w:t xml:space="preserve">اتفاقات المساكنة المكتوبة (Pactos de convivencia)</w:t>
      </w:r>
      <w:commentRangeEnd w:id="1"/>
      <w:r>
        <w:rPr>
          <w:rStyle w:val="CommentReference"/>
        </w:rPr>
        <w:commentReference w:id="1"/>
      </w:r>
      <w:r>
        <w:rPr>
          <w:rFonts w:ascii="Traditional Arabic" w:hAnsi="Traditional Arabic"/>
          <w:color w:val="282828"/>
          <w:sz w:val="30"/>
        </w:rPr>
        <w:t xml:space="preserve"> كحل مرحلي:</w:t>
      </w:r>
      <w:r>
        <w:rPr>
          <w:rFonts w:ascii="Traditional Arabic" w:hAnsi="Traditional Arabic"/>
          <w:color w:val="282828"/>
          <w:sz w:val="30"/>
        </w:rPr>
        <w:br/>
        <w:t xml:space="preserve">تتيح المواد (513 إلى 515) من القانون الأرجنتيني </w:t>
      </w:r>
      <w:commentRangeStart w:id="2"/>
      <w:r>
        <w:rPr>
          <w:rFonts w:ascii="Traditional Arabic" w:hAnsi="Traditional Arabic"/>
          <w:color w:val="282828"/>
          <w:sz w:val="30"/>
          <w:highlight w:val="yellow"/>
        </w:rPr>
        <w:t xml:space="preserve">للمتساكنين</w:t>
      </w:r>
      <w:commentRangeEnd w:id="2"/>
      <w:r>
        <w:rPr>
          <w:rStyle w:val="CommentReference"/>
        </w:rPr>
        <w:commentReference w:id="2"/>
      </w:r>
      <w:r>
        <w:rPr>
          <w:rFonts w:ascii="Traditional Arabic" w:hAnsi="Traditional Arabic"/>
          <w:color w:val="282828"/>
          <w:sz w:val="30"/>
        </w:rPr>
        <w:t xml:space="preserve"> </w:t>
      </w:r>
      <w:commentRangeStart w:id="3"/>
      <w:r>
        <w:rPr>
          <w:rFonts w:ascii="Traditional Arabic" w:hAnsi="Traditional Arabic"/>
          <w:color w:val="282828"/>
          <w:sz w:val="30"/>
          <w:highlight w:val="yellow"/>
        </w:rPr>
        <w:t xml:space="preserve">إبرام اتفاقات مكتوبة (المادة 513)، يجوز تحريرها لدى كاتب العدل (Escribano público) للإثبات، وتُقيَّد في سجل المساكنة لتكون حجة على الغير (المادتان 511 و517)،</w:t>
      </w:r>
      <w:commentRangeEnd w:id="3"/>
      <w:r>
        <w:rPr>
          <w:rStyle w:val="CommentReference"/>
        </w:rPr>
        <w:commentReference w:id="3"/>
      </w:r>
      <w:r>
        <w:rPr>
          <w:rFonts w:ascii="Traditional Arabic" w:hAnsi="Traditional Arabic"/>
          <w:color w:val="282828"/>
          <w:sz w:val="30"/>
        </w:rPr>
        <w:t xml:space="preserve"> لتنظيم المساهمة في نفقات الأسرة، وتوزيع الأموال، ومصير السكن. فيمكن للمراكز صياغة ميثاق موثق يضمن التزامات الزوج المالية لمن تعذر عليه التسجيل المدني لمانع مؤقت.</w:t>
      </w:r>
      <w:r>
        <w:rPr>
          <w:rFonts w:ascii="Traditional Arabic" w:hAnsi="Traditional Arabic"/>
          <w:color w:val="282828"/>
          <w:sz w:val="30"/>
        </w:rPr>
        <w:br/>
      </w:r>
      <w:r>
        <w:rPr>
          <w:rFonts w:ascii="Traditional Arabic" w:hAnsi="Traditional Arabic"/>
          <w:color w:val="282828"/>
          <w:sz w:val="30"/>
        </w:rPr>
        <w:br/>
        <w:t>3. قيد الصداق كدين مالي لازم:</w:t>
      </w:r>
      <w:r>
        <w:rPr>
          <w:rFonts w:ascii="Traditional Arabic" w:hAnsi="Traditional Arabic"/>
          <w:color w:val="282828"/>
          <w:sz w:val="30"/>
        </w:rPr>
        <w:br/>
        <w:t xml:space="preserve">حيث إن القانون الأرجنتيني لا ينص على المهر، فيمكن إثبات الصداق المؤجل في محرر رسمي </w:t>
      </w:r>
      <w:commentRangeStart w:id="4"/>
      <w:r>
        <w:rPr>
          <w:rFonts w:ascii="Traditional Arabic" w:hAnsi="Traditional Arabic"/>
          <w:color w:val="282828"/>
          <w:sz w:val="30"/>
          <w:highlight w:val="yellow"/>
        </w:rPr>
        <w:t xml:space="preserve">كدين ثابت</w:t>
      </w:r>
      <w:commentRangeEnd w:id="4"/>
      <w:r>
        <w:rPr>
          <w:rStyle w:val="CommentReference"/>
        </w:rPr>
        <w:commentReference w:id="4"/>
      </w:r>
      <w:r>
        <w:rPr>
          <w:rFonts w:ascii="Traditional Arabic" w:hAnsi="Traditional Arabic"/>
          <w:color w:val="282828"/>
          <w:sz w:val="30"/>
        </w:rPr>
        <w:t xml:space="preserve"> في ذمة الزوج، يستحق الأداء عند الانفصال أو يُستوفى من التركة قبل قسمة التركات.</w:t>
      </w:r>
      <w:r>
        <w:rPr>
          <w:rFonts w:ascii="Traditional Arabic" w:hAnsi="Traditional Arabic"/>
          <w:color w:val="282828"/>
          <w:sz w:val="30"/>
        </w:rPr>
        <w:br/>
      </w:r>
      <w:r>
        <w:rPr>
          <w:rFonts w:ascii="Traditional Arabic" w:hAnsi="Traditional Arabic"/>
          <w:color w:val="282828"/>
          <w:sz w:val="30"/>
        </w:rPr>
        <w:br/>
        <w:t>4. الوصية بالفرض الشرعي للزوجة في حدود الجزء المتاح قانوناً:</w:t>
      </w:r>
      <w:commentRangeStart w:id="5"/>
      <w:r>
        <w:rPr>
          <w:rFonts w:ascii="Traditional Arabic" w:hAnsi="Traditional Arabic"/>
          <w:color w:val="282828"/>
          <w:sz w:val="30"/>
        </w:rPr>
        <w:br/>
        <w:t xml:space="preserve">لما كان القانون الأرجنتيني يحرم الزوجة غير المسجلة من الإرث التلقائي، وفي الوقت نفسه تتيح المادة (2445) للشخص التصرف بالوصية في حدود ثلث تركته (1/3) مع وجود أولاد، ونصفها (1/2) مع وجود أصول فقط، </w:t>
      </w:r>
      <w:commentRangeStart w:id="6"/>
      <w:r>
        <w:rPr>
          <w:rFonts w:ascii="Traditional Arabic" w:hAnsi="Traditional Arabic"/>
          <w:color w:val="282828"/>
          <w:sz w:val="30"/>
          <w:highlight w:val="yellow"/>
        </w:rPr>
        <w:t xml:space="preserve">وكامل التركة عند انعدام الفروع والأصول والزوج المدني</w:t>
      </w:r>
      <w:commentRangeEnd w:id="6"/>
      <w:r>
        <w:rPr>
          <w:rStyle w:val="CommentReference"/>
        </w:rPr>
        <w:commentReference w:id="6"/>
      </w:r>
      <w:r>
        <w:rPr>
          <w:rFonts w:ascii="Traditional Arabic" w:hAnsi="Traditional Arabic"/>
          <w:color w:val="282828"/>
          <w:sz w:val="30"/>
        </w:rPr>
        <w:t xml:space="preserve">؛ فإن السياسة الشرعية تقتضي إلزام الزوج بكتابة وصية رسمية تسجل حق زوجته في فرضها الشرعي (الثمن أو الربع). والوصية هنا وسيلة ضرورية لاستيفاء حقها الواجب وسد النقص القانوني، ولا تخالف حديث «لا وصية لوارث»؛ لأن القانون الوضعي لا يعدها وارثة أصلاً، فصارت الوصية السبيل المتاح لتمكينها من حقها المفروض شرعاً.</w:t>
      </w:r>
      <w:commentRangeEnd w:id="5"/>
      <w:r>
        <w:rPr>
          <w:rStyle w:val="CommentReference"/>
        </w:rPr>
        <w:commentReference w:id="5"/>
      </w:r>
      <w:r>
        <w:rPr>
          <w:rFonts w:ascii="Traditional Arabic" w:hAnsi="Traditional Arabic"/>
          <w:color w:val="282828"/>
          <w:sz w:val="30"/>
        </w:rPr>
        <w:br/>
      </w:r>
      <w:r>
        <w:rPr>
          <w:rFonts w:ascii="Traditional Arabic" w:hAnsi="Traditional Arabic"/>
          <w:color w:val="282828"/>
          <w:sz w:val="30"/>
        </w:rPr>
        <w:br/>
        <w:t>5. اختيار نظام فصل الأموال عند الزواج المدني:</w:t>
      </w:r>
      <w:r>
        <w:rPr>
          <w:rFonts w:ascii="Traditional Arabic" w:hAnsi="Traditional Arabic"/>
          <w:color w:val="282828"/>
          <w:sz w:val="30"/>
        </w:rPr>
        <w:br/>
        <w:t xml:space="preserve">يتيح القانون الأرجنتيني في المادة (446) للمقبلين على الزواج المدني إبرام اتفاقات لاختيار «نظام فصل الأموال» (Régimen de separación de bienes) بدلاً من نظام الأموال المشتركة، وهو خيار قانوني </w:t>
      </w:r>
      <w:commentRangeStart w:id="7"/>
      <w:r>
        <w:rPr>
          <w:rFonts w:ascii="Traditional Arabic" w:hAnsi="Traditional Arabic"/>
          <w:color w:val="282828"/>
          <w:sz w:val="30"/>
          <w:highlight w:val="yellow"/>
        </w:rPr>
        <w:t xml:space="preserve">يقارب مبدأ استقلال الذمة المالية للزوجين في الفقه الإسلامي، مع بقاء القواعد الآمرة المشتركة بين النظامين (المواد 454 و456 و461)</w:t>
      </w:r>
      <w:commentRangeEnd w:id="7"/>
      <w:r>
        <w:rPr>
          <w:rStyle w:val="CommentReference"/>
        </w:rPr>
        <w:commentReference w:id="7"/>
      </w:r>
      <w:r>
        <w:rPr>
          <w:rFonts w:ascii="Traditional Arabic" w:hAnsi="Traditional Arabic"/>
          <w:color w:val="282828"/>
          <w:sz w:val="30"/>
        </w:rPr>
        <w:t xml:space="preserve">.</w:t>
      </w:r>
    </w:p>
    <w:p w14:paraId="16B4CD8F" w14:textId="77777777" w:rsidR="002878CA" w:rsidRDefault="00000000" w:rsidP="00965695">
      <w:pPr>
        <w:keepNext/>
        <w:bidi/>
        <w:spacing w:before="280" w:after="120"/>
      </w:pPr>
      <w:r>
        <w:rPr>
          <w:rFonts w:ascii="Traditional Arabic" w:hAnsi="Traditional Arabic"/>
          <w:b/>
          <w:color w:val="143250"/>
          <w:sz w:val="32"/>
        </w:rPr>
        <w:t>المطلب الثاني: توظيف القرائن الرقمية والذكاء الاصطناعي في السياسة الشرعية</w:t>
      </w:r>
    </w:p>
    <w:p w14:paraId="313EB1E1" w14:textId="77777777" w:rsidR="002878CA" w:rsidRDefault="00000000" w:rsidP="00965695">
      <w:pPr>
        <w:bidi/>
        <w:spacing w:after="120"/>
      </w:pPr>
      <w:commentRangeStart w:id="8"/>
      <w:r>
        <w:rPr>
          <w:rFonts w:ascii="Traditional Arabic" w:hAnsi="Traditional Arabic"/>
          <w:color w:val="282828"/>
          <w:sz w:val="30"/>
          <w:highlight w:val="yellow"/>
        </w:rPr>
        <w:t xml:space="preserve">وللوسائل الرقمية المعاصرة أثر في إثبات الحقوق وحفظها، يتبين من ثلاث جهات:</w:t>
      </w:r>
      <w:commentRangeEnd w:id="8"/>
      <w:r>
        <w:rPr>
          <w:rStyle w:val="CommentReference"/>
        </w:rPr>
        <w:commentReference w:id="8"/>
      </w:r>
      <w:r>
        <w:rPr>
          <w:rFonts w:ascii="Traditional Arabic" w:hAnsi="Traditional Arabic"/>
          <w:color w:val="282828"/>
          <w:sz w:val="30"/>
        </w:rPr>
        <w:br/>
      </w:r>
      <w:r>
        <w:rPr>
          <w:rFonts w:ascii="Traditional Arabic" w:hAnsi="Traditional Arabic"/>
          <w:color w:val="282828"/>
          <w:sz w:val="30"/>
        </w:rPr>
        <w:br/>
        <w:t>1. تأصيل حجية القرائن ودلائل الأحوال:</w:t>
      </w:r>
      <w:r>
        <w:rPr>
          <w:rFonts w:ascii="Traditional Arabic" w:hAnsi="Traditional Arabic"/>
          <w:color w:val="282828"/>
          <w:sz w:val="30"/>
        </w:rPr>
        <w:br/>
      </w:r>
      <w:r>
        <w:rPr>
          <w:rFonts w:ascii="Traditional Arabic" w:hAnsi="Traditional Arabic"/>
          <w:color w:val="282828"/>
          <w:sz w:val="30"/>
        </w:rPr>
        <w:lastRenderedPageBreak/>
        <w:t xml:space="preserve">قرر الإمام ابن القيم</w:t>
      </w:r>
      <w:commentRangeStart w:id="13"/>
      <w:r>
        <w:rPr>
          <w:vertAlign w:val="superscript"/>
        </w:rPr>
        <w:footnoteReference w:id="18"/>
      </w:r>
      <w:commentRangeEnd w:id="13"/>
      <w:r>
        <w:rPr>
          <w:rStyle w:val="CommentReference"/>
        </w:rPr>
        <w:commentReference w:id="13"/>
      </w:r>
      <w:r>
        <w:rPr>
          <w:rFonts w:ascii="Traditional Arabic" w:hAnsi="Traditional Arabic"/>
          <w:color w:val="282828"/>
          <w:sz w:val="30"/>
        </w:rPr>
        <w:t xml:space="preserve"> في «الطرق الحكمية» أن البينة في لسان الشارع اسم لكل ما يظهر الحق ويبينه، وليست مقصورة على شهادة رجلين، وأن القاضي يعتمد على الأمارات ودلائل الأحوال لإحقاق الحق ودفع الظلم.</w:t>
      </w:r>
      <w:r>
        <w:rPr>
          <w:rFonts w:ascii="Traditional Arabic" w:hAnsi="Traditional Arabic"/>
          <w:color w:val="282828"/>
          <w:sz w:val="30"/>
        </w:rPr>
        <w:br/>
      </w:r>
      <w:r>
        <w:rPr>
          <w:rFonts w:ascii="Traditional Arabic" w:hAnsi="Traditional Arabic"/>
          <w:color w:val="282828"/>
          <w:sz w:val="30"/>
        </w:rPr>
        <w:br/>
        <w:t>2. تنزيل الأدلة الرقمية كقرائن ظنية مرجحة:</w:t>
      </w:r>
      <w:commentRangeStart w:id="9"/>
      <w:r>
        <w:rPr>
          <w:rFonts w:ascii="Traditional Arabic" w:hAnsi="Traditional Arabic"/>
          <w:color w:val="282828"/>
          <w:sz w:val="30"/>
        </w:rPr>
        <w:br/>
        <w:t>في الدعاوى الأرجنتينية المتعلقة بإثبات المساكنة المستقرة (المادتان 509 و512) أو دعاوى إثبات النسب (المادة 579)؛ تعد السجلات المصرفية للتحويلات المشتركة، والمراسلات الموثقة، والملفات الطبية الرقمية المشتركة، دلائل أحوال وقرائن مرجحة تعزز الدعوى وتثبت قيام الحياة المشتركة.</w:t>
      </w:r>
      <w:commentRangeEnd w:id="9"/>
      <w:r>
        <w:rPr>
          <w:rStyle w:val="CommentReference"/>
        </w:rPr>
        <w:commentReference w:id="9"/>
      </w:r>
      <w:r>
        <w:rPr>
          <w:rFonts w:ascii="Traditional Arabic" w:hAnsi="Traditional Arabic"/>
          <w:color w:val="282828"/>
          <w:sz w:val="30"/>
        </w:rPr>
        <w:br/>
      </w:r>
      <w:r>
        <w:rPr>
          <w:rFonts w:ascii="Traditional Arabic" w:hAnsi="Traditional Arabic"/>
          <w:color w:val="282828"/>
          <w:sz w:val="30"/>
        </w:rPr>
        <w:br/>
        <w:t>3. تطبيقات الذكاء الاصطناعي في التدقيق والإرشاد الأسري:</w:t>
      </w:r>
      <w:r>
        <w:rPr>
          <w:rFonts w:ascii="Traditional Arabic" w:hAnsi="Traditional Arabic"/>
          <w:color w:val="282828"/>
          <w:sz w:val="30"/>
        </w:rPr>
        <w:br/>
        <w:t>يمكن توظيف أدوات الذكاء الاصطناعي عبر:</w:t>
      </w:r>
      <w:r>
        <w:rPr>
          <w:rFonts w:ascii="Traditional Arabic" w:hAnsi="Traditional Arabic"/>
          <w:color w:val="282828"/>
          <w:sz w:val="30"/>
        </w:rPr>
        <w:br/>
        <w:t>• قوائم تحقق ذكية (Smart Checklists) للأئمة لفحص وثائق الطرفين قبل العقد، والتأكد من استيفاء الشروط الشرعية والمدنية.</w:t>
      </w:r>
      <w:r>
        <w:rPr>
          <w:rFonts w:ascii="Traditional Arabic" w:hAnsi="Traditional Arabic"/>
          <w:color w:val="282828"/>
          <w:sz w:val="30"/>
        </w:rPr>
        <w:br/>
        <w:t>• منصات إرشاد وتوعية للمقبلين على الزواج تشرح بلغة ميسرة الفوارق بين العقد الشرعي والمدني وحقوق الأسرة.</w:t>
      </w:r>
      <w:commentRangeStart w:id="10"/>
      <w:r>
        <w:rPr>
          <w:rFonts w:ascii="Traditional Arabic" w:hAnsi="Traditional Arabic"/>
          <w:color w:val="282828"/>
          <w:sz w:val="30"/>
        </w:rPr>
        <w:br/>
        <w:t>• التحقق الرقمي من صحة الوثائق وحمايتها من التزوير والتزييف العميق (Deepfake)، مع الالتزام الصارم بقانون حماية البيانات الشخصية الأرجنتيني (Ley 25.326).</w:t>
      </w:r>
      <w:commentRangeEnd w:id="10"/>
      <w:r>
        <w:rPr>
          <w:rStyle w:val="CommentReference"/>
        </w:rPr>
        <w:commentReference w:id="10"/>
      </w:r>
    </w:p>
    <w:p w14:paraId="4D3AD0CA" w14:textId="77777777" w:rsidR="002878CA" w:rsidRDefault="00000000" w:rsidP="00965695">
      <w:pPr>
        <w:keepNext/>
        <w:bidi/>
        <w:spacing w:before="280" w:after="120"/>
      </w:pPr>
      <w:r>
        <w:rPr>
          <w:rFonts w:ascii="Traditional Arabic" w:hAnsi="Traditional Arabic"/>
          <w:b/>
          <w:color w:val="143250"/>
          <w:sz w:val="32"/>
        </w:rPr>
        <w:t>المطلب الثالث: الرؤية التطبيقية للمراكز الإسلامية في الأرجنتين</w:t>
      </w:r>
    </w:p>
    <w:p w14:paraId="6468BD3B" w14:textId="77777777" w:rsidR="002878CA" w:rsidRDefault="00000000" w:rsidP="00965695">
      <w:pPr>
        <w:bidi/>
        <w:spacing w:after="120"/>
      </w:pPr>
      <w:r>
        <w:rPr>
          <w:rFonts w:ascii="Traditional Arabic" w:hAnsi="Traditional Arabic"/>
          <w:color w:val="282828"/>
          <w:sz w:val="30"/>
        </w:rPr>
        <w:t>يقترح البحث برنامج عمل عملياً للمؤسسات الإسلامية في الأرجنتين يتضمن:</w:t>
      </w:r>
      <w:commentRangeStart w:id="11"/>
      <w:r>
        <w:rPr>
          <w:rFonts w:ascii="Traditional Arabic" w:hAnsi="Traditional Arabic"/>
          <w:color w:val="282828"/>
          <w:sz w:val="30"/>
        </w:rPr>
        <w:br/>
        <w:t>1. ميثاق عمل موحد للأئمة والمراكز: يقضي بعدم إبرام أي عقد نكاح شرعي إلا بعد استلام وثيقة الزواج المدني الرسمية، وتضمين بياناتها في السجل الإسلامي.</w:t>
      </w:r>
      <w:commentRangeEnd w:id="11"/>
      <w:r>
        <w:rPr>
          <w:rStyle w:val="CommentReference"/>
        </w:rPr>
        <w:commentReference w:id="11"/>
      </w:r>
      <w:r>
        <w:rPr>
          <w:rFonts w:ascii="Traditional Arabic" w:hAnsi="Traditional Arabic"/>
          <w:color w:val="282828"/>
          <w:sz w:val="30"/>
        </w:rPr>
        <w:br/>
        <w:t xml:space="preserve">2. نماذج جاهزة ل</w:t>
      </w:r>
      <w:commentRangeStart w:id="12"/>
      <w:r>
        <w:rPr>
          <w:rFonts w:ascii="Traditional Arabic" w:hAnsi="Traditional Arabic"/>
          <w:color w:val="282828"/>
          <w:sz w:val="30"/>
          <w:highlight w:val="yellow"/>
        </w:rPr>
        <w:t xml:space="preserve">اتفاقات المساكنة</w:t>
      </w:r>
      <w:commentRangeEnd w:id="12"/>
      <w:r>
        <w:rPr>
          <w:rStyle w:val="CommentReference"/>
        </w:rPr>
        <w:commentReference w:id="12"/>
      </w:r>
      <w:r>
        <w:rPr>
          <w:rFonts w:ascii="Traditional Arabic" w:hAnsi="Traditional Arabic"/>
          <w:color w:val="282828"/>
          <w:sz w:val="30"/>
        </w:rPr>
        <w:t xml:space="preserve"> والوصايا: تُعد بالتنسيق مع كتاب العدل والمحامين المتخصصين، لمساعدة الحالات الخاصة التي تعذر عليها التسجيل مؤقتاً.</w:t>
      </w:r>
      <w:r>
        <w:rPr>
          <w:rFonts w:ascii="Traditional Arabic" w:hAnsi="Traditional Arabic"/>
          <w:color w:val="282828"/>
          <w:sz w:val="30"/>
        </w:rPr>
        <w:br/>
        <w:t>3. سجل إلكتروني موحد ومؤمن: لأرشفة عقود الزواج والبيانات في المركز الإسلامي وفق معايير الأمان وحماية الخصوصية.</w:t>
      </w:r>
      <w:r>
        <w:rPr>
          <w:rFonts w:ascii="Traditional Arabic" w:hAnsi="Traditional Arabic"/>
          <w:color w:val="282828"/>
          <w:sz w:val="30"/>
        </w:rPr>
        <w:br/>
        <w:t>4. دورات تأهيل أسري وقانوني: دورية للمقبلين على الزواج لتبصيرهم بواجباتهم الدينية والمدنية.</w:t>
      </w:r>
    </w:p>
    <w:sectPr w:rsidR="002878CA" w:rsidRPr="009F31FB" w:rsidSect="00034616">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مراجعة)" w:initials="CL" w:date="2026-10-19T06:00:20Z">
    <w:p>
      <w:pPr>
        <w:pStyle w:val="CommentText"/>
      </w:pPr>
      <w:r>
        <w:rPr>
          <w:rStyle w:val="CommentReference"/>
        </w:rPr>
        <w:annotationRef/>
      </w:r>
      <w:r>
        <w:t>هذا إجراء مؤسسي لا تدبير تعاقدي؛ ويتكرر في المطلب الثالث وفي التوصية الأولى. التقرير، ثالثًا.</w:t>
      </w:r>
    </w:p>
  </w:comment>
  <w:comment w:id="1" w:author="Claude (مراجعة)" w:initials="CL" w:date="2026-10-19T06:00:20Z">
    <w:p>
      <w:pPr>
        <w:pStyle w:val="CommentText"/>
      </w:pPr>
      <w:r>
        <w:rPr>
          <w:rStyle w:val="CommentReference"/>
        </w:rPr>
        <w:annotationRef/>
      </w:r>
      <w:r>
        <w:t>المادة 513 تشترط الكتابة لا التوثيق. التقرير، ثامنًا ٤.</w:t>
      </w:r>
    </w:p>
  </w:comment>
  <w:comment w:id="2" w:author="Claude (مراجعة)" w:initials="CL" w:date="2026-10-19T06:00:20Z">
    <w:p>
      <w:pPr>
        <w:pStyle w:val="CommentText"/>
      </w:pPr>
      <w:r>
        <w:rPr>
          <w:rStyle w:val="CommentReference"/>
        </w:rPr>
        <w:annotationRef/>
      </w:r>
      <w:r>
        <w:t>توحيد المصطلح.</w:t>
      </w:r>
    </w:p>
  </w:comment>
  <w:comment w:id="3" w:author="Claude (مراجعة)" w:initials="CL" w:date="2026-10-19T06:00:20Z">
    <w:p>
      <w:pPr>
        <w:pStyle w:val="CommentText"/>
      </w:pPr>
      <w:r>
        <w:rPr>
          <w:rStyle w:val="CommentReference"/>
        </w:rPr>
        <w:annotationRef/>
      </w:r>
      <w:r>
        <w:t>513: «debe ser hecho por escrito y no puede dejar sin efecto lo dispuesto en los artículos 519, 520, 521 y 522»؛ و517: النفاذ في حق الغير «desde su inscripción». التقرير، ثامنًا ٤.</w:t>
      </w:r>
    </w:p>
  </w:comment>
  <w:comment w:id="4" w:author="Claude (مراجعة)" w:initials="CL" w:date="2026-10-19T06:00:20Z">
    <w:p>
      <w:pPr>
        <w:pStyle w:val="CommentText"/>
      </w:pPr>
      <w:r>
        <w:rPr>
          <w:rStyle w:val="CommentReference"/>
        </w:rPr>
        <w:annotationRef/>
      </w:r>
      <w:r>
        <w:t>المادة 2574: «Los privilegios resultan exclusivamente de la ley…»؛ فالمحرر الرسمي يقوّي الإثبات ولا يمنح أولوية. التقرير، ثامنًا ٤.</w:t>
      </w:r>
    </w:p>
  </w:comment>
  <w:comment w:id="5" w:author="Claude (مراجعة)" w:initials="CL" w:date="2026-10-19T06:00:20Z">
    <w:p>
      <w:pPr>
        <w:pStyle w:val="CommentText"/>
      </w:pPr>
      <w:r>
        <w:rPr>
          <w:rStyle w:val="CommentReference"/>
        </w:rPr>
        <w:annotationRef/>
      </w:r>
      <w:r>
        <w:t>تعليل «لأن القانون الوضعي لا يعدها وارثة» ضعيف؛ صفة الوارث شرعًا لا تُستمد من القانون. والأقوى: لفظ الحديث «إن الله قد أعطى كل ذي حق حقه»، ونص ابن المنذر «إلا أن يجيز الورثة». التقرير، حادي عشر، الأولوية الرابعة.</w:t>
      </w:r>
    </w:p>
  </w:comment>
  <w:comment w:id="6" w:author="Claude (مراجعة)" w:initials="CL" w:date="2026-10-19T06:00:20Z">
    <w:p>
      <w:pPr>
        <w:pStyle w:val="CommentText"/>
      </w:pPr>
      <w:r>
        <w:rPr>
          <w:rStyle w:val="CommentReference"/>
        </w:rPr>
        <w:annotationRef/>
      </w:r>
      <w:r>
        <w:t>المادة 2445: نصيب الزوج المحفوظ النصف، فمع الزوج المدني لا تجوز الوصية بأكثر من النصف؛ وهذا مؤثر في صورة التعدد. التقرير، ثامنًا ٤.</w:t>
      </w:r>
    </w:p>
  </w:comment>
  <w:comment w:id="7" w:author="Claude (مراجعة)" w:initials="CL" w:date="2026-10-19T06:00:20Z">
    <w:p>
      <w:pPr>
        <w:pStyle w:val="CommentText"/>
      </w:pPr>
      <w:r>
        <w:rPr>
          <w:rStyle w:val="CommentReference"/>
        </w:rPr>
        <w:annotationRef/>
      </w:r>
      <w:r>
        <w:t>454: أحكام القسم المشترك تسري «cualquiera sea el régimen matrimonial» وهي «inderogables». التقرير، ثامنًا ٤.</w:t>
      </w:r>
    </w:p>
  </w:comment>
  <w:comment w:id="8" w:author="Claude (مراجعة)" w:initials="CL" w:date="2026-10-19T06:00:20Z">
    <w:p>
      <w:pPr>
        <w:pStyle w:val="CommentText"/>
      </w:pPr>
      <w:r>
        <w:rPr>
          <w:rStyle w:val="CommentReference"/>
        </w:rPr>
        <w:annotationRef/>
      </w:r>
      <w:r>
        <w:t>حذف العبارة التنظيمية (قاعدة ملف التسليم). التقرير، ثالثًا.</w:t>
      </w:r>
    </w:p>
  </w:comment>
  <w:comment w:id="9" w:author="Claude (مراجعة)" w:initials="CL" w:date="2026-10-19T06:00:20Z">
    <w:p>
      <w:pPr>
        <w:pStyle w:val="CommentText"/>
      </w:pPr>
      <w:r>
        <w:rPr>
          <w:rStyle w:val="CommentReference"/>
        </w:rPr>
        <w:annotationRef/>
      </w:r>
      <w:r>
        <w:t>يُستحسن نقل عبارة المادة 512 في الحاشية: «puede acreditarse por cualquier medio de prueba»، فهي مستند المطلب الرقمي في القانون. التقرير، ثامنًا ٤.</w:t>
      </w:r>
    </w:p>
  </w:comment>
  <w:comment w:id="10" w:author="Claude (مراجعة)" w:initials="CL" w:date="2026-10-19T06:00:20Z">
    <w:p>
      <w:pPr>
        <w:pStyle w:val="CommentText"/>
      </w:pPr>
      <w:r>
        <w:rPr>
          <w:rStyle w:val="CommentReference"/>
        </w:rPr>
        <w:annotationRef/>
      </w:r>
      <w:r>
        <w:t>القانون 25.326 لم أقرأ نصه؛ يُطابق قبل التسليم. التقرير، ثامنًا ٧.</w:t>
      </w:r>
    </w:p>
  </w:comment>
  <w:comment w:id="11" w:author="Claude (مراجعة)" w:initials="CL" w:date="2026-10-19T06:00:20Z">
    <w:p>
      <w:pPr>
        <w:pStyle w:val="CommentText"/>
      </w:pPr>
      <w:r>
        <w:rPr>
          <w:rStyle w:val="CommentReference"/>
        </w:rPr>
        <w:annotationRef/>
      </w:r>
      <w:r>
        <w:t>يتكرر مع التوصية الأولى؛ فيُكتفى في المتن بالتقرير وفي الخاتمة بالتوصية. التقرير، تاسعًا ٣.</w:t>
      </w:r>
    </w:p>
  </w:comment>
  <w:comment w:id="12" w:author="Claude (مراجعة)" w:initials="CL" w:date="2026-10-19T06:00:20Z">
    <w:p>
      <w:pPr>
        <w:pStyle w:val="CommentText"/>
      </w:pPr>
      <w:r>
        <w:rPr>
          <w:rStyle w:val="CommentReference"/>
        </w:rPr>
        <w:annotationRef/>
      </w:r>
      <w:r>
        <w:t>توحيد المصطلح. التقرير، ثامنًا ٤.</w:t>
      </w:r>
    </w:p>
  </w:comment>
  <w:comment w:id="13" w:author="Claude (مراجعة)" w:initials="CL" w:date="2026-10-19T06:00:20Z">
    <w:p>
      <w:pPr>
        <w:pStyle w:val="CommentText"/>
      </w:pPr>
      <w:r>
        <w:rPr>
          <w:rStyle w:val="CommentReference"/>
        </w:rPr>
        <w:annotationRef/>
      </w:r>
      <w:r>
        <w:t>في ط البيان ص11، وفي ط عطاءات العلم 1/25؛ وطبعة الورقة ليست في الشاملة، فتُطابق عليها.</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750172" w14:textId="77777777" w:rsidR="002A3DDE" w:rsidRDefault="002A3DDE">
      <w:pPr>
        <w:spacing w:after="0" w:line="240" w:lineRule="auto"/>
      </w:pPr>
      <w:r>
        <w:separator/>
      </w:r>
    </w:p>
  </w:endnote>
  <w:endnote w:type="continuationSeparator" w:id="0">
    <w:p w14:paraId="48D4E4C3" w14:textId="77777777" w:rsidR="002A3DDE" w:rsidRDefault="002A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aditional Arabic">
    <w:panose1 w:val="02020603050405020304"/>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090CA" w14:textId="77777777" w:rsidR="009F31FB" w:rsidRDefault="009F31F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03419F" w14:textId="5D24DD5B" w:rsidR="009F31FB" w:rsidRDefault="009F31FB">
    <w:pPr>
      <w:pStyle w:val="a6"/>
      <w:jc w:val="center"/>
      <w:rPr>
        <w:sz w:val="24"/>
        <w:szCs w:val="24"/>
      </w:rPr>
    </w:pPr>
    <w:r>
      <w:rPr>
        <w:rFonts w:ascii="Traditional Arabic" w:hAnsi="Traditional Arabic" w:cs="Traditional Arabic" w:hint="cs"/>
        <w:color w:val="787878"/>
        <w:sz w:val="20"/>
        <w:szCs w:val="20"/>
      </w:rPr>
      <w:t xml:space="preserve">- </w:t>
    </w:r>
    <w:r>
      <w:fldChar w:fldCharType="begin"/>
    </w:r>
    <w:r>
      <w:instrText>PAGE</w:instrText>
    </w:r>
    <w:r>
      <w:fldChar w:fldCharType="separate"/>
    </w:r>
    <w:r>
      <w:rPr>
        <w:noProof/>
      </w:rPr>
      <w:t>1</w:t>
    </w:r>
    <w:r>
      <w:fldChar w:fldCharType="end"/>
    </w:r>
    <w:r>
      <w:rPr>
        <w:rFonts w:ascii="Traditional Arabic" w:hAnsi="Traditional Arabic" w:cs="Traditional Arabic" w:hint="cs"/>
        <w:color w:val="787878"/>
        <w:sz w:val="20"/>
        <w:szCs w:val="20"/>
      </w:rPr>
      <w:t xml:space="preserve"> -</w:t>
    </w:r>
  </w:p>
  <w:p w14:paraId="02E62C7B" w14:textId="19F958B1" w:rsidR="002878CA" w:rsidRDefault="009F31FB">
    <w:pPr>
      <w:pStyle w:val="a6"/>
      <w:jc w:val="cente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3C25F" w14:textId="77777777" w:rsidR="009F31FB" w:rsidRDefault="009F31F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0791A8" w14:textId="77777777" w:rsidR="002A3DDE" w:rsidRDefault="002A3DDE">
      <w:pPr>
        <w:spacing w:after="0" w:line="240" w:lineRule="auto"/>
      </w:pPr>
      <w:r>
        <w:separator/>
      </w:r>
    </w:p>
  </w:footnote>
  <w:footnote w:type="continuationSeparator" w:id="0">
    <w:p w14:paraId="4DCC7B9C" w14:textId="77777777" w:rsidR="002A3DDE" w:rsidRDefault="002A3DDE">
      <w:pPr>
        <w:spacing w:after="0" w:line="240" w:lineRule="auto"/>
      </w:pPr>
      <w:r>
        <w:continuationSeparator/>
      </w:r>
    </w:p>
  </w:footnote>
  <w:footnote w:id="1">
    <w:p>
      <w:pPr>
        <w:bidi/>
      </w:pPr>
      <w:r>
        <w:rPr>
          <w:vertAlign w:val="superscript"/>
        </w:rPr>
        <w:footnoteRef/>
      </w:r>
      <w:r>
        <w:rPr>
          <w:rFonts w:ascii="Traditional Arabic" w:hAnsi="Traditional Arabic" w:cs="Traditional Arabic"/>
          <w:rtl/>
          <w:sz w:val="24"/>
          <w:szCs w:val="24"/>
        </w:rPr>
        <w:t xml:space="preserve"> العتيبي، فيصل بن عبد الله، عقد الزواج غير الموثق رسمياً وأحكامه في الفقه الإسلامي، رسالة ماجستير غير منشورة، كلية الشريعة، جامعة أم القرى، 2014.</w:t>
      </w:r>
    </w:p>
  </w:footnote>
  <w:footnote w:id="2">
    <w:p>
      <w:pPr>
        <w:bidi/>
      </w:pPr>
      <w:r>
        <w:rPr>
          <w:vertAlign w:val="superscript"/>
        </w:rPr>
        <w:footnoteRef/>
      </w:r>
      <w:r>
        <w:rPr>
          <w:rFonts w:ascii="Traditional Arabic" w:hAnsi="Traditional Arabic" w:cs="Traditional Arabic"/>
          <w:rtl/>
          <w:sz w:val="24"/>
          <w:szCs w:val="24"/>
        </w:rPr>
        <w:t xml:space="preserve"> الزحيلي، وهبة بن مصطفى، الفقه الإسلامي وأدلته، ط4، دار الفكر، 2002.</w:t>
      </w:r>
    </w:p>
  </w:footnote>
  <w:footnote w:id="3">
    <w:p>
      <w:pPr>
        <w:bidi/>
      </w:pPr>
      <w:r>
        <w:rPr>
          <w:vertAlign w:val="superscript"/>
        </w:rPr>
        <w:footnoteRef/>
      </w:r>
      <w:r>
        <w:rPr>
          <w:rFonts w:ascii="Traditional Arabic" w:hAnsi="Traditional Arabic" w:cs="Traditional Arabic"/>
          <w:rtl/>
          <w:sz w:val="24"/>
          <w:szCs w:val="24"/>
        </w:rPr>
        <w:t xml:space="preserve"> Ferguson, L. (2018). Unregistered Muslim marriages in the UK: Examining the intersections of religion, law and gender. Oxford Journal of Law and Religion, 7(2), 273–296.</w:t>
      </w:r>
    </w:p>
  </w:footnote>
  <w:footnote w:id="4">
    <w:p>
      <w:pPr>
        <w:bidi/>
      </w:pPr>
      <w:r>
        <w:rPr>
          <w:vertAlign w:val="superscript"/>
        </w:rPr>
        <w:footnoteRef/>
      </w:r>
      <w:r>
        <w:rPr>
          <w:rFonts w:ascii="Traditional Arabic" w:hAnsi="Traditional Arabic" w:cs="Traditional Arabic"/>
          <w:rtl/>
          <w:sz w:val="24"/>
          <w:szCs w:val="24"/>
        </w:rPr>
        <w:t xml:space="preserve"> Bano, S. (2017). Modern family law and religious legal traditions: Unregistered Muslim marriages in England and Wales. Journal of Social Welfare and Family Law, 39(4), 488–505.</w:t>
      </w:r>
    </w:p>
  </w:footnote>
  <w:footnote w:id="5">
    <w:p>
      <w:pPr>
        <w:bidi/>
      </w:pPr>
      <w:r>
        <w:rPr>
          <w:vertAlign w:val="superscript"/>
        </w:rPr>
        <w:footnoteRef/>
      </w:r>
      <w:r>
        <w:rPr>
          <w:rFonts w:ascii="Traditional Arabic" w:hAnsi="Traditional Arabic" w:cs="Traditional Arabic"/>
          <w:rtl/>
          <w:sz w:val="24"/>
          <w:szCs w:val="24"/>
        </w:rPr>
        <w:t xml:space="preserve"> Farfán, M. E., &amp; Medina, G. (2018). Las uniones convivenciales en el nuevo Código Civil y Comercial de la Nación. Revista La Ley, 2018(3), 112–129.</w:t>
      </w:r>
    </w:p>
  </w:footnote>
  <w:footnote w:id="6">
    <w:p>
      <w:pPr>
        <w:bidi/>
      </w:pPr>
      <w:r>
        <w:rPr>
          <w:vertAlign w:val="superscript"/>
        </w:rPr>
        <w:footnoteRef/>
      </w:r>
      <w:r>
        <w:rPr>
          <w:rFonts w:ascii="Traditional Arabic" w:hAnsi="Traditional Arabic" w:cs="Traditional Arabic"/>
          <w:rtl/>
          <w:sz w:val="24"/>
          <w:szCs w:val="24"/>
        </w:rPr>
        <w:t xml:space="preserve"> Herrera, M. (2016). Manual de derecho de las familias (2da ed.). Abeledo Perrot.</w:t>
      </w:r>
    </w:p>
  </w:footnote>
  <w:footnote w:id="7">
    <w:p>
      <w:pPr>
        <w:bidi/>
      </w:pPr>
      <w:r>
        <w:rPr>
          <w:vertAlign w:val="superscript"/>
        </w:rPr>
        <w:footnoteRef/>
      </w:r>
      <w:r>
        <w:rPr>
          <w:rFonts w:ascii="Traditional Arabic" w:hAnsi="Traditional Arabic" w:cs="Traditional Arabic"/>
          <w:rtl/>
          <w:sz w:val="24"/>
          <w:szCs w:val="24"/>
        </w:rPr>
        <w:t xml:space="preserve"> ابن قدامة، المغني، 7/6؛ الكاساني، بدائع الصنائع، 2/332.</w:t>
      </w:r>
    </w:p>
  </w:footnote>
  <w:footnote w:id="8">
    <w:p>
      <w:pPr>
        <w:bidi/>
      </w:pPr>
      <w:r>
        <w:rPr>
          <w:vertAlign w:val="superscript"/>
        </w:rPr>
        <w:footnoteRef/>
      </w:r>
      <w:r>
        <w:rPr>
          <w:rFonts w:ascii="Traditional Arabic" w:hAnsi="Traditional Arabic" w:cs="Traditional Arabic"/>
          <w:rtl/>
          <w:sz w:val="24"/>
          <w:szCs w:val="24"/>
        </w:rPr>
        <w:t xml:space="preserve"> الشاطبي، الموافقات، 2/393.</w:t>
      </w:r>
    </w:p>
  </w:footnote>
  <w:footnote w:id="9">
    <w:p>
      <w:pPr>
        <w:bidi/>
      </w:pPr>
      <w:r>
        <w:rPr>
          <w:vertAlign w:val="superscript"/>
        </w:rPr>
        <w:footnoteRef/>
      </w:r>
      <w:r>
        <w:rPr>
          <w:rFonts w:ascii="Traditional Arabic" w:hAnsi="Traditional Arabic" w:cs="Traditional Arabic"/>
          <w:rtl/>
          <w:sz w:val="24"/>
          <w:szCs w:val="24"/>
        </w:rPr>
        <w:t xml:space="preserve"> ابن القيم، إعلام الموقعين عن رب العالمين، 3/11.</w:t>
      </w:r>
    </w:p>
  </w:footnote>
  <w:footnote w:id="10">
    <w:p>
      <w:pPr>
        <w:bidi/>
      </w:pPr>
      <w:r>
        <w:rPr>
          <w:vertAlign w:val="superscript"/>
        </w:rPr>
        <w:footnoteRef/>
      </w:r>
      <w:r>
        <w:rPr>
          <w:rFonts w:ascii="Traditional Arabic" w:hAnsi="Traditional Arabic" w:cs="Traditional Arabic"/>
          <w:rtl/>
          <w:sz w:val="24"/>
          <w:szCs w:val="24"/>
        </w:rPr>
        <w:t xml:space="preserve"> القرافي، الفروق، 1/176.</w:t>
      </w:r>
    </w:p>
  </w:footnote>
  <w:footnote w:id="11">
    <w:p>
      <w:pPr>
        <w:bidi/>
      </w:pPr>
      <w:r>
        <w:rPr>
          <w:vertAlign w:val="superscript"/>
        </w:rPr>
        <w:footnoteRef/>
      </w:r>
      <w:r>
        <w:rPr>
          <w:rFonts w:ascii="Traditional Arabic" w:hAnsi="Traditional Arabic" w:cs="Traditional Arabic"/>
          <w:rtl/>
          <w:sz w:val="24"/>
          <w:szCs w:val="24"/>
        </w:rPr>
        <w:t xml:space="preserve"> ابن عابدين، نشر العرف في بناء بعض الأحكام على العرف (ضمن مجموع رسائل ابن عابدين)، 2/125.</w:t>
      </w:r>
    </w:p>
  </w:footnote>
  <w:footnote w:id="12">
    <w:p>
      <w:pPr>
        <w:bidi/>
      </w:pPr>
      <w:r>
        <w:rPr>
          <w:vertAlign w:val="superscript"/>
        </w:rPr>
        <w:footnoteRef/>
      </w:r>
      <w:r>
        <w:rPr>
          <w:rFonts w:ascii="Traditional Arabic" w:hAnsi="Traditional Arabic" w:cs="Traditional Arabic"/>
          <w:rtl/>
          <w:sz w:val="24"/>
          <w:szCs w:val="24"/>
        </w:rPr>
        <w:t xml:space="preserve"> مجلة الأحكام العدلية، المادة 39.</w:t>
      </w:r>
    </w:p>
  </w:footnote>
  <w:footnote w:id="13">
    <w:p>
      <w:pPr>
        <w:bidi/>
      </w:pPr>
      <w:r>
        <w:rPr>
          <w:vertAlign w:val="superscript"/>
        </w:rPr>
        <w:footnoteRef/>
      </w:r>
      <w:r>
        <w:rPr>
          <w:rFonts w:ascii="Traditional Arabic" w:hAnsi="Traditional Arabic" w:cs="Traditional Arabic"/>
          <w:rtl/>
          <w:sz w:val="24"/>
          <w:szCs w:val="24"/>
        </w:rPr>
        <w:t xml:space="preserve"> الغزالي، المستصفى، </w:t>
      </w:r>
      <w:r>
        <w:rPr>
          <w:rFonts w:ascii="Traditional Arabic" w:hAnsi="Traditional Arabic" w:cs="Traditional Arabic"/>
          <w:highlight w:val="yellow"/>
          <w:rtl/>
          <w:sz w:val="24"/>
          <w:szCs w:val="24"/>
        </w:rPr>
        <w:t xml:space="preserve">ص57</w:t>
      </w:r>
      <w:r>
        <w:rPr>
          <w:rFonts w:ascii="Traditional Arabic" w:hAnsi="Traditional Arabic" w:cs="Traditional Arabic"/>
          <w:rtl/>
          <w:sz w:val="24"/>
          <w:szCs w:val="24"/>
        </w:rPr>
        <w:t xml:space="preserve">.</w:t>
      </w:r>
    </w:p>
  </w:footnote>
  <w:footnote w:id="14">
    <w:p>
      <w:pPr>
        <w:bidi/>
      </w:pPr>
      <w:r>
        <w:rPr>
          <w:vertAlign w:val="superscript"/>
        </w:rPr>
        <w:footnoteRef/>
      </w:r>
      <w:r>
        <w:rPr>
          <w:rFonts w:ascii="Traditional Arabic" w:hAnsi="Traditional Arabic" w:cs="Traditional Arabic"/>
          <w:rtl/>
          <w:sz w:val="24"/>
          <w:szCs w:val="24"/>
        </w:rPr>
        <w:t xml:space="preserve"> الشاطبي، الموافقات، </w:t>
      </w:r>
      <w:r>
        <w:rPr>
          <w:rFonts w:ascii="Traditional Arabic" w:hAnsi="Traditional Arabic" w:cs="Traditional Arabic"/>
          <w:highlight w:val="yellow"/>
          <w:rtl/>
          <w:sz w:val="24"/>
          <w:szCs w:val="24"/>
        </w:rPr>
        <w:t xml:space="preserve">5/177</w:t>
      </w:r>
      <w:r>
        <w:rPr>
          <w:rFonts w:ascii="Traditional Arabic" w:hAnsi="Traditional Arabic" w:cs="Traditional Arabic"/>
          <w:rtl/>
          <w:sz w:val="24"/>
          <w:szCs w:val="24"/>
        </w:rPr>
        <w:t xml:space="preserve">.</w:t>
      </w:r>
    </w:p>
  </w:footnote>
  <w:footnote w:id="15">
    <w:p>
      <w:pPr>
        <w:bidi/>
      </w:pPr>
      <w:r>
        <w:rPr>
          <w:vertAlign w:val="superscript"/>
        </w:rPr>
        <w:footnoteRef/>
      </w:r>
      <w:r>
        <w:rPr>
          <w:rFonts w:ascii="Traditional Arabic" w:hAnsi="Traditional Arabic" w:cs="Traditional Arabic"/>
          <w:rtl/>
          <w:sz w:val="24"/>
          <w:szCs w:val="24"/>
        </w:rPr>
        <w:t xml:space="preserve"> الكاساني، بدائع الصنائع، 4/210؛ البهوتي، كشاف القناع، 4/25.</w:t>
      </w:r>
    </w:p>
  </w:footnote>
  <w:footnote w:id="16">
    <w:p>
      <w:pPr>
        <w:bidi/>
      </w:pPr>
      <w:r>
        <w:rPr>
          <w:vertAlign w:val="superscript"/>
        </w:rPr>
        <w:footnoteRef/>
      </w:r>
      <w:r>
        <w:rPr>
          <w:rFonts w:ascii="Traditional Arabic" w:hAnsi="Traditional Arabic" w:cs="Traditional Arabic"/>
          <w:rtl/>
          <w:sz w:val="24"/>
          <w:szCs w:val="24"/>
        </w:rPr>
        <w:t xml:space="preserve"> ابن فرحون، تبصرة الحكام، 1/195.</w:t>
      </w:r>
    </w:p>
  </w:footnote>
  <w:footnote w:id="17">
    <w:p>
      <w:pPr>
        <w:bidi/>
      </w:pPr>
      <w:r>
        <w:rPr>
          <w:vertAlign w:val="superscript"/>
        </w:rPr>
        <w:footnoteRef/>
      </w:r>
      <w:r>
        <w:rPr>
          <w:rFonts w:ascii="Traditional Arabic" w:hAnsi="Traditional Arabic" w:cs="Traditional Arabic"/>
          <w:rtl/>
          <w:sz w:val="24"/>
          <w:szCs w:val="24"/>
        </w:rPr>
        <w:t xml:space="preserve"> ابن القيم، الطرق الحكمية، ص89.</w:t>
      </w:r>
    </w:p>
  </w:footnote>
  <w:footnote w:id="18">
    <w:p>
      <w:pPr>
        <w:bidi/>
      </w:pPr>
      <w:r>
        <w:rPr>
          <w:vertAlign w:val="superscript"/>
        </w:rPr>
        <w:footnoteRef/>
      </w:r>
      <w:r>
        <w:rPr>
          <w:rFonts w:ascii="Traditional Arabic" w:hAnsi="Traditional Arabic" w:cs="Traditional Arabic"/>
          <w:rtl/>
          <w:sz w:val="24"/>
          <w:szCs w:val="24"/>
        </w:rPr>
        <w:t xml:space="preserve"> ابن القيم، الطرق الحكمية، ص14.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870BB" w14:textId="77777777" w:rsidR="009F31FB" w:rsidRDefault="009F31F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C1F5A" w14:textId="77777777" w:rsidR="009F31FB" w:rsidRDefault="009F31FB">
    <w:pPr>
      <w:pStyle w:val="a5"/>
      <w:bidi/>
      <w:jc w:val="center"/>
      <w:rPr>
        <w:sz w:val="24"/>
        <w:szCs w:val="24"/>
      </w:rPr>
    </w:pPr>
    <w:r>
      <w:rPr>
        <w:rFonts w:ascii="Traditional Arabic" w:hAnsi="Traditional Arabic" w:cs="Traditional Arabic" w:hint="cs"/>
        <w:color w:val="787878"/>
        <w:sz w:val="20"/>
        <w:szCs w:val="20"/>
        <w:rtl/>
      </w:rPr>
      <w:t>المؤتمر الدولي السادس للدراسات الإسلامية المعاصرة والقضايا المستجدة (</w:t>
    </w:r>
    <w:r>
      <w:rPr>
        <w:rFonts w:ascii="Traditional Arabic" w:hAnsi="Traditional Arabic" w:cs="Traditional Arabic" w:hint="cs"/>
        <w:color w:val="787878"/>
        <w:sz w:val="20"/>
        <w:szCs w:val="20"/>
      </w:rPr>
      <w:t>ICCISEI 2026</w:t>
    </w:r>
    <w:r>
      <w:rPr>
        <w:rFonts w:ascii="Traditional Arabic" w:hAnsi="Traditional Arabic" w:cs="Traditional Arabic" w:hint="cs"/>
        <w:color w:val="787878"/>
        <w:sz w:val="20"/>
        <w:szCs w:val="20"/>
        <w:rtl/>
      </w:rPr>
      <w:t>)</w:t>
    </w:r>
    <w:r>
      <w:rPr>
        <w:rFonts w:ascii="Traditional Arabic" w:hAnsi="Traditional Arabic" w:cs="Traditional Arabic" w:hint="cs"/>
        <w:color w:val="787878"/>
        <w:sz w:val="20"/>
        <w:szCs w:val="20"/>
        <w:rtl/>
      </w:rPr>
      <w:br/>
      <w:t>جامعة المدينة العالمية</w:t>
    </w:r>
  </w:p>
  <w:p w14:paraId="7EA87493" w14:textId="5DCB94BD" w:rsidR="002878CA" w:rsidRDefault="009F31FB">
    <w:pPr>
      <w:pStyle w:val="a5"/>
    </w:pPr>
    <w: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C6CC58" w14:textId="77777777" w:rsidR="009F31FB" w:rsidRDefault="009F31F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1492259">
    <w:abstractNumId w:val="8"/>
  </w:num>
  <w:num w:numId="2" w16cid:durableId="195318873">
    <w:abstractNumId w:val="6"/>
  </w:num>
  <w:num w:numId="3" w16cid:durableId="512378246">
    <w:abstractNumId w:val="5"/>
  </w:num>
  <w:num w:numId="4" w16cid:durableId="1150362364">
    <w:abstractNumId w:val="4"/>
  </w:num>
  <w:num w:numId="5" w16cid:durableId="811486131">
    <w:abstractNumId w:val="7"/>
  </w:num>
  <w:num w:numId="6" w16cid:durableId="1947151548">
    <w:abstractNumId w:val="3"/>
  </w:num>
  <w:num w:numId="7" w16cid:durableId="1248416341">
    <w:abstractNumId w:val="2"/>
  </w:num>
  <w:num w:numId="8" w16cid:durableId="249511441">
    <w:abstractNumId w:val="1"/>
  </w:num>
  <w:num w:numId="9" w16cid:durableId="869807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8CA"/>
    <w:rsid w:val="0029639D"/>
    <w:rsid w:val="002A3DDE"/>
    <w:rsid w:val="00326F90"/>
    <w:rsid w:val="00965695"/>
    <w:rsid w:val="009F31FB"/>
    <w:rsid w:val="00AA1D8D"/>
    <w:rsid w:val="00AA2A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1D14A"/>
  <w14:defaultImageDpi w14:val="300"/>
  <w15:docId w15:val="{A13FDB58-DDE5-5547-85FD-C7EF48FA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a1"/>
    <w:rsid w:val="009F31FB"/>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FF1A43-F2EB-464D-9A05-0003D1062D5C}">
  <we:reference id="wa200010453" version="1.0.0.1" store="en-US" storeType="OMEX"/>
  <we:alternateReferences>
    <we:reference id="WA200010453" version="1.0.0.1" store="" storeType="OMEX"/>
  </we:alternateReferences>
  <we:properties>
    <we:property name="claude.fileId" value="&quot;5a316aa2-f31b-4833-9aff-c06459a717d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5135</Words>
  <Characters>27785</Characters>
  <Application>Microsoft Office Word</Application>
  <DocSecurity>0</DocSecurity>
  <Lines>448</Lines>
  <Paragraphs>118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مركز الملك فهد الثقافي الإسلامي في جمهورية الأرجنتين</cp:lastModifiedBy>
  <cp:revision>2</cp:revision>
  <dcterms:created xsi:type="dcterms:W3CDTF">2013-12-23T23:15:00Z</dcterms:created>
  <dcterms:modified xsi:type="dcterms:W3CDTF">2026-10-13T00:37:00Z</dcterms:modified>
  <cp:category/>
</cp:coreProperties>
</file>