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07732" w14:textId="77777777" w:rsidR="002878CA" w:rsidRDefault="00000000" w:rsidP="00965695">
      <w:pPr>
        <w:keepNext/>
        <w:bidi/>
        <w:spacing w:before="360" w:after="160"/>
      </w:pPr>
      <w:r>
        <w:rPr>
          <w:rFonts w:ascii="Traditional Arabic" w:hAnsi="Traditional Arabic"/>
          <w:b/>
          <w:color w:val="0D5C3A"/>
          <w:sz w:val="36"/>
        </w:rPr>
        <w:lastRenderedPageBreak/>
        <w:t>الخاتمة: النتائج والتوصيات</w:t>
      </w:r>
    </w:p>
    <w:p w14:paraId="5B598F2E" w14:textId="77777777" w:rsidR="002878CA" w:rsidRDefault="00000000" w:rsidP="00965695">
      <w:pPr>
        <w:keepNext/>
        <w:bidi/>
        <w:spacing w:before="280" w:after="120"/>
      </w:pPr>
      <w:r>
        <w:rPr>
          <w:rFonts w:ascii="Traditional Arabic" w:hAnsi="Traditional Arabic"/>
          <w:b/>
          <w:color w:val="143250"/>
          <w:sz w:val="32"/>
        </w:rPr>
        <w:t>أولاً: أهم النتائج</w:t>
      </w:r>
    </w:p>
    <w:p w14:paraId="15D6C5A2" w14:textId="77777777" w:rsidR="002878CA" w:rsidRDefault="00000000" w:rsidP="00965695">
      <w:pPr>
        <w:bidi/>
        <w:spacing w:after="120"/>
      </w:pPr>
      <w:commentRangeStart w:id="0"/>
      <w:r>
        <w:rPr>
          <w:rFonts w:ascii="Traditional Arabic" w:hAnsi="Traditional Arabic"/>
          <w:color w:val="282828"/>
          <w:sz w:val="30"/>
        </w:rPr>
        <w:t>خلصت الدراسة إلى النتائج الآتية:</w:t>
      </w:r>
      <w:commentRangeEnd w:id="0"/>
      <w:r>
        <w:rPr>
          <w:rStyle w:val="CommentReference"/>
        </w:rPr>
        <w:commentReference w:id="0"/>
      </w:r>
      <w:r>
        <w:rPr>
          <w:rFonts w:ascii="Traditional Arabic" w:hAnsi="Traditional Arabic"/>
          <w:color w:val="282828"/>
          <w:sz w:val="30"/>
        </w:rPr>
        <w:br/>
        <w:t>1. عقد النكاح المستوفي لأركانه وشروطه صحيح شرعاً في الأصل ديانة، إلا أن الاكتفاء به دون تسجيل مدني في ديار الأقليات يوقع الأسرة في فراغ قانوني يُعطل مقصد الإشهاد وحماية الحقوق أمام المحاكم.</w:t>
      </w:r>
      <w:r>
        <w:rPr>
          <w:rFonts w:ascii="Traditional Arabic" w:hAnsi="Traditional Arabic"/>
          <w:color w:val="282828"/>
          <w:sz w:val="30"/>
        </w:rPr>
        <w:br/>
        <w:t xml:space="preserve">2. توثيق الزواج في السجل المدني </w:t>
      </w:r>
      <w:commentRangeStart w:id="1"/>
      <w:r>
        <w:rPr>
          <w:rFonts w:ascii="Traditional Arabic" w:hAnsi="Traditional Arabic"/>
          <w:color w:val="282828"/>
          <w:sz w:val="30"/>
          <w:highlight w:val="yellow"/>
        </w:rPr>
        <w:t xml:space="preserve">الأرجنتيني متعيّن شرعاً عند القدرة؛ تأصيلاً</w:t>
      </w:r>
      <w:commentRangeEnd w:id="1"/>
      <w:r>
        <w:rPr>
          <w:rStyle w:val="CommentReference"/>
        </w:rPr>
        <w:commentReference w:id="1"/>
      </w:r>
      <w:r>
        <w:rPr>
          <w:rFonts w:ascii="Traditional Arabic" w:hAnsi="Traditional Arabic"/>
          <w:color w:val="282828"/>
          <w:sz w:val="30"/>
        </w:rPr>
        <w:t xml:space="preserve"> على قاعدة مقدمة الواجب «ما لا يتم الواجب إلا به فهو واجب»، وقاعدتي «سد الذرائع» و«تغير الأحكام بتغير الأزمنة». والبدائل التعاقدية الأخرى مخارج استثنائية لمن تعذر عليه التسجيل لمانع مؤقت.</w:t>
      </w:r>
      <w:r>
        <w:rPr>
          <w:rFonts w:ascii="Traditional Arabic" w:hAnsi="Traditional Arabic"/>
          <w:color w:val="282828"/>
          <w:sz w:val="30"/>
        </w:rPr>
        <w:br/>
        <w:t>3. يستند اشتراط التوثيق إلى نظائر فقهية تاريخية في السياسة الشرعية؛ كتضمين الصناع المشتركين، وفرض تزكية الشهود، وما قررته القوانين الشرعية كاللائحة المصرية لعام 1931 في عدم سماع دعوى الزوجية عند الإنكار بغير وثيقة رسمية.</w:t>
      </w:r>
      <w:r>
        <w:rPr>
          <w:rFonts w:ascii="Traditional Arabic" w:hAnsi="Traditional Arabic"/>
          <w:color w:val="282828"/>
          <w:sz w:val="30"/>
        </w:rPr>
        <w:br/>
        <w:t xml:space="preserve">4. يعتمد القانون الأرجنتيني (Ley 26.994) احتكار الدولة للزواج المدني، </w:t>
      </w:r>
      <w:commentRangeStart w:id="2"/>
      <w:r>
        <w:rPr>
          <w:rFonts w:ascii="Traditional Arabic" w:hAnsi="Traditional Arabic"/>
          <w:color w:val="282828"/>
          <w:sz w:val="30"/>
          <w:highlight w:val="yellow"/>
        </w:rPr>
        <w:t xml:space="preserve">ولا يرتب على الزواج الديني غير المسجل وحده أثراً مدنياً، ولا تنطبق عليه إلا أحكام المساكنة متى توافرت شروطها، ومنها مدة سنتين وانتفاء مانع الزواج القائم</w:t>
      </w:r>
      <w:commentRangeEnd w:id="2"/>
      <w:r>
        <w:rPr>
          <w:rStyle w:val="CommentReference"/>
        </w:rPr>
        <w:commentReference w:id="2"/>
      </w:r>
      <w:r>
        <w:rPr>
          <w:rFonts w:ascii="Traditional Arabic" w:hAnsi="Traditional Arabic"/>
          <w:color w:val="282828"/>
          <w:sz w:val="30"/>
        </w:rPr>
        <w:t xml:space="preserve">، ويحرم المرأة من الإرث التلقائي، والنفقة المستمرة، </w:t>
      </w:r>
      <w:commentRangeStart w:id="3"/>
      <w:r>
        <w:rPr>
          <w:rFonts w:ascii="Traditional Arabic" w:hAnsi="Traditional Arabic"/>
          <w:color w:val="282828"/>
          <w:sz w:val="30"/>
          <w:highlight w:val="yellow"/>
        </w:rPr>
        <w:t xml:space="preserve">ويسقط حقها في المقابل الاقتصادي بمضي ستة أشهر من انتهاء المساكنة</w:t>
      </w:r>
      <w:commentRangeEnd w:id="3"/>
      <w:r>
        <w:rPr>
          <w:rStyle w:val="CommentReference"/>
        </w:rPr>
        <w:commentReference w:id="3"/>
      </w:r>
      <w:r>
        <w:rPr>
          <w:rFonts w:ascii="Traditional Arabic" w:hAnsi="Traditional Arabic"/>
          <w:color w:val="282828"/>
          <w:sz w:val="30"/>
        </w:rPr>
        <w:t xml:space="preserve">.</w:t>
      </w:r>
      <w:r>
        <w:rPr>
          <w:rFonts w:ascii="Traditional Arabic" w:hAnsi="Traditional Arabic"/>
          <w:color w:val="282828"/>
          <w:sz w:val="30"/>
        </w:rPr>
        <w:br/>
        <w:t>5. تثبت جنسية الطفل المولود في الأرجنتين تلقائياً بحق الإقليم، في حين يتطلب ثبوت نسبه للأب في الزواج غير المسجل اعترافاً طوعياً رسمياً أو دعوى إثبات بنوة وفحصاً وراثياً.</w:t>
      </w:r>
      <w:commentRangeStart w:id="4"/>
      <w:r>
        <w:rPr>
          <w:rFonts w:ascii="Traditional Arabic" w:hAnsi="Traditional Arabic"/>
          <w:color w:val="282828"/>
          <w:sz w:val="30"/>
        </w:rPr>
        <w:br/>
        <w:t>6. يتحمل الإمام والمركز الإسلامي مسؤولية أدبية وتوجيهية متى باشر العقد دون تثبت من القيد المدني؛ لكونه مظنة التغرير بالمرأة والتسبب في ضياع حقوقها.</w:t>
      </w:r>
      <w:commentRangeEnd w:id="4"/>
      <w:r>
        <w:rPr>
          <w:rStyle w:val="CommentReference"/>
        </w:rPr>
        <w:commentReference w:id="4"/>
      </w:r>
      <w:r>
        <w:rPr>
          <w:rFonts w:ascii="Traditional Arabic" w:hAnsi="Traditional Arabic"/>
          <w:color w:val="282828"/>
          <w:sz w:val="30"/>
        </w:rPr>
        <w:br/>
        <w:t xml:space="preserve">7. مشروعية الاستعانة بالتدابير الوقائية (ك</w:t>
      </w:r>
      <w:commentRangeStart w:id="5"/>
      <w:r>
        <w:rPr>
          <w:rFonts w:ascii="Traditional Arabic" w:hAnsi="Traditional Arabic"/>
          <w:color w:val="282828"/>
          <w:sz w:val="30"/>
          <w:highlight w:val="yellow"/>
        </w:rPr>
        <w:t xml:space="preserve">اتفاقات المساكنة</w:t>
      </w:r>
      <w:commentRangeEnd w:id="5"/>
      <w:r>
        <w:rPr>
          <w:rStyle w:val="CommentReference"/>
        </w:rPr>
        <w:commentReference w:id="5"/>
      </w:r>
      <w:r>
        <w:rPr>
          <w:rFonts w:ascii="Traditional Arabic" w:hAnsi="Traditional Arabic"/>
          <w:color w:val="282828"/>
          <w:sz w:val="30"/>
        </w:rPr>
        <w:t xml:space="preserve">، وقيد المهر، والوصية في حدود الجزء المتاح قانوناً)، وتوظيف القرائن الرقمية وأدوات الذكاء الاصطناعي في التدقيق والتوعية الأسرية.</w:t>
      </w:r>
    </w:p>
    <w:p w14:paraId="6B689D3C" w14:textId="77777777" w:rsidR="002878CA" w:rsidRDefault="00000000" w:rsidP="00965695">
      <w:pPr>
        <w:keepNext/>
        <w:bidi/>
        <w:spacing w:before="280" w:after="120"/>
      </w:pPr>
      <w:r>
        <w:rPr>
          <w:rFonts w:ascii="Traditional Arabic" w:hAnsi="Traditional Arabic"/>
          <w:b/>
          <w:color w:val="143250"/>
          <w:sz w:val="32"/>
        </w:rPr>
        <w:t>ثانياً: التوصيات</w:t>
      </w:r>
    </w:p>
    <w:p w14:paraId="2764E848" w14:textId="77777777" w:rsidR="002878CA" w:rsidRDefault="00000000" w:rsidP="00965695">
      <w:pPr>
        <w:bidi/>
        <w:spacing w:after="120"/>
      </w:pPr>
      <w:commentRangeStart w:id="6"/>
      <w:r>
        <w:rPr>
          <w:rFonts w:ascii="Traditional Arabic" w:hAnsi="Traditional Arabic"/>
          <w:color w:val="282828"/>
          <w:sz w:val="30"/>
          <w:highlight w:val="yellow"/>
        </w:rPr>
        <w:t xml:space="preserve">يوصي البحث</w:t>
      </w:r>
      <w:commentRangeEnd w:id="6"/>
      <w:r>
        <w:rPr>
          <w:rStyle w:val="CommentReference"/>
        </w:rPr>
        <w:commentReference w:id="6"/>
      </w:r>
      <w:r>
        <w:rPr>
          <w:rFonts w:ascii="Traditional Arabic" w:hAnsi="Traditional Arabic"/>
          <w:color w:val="282828"/>
          <w:sz w:val="30"/>
        </w:rPr>
        <w:t xml:space="preserve"> بما يأتي:</w:t>
      </w:r>
      <w:commentRangeStart w:id="7"/>
      <w:r>
        <w:rPr>
          <w:rFonts w:ascii="Traditional Arabic" w:hAnsi="Traditional Arabic"/>
          <w:color w:val="282828"/>
          <w:sz w:val="30"/>
        </w:rPr>
        <w:br/>
        <w:t>1. إلزام المراكز الإسلامية والأئمة في الأرجنتين بعدم إجراء أي عقد شرعي إلا بعد استلام وثيقة الزواج المدني الصادرة من السجل الرسمي للدولة.</w:t>
      </w:r>
      <w:commentRangeEnd w:id="7"/>
      <w:r>
        <w:rPr>
          <w:rStyle w:val="CommentReference"/>
        </w:rPr>
        <w:commentReference w:id="7"/>
      </w:r>
      <w:r>
        <w:rPr>
          <w:rFonts w:ascii="Traditional Arabic" w:hAnsi="Traditional Arabic"/>
          <w:color w:val="282828"/>
          <w:sz w:val="30"/>
        </w:rPr>
        <w:br/>
        <w:t xml:space="preserve">2. إعداد نماذج قانونية استرشادية ل</w:t>
      </w:r>
      <w:r>
        <w:rPr>
          <w:rFonts w:ascii="Traditional Arabic" w:hAnsi="Traditional Arabic"/>
          <w:color w:val="282828"/>
          <w:sz w:val="30"/>
          <w:highlight w:val="yellow"/>
        </w:rPr>
        <w:t xml:space="preserve">اتفاقات المساكنة</w:t>
      </w:r>
      <w:r>
        <w:rPr>
          <w:rFonts w:ascii="Traditional Arabic" w:hAnsi="Traditional Arabic"/>
          <w:color w:val="282828"/>
          <w:sz w:val="30"/>
        </w:rPr>
        <w:t xml:space="preserve"> والوصايا الشرعية بالتعاون مع كتاب العدل والمحامين، لمساعدة الحالات </w:t>
      </w:r>
      <w:r>
        <w:rPr>
          <w:rFonts w:ascii="Traditional Arabic" w:hAnsi="Traditional Arabic"/>
          <w:color w:val="282828"/>
          <w:sz w:val="30"/>
        </w:rPr>
        <w:lastRenderedPageBreak/>
        <w:t>المعذورة مؤقتاً.</w:t>
      </w:r>
      <w:r>
        <w:rPr>
          <w:rFonts w:ascii="Traditional Arabic" w:hAnsi="Traditional Arabic"/>
          <w:color w:val="282828"/>
          <w:sz w:val="30"/>
        </w:rPr>
        <w:br/>
        <w:t>3. إطلاق منصات رقمية واستخدام أدوات ذكية لتسهيل تدقيق وثائق المقبلين على الزواج وتوعيتهم بأحكام الشريعة ومتطلبات القانون.</w:t>
      </w:r>
      <w:r>
        <w:rPr>
          <w:rFonts w:ascii="Traditional Arabic" w:hAnsi="Traditional Arabic"/>
          <w:color w:val="282828"/>
          <w:sz w:val="30"/>
        </w:rPr>
        <w:br/>
        <w:t>4. تنظيم دورات تثقيف وتأهيل أسري إلزامية في المراكز الإسلامية للمقبلين على الزواج.</w:t>
      </w:r>
      <w:r>
        <w:rPr>
          <w:rFonts w:ascii="Traditional Arabic" w:hAnsi="Traditional Arabic"/>
          <w:color w:val="282828"/>
          <w:sz w:val="30"/>
        </w:rPr>
        <w:br/>
        <w:t>5. حث الباحثين والمجامع الفقهية على مزيد من العناية بواقع الأقليات المسلمة في أمريكا اللاتينية والبحث المقارن في قوانينها.</w:t>
      </w:r>
    </w:p>
    <w:sectPr w:rsidR="002878CA" w:rsidRPr="009F31FB"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مراجعة)" w:initials="CL" w:date="2026-10-19T06:00:20Z">
    <w:p>
      <w:pPr>
        <w:pStyle w:val="CommentText"/>
      </w:pPr>
      <w:r>
        <w:rPr>
          <w:rStyle w:val="CommentReference"/>
        </w:rPr>
        <w:annotationRef/>
      </w:r>
      <w:r>
        <w:t>السؤال الثالث (المقارن) بلا نتيجة، والنتائج لا تتبع ترتيب الأسئلة؛ وفي التقرير صياغة مقترحة لثماني نتائج. التقرير، تاسعًا ١ و٢.</w:t>
      </w:r>
    </w:p>
  </w:comment>
  <w:comment w:id="1" w:author="Claude (مراجعة)" w:initials="CL" w:date="2026-10-19T06:00:20Z">
    <w:p>
      <w:pPr>
        <w:pStyle w:val="CommentText"/>
      </w:pPr>
      <w:r>
        <w:rPr>
          <w:rStyle w:val="CommentReference"/>
        </w:rPr>
        <w:annotationRef/>
      </w:r>
      <w:r>
        <w:t>توحيد درجة الحكم. التقرير، تاسعًا ١.</w:t>
      </w:r>
    </w:p>
  </w:comment>
  <w:comment w:id="2" w:author="Claude (مراجعة)" w:initials="CL" w:date="2026-10-19T06:00:20Z">
    <w:p>
      <w:pPr>
        <w:pStyle w:val="CommentText"/>
      </w:pPr>
      <w:r>
        <w:rPr>
          <w:rStyle w:val="CommentReference"/>
        </w:rPr>
        <w:annotationRef/>
      </w:r>
      <w:r>
        <w:t>المواد 406 و510 (د، هـ). التقرير، تاسعًا ٢.</w:t>
      </w:r>
    </w:p>
  </w:comment>
  <w:comment w:id="3" w:author="Claude (مراجعة)" w:initials="CL" w:date="2026-10-19T06:00:20Z">
    <w:p>
      <w:pPr>
        <w:pStyle w:val="CommentText"/>
      </w:pPr>
      <w:r>
        <w:rPr>
          <w:rStyle w:val="CommentReference"/>
        </w:rPr>
        <w:annotationRef/>
      </w:r>
      <w:r>
        <w:t>المادتان 524–525.</w:t>
      </w:r>
    </w:p>
  </w:comment>
  <w:comment w:id="4" w:author="Claude (مراجعة)" w:initials="CL" w:date="2026-10-19T06:00:20Z">
    <w:p>
      <w:pPr>
        <w:pStyle w:val="CommentText"/>
      </w:pPr>
      <w:r>
        <w:rPr>
          <w:rStyle w:val="CommentReference"/>
        </w:rPr>
        <w:annotationRef/>
      </w:r>
      <w:r>
        <w:t>وصف أشد مما تحتمله الأدلة؛ والأدق «سببًا محتملًا لضياع الحقوق». التقرير، تاسعًا ١.</w:t>
      </w:r>
    </w:p>
  </w:comment>
  <w:comment w:id="5" w:author="Claude (مراجعة)" w:initials="CL" w:date="2026-10-19T06:00:20Z">
    <w:p>
      <w:pPr>
        <w:pStyle w:val="CommentText"/>
      </w:pPr>
      <w:r>
        <w:rPr>
          <w:rStyle w:val="CommentReference"/>
        </w:rPr>
        <w:annotationRef/>
      </w:r>
      <w:r>
        <w:t>توحيد المصطلح. التقرير، ثامنًا ٤.</w:t>
      </w:r>
    </w:p>
  </w:comment>
  <w:comment w:id="6" w:author="Claude (مراجعة)" w:initials="CL" w:date="2026-10-19T06:00:20Z">
    <w:p>
      <w:pPr>
        <w:pStyle w:val="CommentText"/>
      </w:pPr>
      <w:r>
        <w:rPr>
          <w:rStyle w:val="CommentReference"/>
        </w:rPr>
        <w:annotationRef/>
      </w:r>
      <w:r>
        <w:t>قاعدة ملف التسليم.</w:t>
      </w:r>
    </w:p>
  </w:comment>
  <w:comment w:id="7" w:author="Claude (مراجعة)" w:initials="CL" w:date="2026-10-19T06:00:20Z">
    <w:p>
      <w:pPr>
        <w:pStyle w:val="CommentText"/>
      </w:pPr>
      <w:r>
        <w:rPr>
          <w:rStyle w:val="CommentReference"/>
        </w:rPr>
        <w:annotationRef/>
      </w:r>
      <w:r>
        <w:t>التوصية تمنع «أي عقد شرعي» فتعارض الثانية في «الحالات المعذورة»، ولا جهة ملزِمة للمراكز. والمقترح: «أن تتفق المراكز…» مع الاستثناء المنضبط، وإضافة توصية الجمع بين العقدين بالمادة 418. التقرير، تاسعًا ٤.</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50172" w14:textId="77777777" w:rsidR="002A3DDE" w:rsidRDefault="002A3DDE">
      <w:pPr>
        <w:spacing w:after="0" w:line="240" w:lineRule="auto"/>
      </w:pPr>
      <w:r>
        <w:separator/>
      </w:r>
    </w:p>
  </w:endnote>
  <w:endnote w:type="continuationSeparator" w:id="0">
    <w:p w14:paraId="48D4E4C3" w14:textId="77777777" w:rsidR="002A3DDE" w:rsidRDefault="002A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090CA" w14:textId="77777777" w:rsidR="009F31FB" w:rsidRDefault="009F31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3419F" w14:textId="5D24DD5B" w:rsidR="009F31FB" w:rsidRDefault="009F31FB">
    <w:pPr>
      <w:pStyle w:val="a6"/>
      <w:jc w:val="center"/>
      <w:rPr>
        <w:sz w:val="24"/>
        <w:szCs w:val="24"/>
      </w:rPr>
    </w:pPr>
    <w:r>
      <w:rPr>
        <w:rFonts w:ascii="Traditional Arabic" w:hAnsi="Traditional Arabic" w:cs="Traditional Arabic" w:hint="cs"/>
        <w:color w:val="787878"/>
        <w:sz w:val="20"/>
        <w:szCs w:val="20"/>
      </w:rPr>
      <w:t xml:space="preserve">- </w:t>
    </w:r>
    <w:r>
      <w:fldChar w:fldCharType="begin"/>
    </w:r>
    <w:r>
      <w:instrText>PAGE</w:instrText>
    </w:r>
    <w:r>
      <w:fldChar w:fldCharType="separate"/>
    </w:r>
    <w:r>
      <w:rPr>
        <w:noProof/>
      </w:rPr>
      <w:t>1</w:t>
    </w:r>
    <w:r>
      <w:fldChar w:fldCharType="end"/>
    </w:r>
    <w:r>
      <w:rPr>
        <w:rFonts w:ascii="Traditional Arabic" w:hAnsi="Traditional Arabic" w:cs="Traditional Arabic" w:hint="cs"/>
        <w:color w:val="787878"/>
        <w:sz w:val="20"/>
        <w:szCs w:val="20"/>
      </w:rPr>
      <w:t xml:space="preserve"> -</w:t>
    </w:r>
  </w:p>
  <w:p w14:paraId="02E62C7B" w14:textId="19F958B1" w:rsidR="002878CA" w:rsidRDefault="009F31FB">
    <w:pPr>
      <w:pStyle w:val="a6"/>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3C25F" w14:textId="77777777" w:rsidR="009F31FB" w:rsidRDefault="009F31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791A8" w14:textId="77777777" w:rsidR="002A3DDE" w:rsidRDefault="002A3DDE">
      <w:pPr>
        <w:spacing w:after="0" w:line="240" w:lineRule="auto"/>
      </w:pPr>
      <w:r>
        <w:separator/>
      </w:r>
    </w:p>
  </w:footnote>
  <w:footnote w:type="continuationSeparator" w:id="0">
    <w:p w14:paraId="4DCC7B9C" w14:textId="77777777" w:rsidR="002A3DDE" w:rsidRDefault="002A3DDE">
      <w:pPr>
        <w:spacing w:after="0" w:line="240" w:lineRule="auto"/>
      </w:pPr>
      <w:r>
        <w:continuationSeparator/>
      </w:r>
    </w:p>
  </w:footnote>
  <w:footnote w:id="1">
    <w:p>
      <w:pPr>
        <w:bidi/>
      </w:pPr>
      <w:r>
        <w:rPr>
          <w:vertAlign w:val="superscript"/>
        </w:rPr>
        <w:footnoteRef/>
      </w:r>
      <w:r>
        <w:rPr>
          <w:rFonts w:ascii="Traditional Arabic" w:hAnsi="Traditional Arabic" w:cs="Traditional Arabic"/>
          <w:rtl/>
          <w:sz w:val="24"/>
          <w:szCs w:val="24"/>
        </w:rPr>
        <w:t xml:space="preserve"> العتيبي، فيصل بن عبد الله، عقد الزواج غير الموثق رسمياً وأحكامه في الفقه الإسلامي، رسالة ماجستير غير منشورة، كلية الشريعة، جامعة أم القرى، 2014.</w:t>
      </w:r>
    </w:p>
  </w:footnote>
  <w:footnote w:id="2">
    <w:p>
      <w:pPr>
        <w:bidi/>
      </w:pPr>
      <w:r>
        <w:rPr>
          <w:vertAlign w:val="superscript"/>
        </w:rPr>
        <w:footnoteRef/>
      </w:r>
      <w:r>
        <w:rPr>
          <w:rFonts w:ascii="Traditional Arabic" w:hAnsi="Traditional Arabic" w:cs="Traditional Arabic"/>
          <w:rtl/>
          <w:sz w:val="24"/>
          <w:szCs w:val="24"/>
        </w:rPr>
        <w:t xml:space="preserve"> الزحيلي، وهبة بن مصطفى، الفقه الإسلامي وأدلته، ط4، دار الفكر، 2002.</w:t>
      </w:r>
    </w:p>
  </w:footnote>
  <w:footnote w:id="3">
    <w:p>
      <w:pPr>
        <w:bidi/>
      </w:pPr>
      <w:r>
        <w:rPr>
          <w:vertAlign w:val="superscript"/>
        </w:rPr>
        <w:footnoteRef/>
      </w:r>
      <w:r>
        <w:rPr>
          <w:rFonts w:ascii="Traditional Arabic" w:hAnsi="Traditional Arabic" w:cs="Traditional Arabic"/>
          <w:rtl/>
          <w:sz w:val="24"/>
          <w:szCs w:val="24"/>
        </w:rPr>
        <w:t xml:space="preserve"> Ferguson, L. (2018). Unregistered Muslim marriages in the UK: Examining the intersections of religion, law and gender. Oxford Journal of Law and Religion, 7(2), 273–296.</w:t>
      </w:r>
    </w:p>
  </w:footnote>
  <w:footnote w:id="4">
    <w:p>
      <w:pPr>
        <w:bidi/>
      </w:pPr>
      <w:r>
        <w:rPr>
          <w:vertAlign w:val="superscript"/>
        </w:rPr>
        <w:footnoteRef/>
      </w:r>
      <w:r>
        <w:rPr>
          <w:rFonts w:ascii="Traditional Arabic" w:hAnsi="Traditional Arabic" w:cs="Traditional Arabic"/>
          <w:rtl/>
          <w:sz w:val="24"/>
          <w:szCs w:val="24"/>
        </w:rPr>
        <w:t xml:space="preserve"> Bano, S. (2017). Modern family law and religious legal traditions: Unregistered Muslim marriages in England and Wales. Journal of Social Welfare and Family Law, 39(4), 488–505.</w:t>
      </w:r>
    </w:p>
  </w:footnote>
  <w:footnote w:id="5">
    <w:p>
      <w:pPr>
        <w:bidi/>
      </w:pPr>
      <w:r>
        <w:rPr>
          <w:vertAlign w:val="superscript"/>
        </w:rPr>
        <w:footnoteRef/>
      </w:r>
      <w:r>
        <w:rPr>
          <w:rFonts w:ascii="Traditional Arabic" w:hAnsi="Traditional Arabic" w:cs="Traditional Arabic"/>
          <w:rtl/>
          <w:sz w:val="24"/>
          <w:szCs w:val="24"/>
        </w:rPr>
        <w:t xml:space="preserve"> Farfán, M. E., &amp; Medina, G. (2018). Las uniones convivenciales en el nuevo Código Civil y Comercial de la Nación. Revista La Ley, 2018(3), 112–129.</w:t>
      </w:r>
    </w:p>
  </w:footnote>
  <w:footnote w:id="6">
    <w:p>
      <w:pPr>
        <w:bidi/>
      </w:pPr>
      <w:r>
        <w:rPr>
          <w:vertAlign w:val="superscript"/>
        </w:rPr>
        <w:footnoteRef/>
      </w:r>
      <w:r>
        <w:rPr>
          <w:rFonts w:ascii="Traditional Arabic" w:hAnsi="Traditional Arabic" w:cs="Traditional Arabic"/>
          <w:rtl/>
          <w:sz w:val="24"/>
          <w:szCs w:val="24"/>
        </w:rPr>
        <w:t xml:space="preserve"> Herrera, M. (2016). Manual de derecho de las familias (2da ed.). Abeledo Perrot.</w:t>
      </w:r>
    </w:p>
  </w:footnote>
  <w:footnote w:id="7">
    <w:p>
      <w:pPr>
        <w:bidi/>
      </w:pPr>
      <w:r>
        <w:rPr>
          <w:vertAlign w:val="superscript"/>
        </w:rPr>
        <w:footnoteRef/>
      </w:r>
      <w:r>
        <w:rPr>
          <w:rFonts w:ascii="Traditional Arabic" w:hAnsi="Traditional Arabic" w:cs="Traditional Arabic"/>
          <w:rtl/>
          <w:sz w:val="24"/>
          <w:szCs w:val="24"/>
        </w:rPr>
        <w:t xml:space="preserve"> ابن قدامة، المغني، 7/6؛ الكاساني، بدائع الصنائع، 2/332.</w:t>
      </w:r>
    </w:p>
  </w:footnote>
  <w:footnote w:id="8">
    <w:p>
      <w:pPr>
        <w:bidi/>
      </w:pPr>
      <w:r>
        <w:rPr>
          <w:vertAlign w:val="superscript"/>
        </w:rPr>
        <w:footnoteRef/>
      </w:r>
      <w:r>
        <w:rPr>
          <w:rFonts w:ascii="Traditional Arabic" w:hAnsi="Traditional Arabic" w:cs="Traditional Arabic"/>
          <w:rtl/>
          <w:sz w:val="24"/>
          <w:szCs w:val="24"/>
        </w:rPr>
        <w:t xml:space="preserve"> الشاطبي، الموافقات، 2/393.</w:t>
      </w:r>
    </w:p>
  </w:footnote>
  <w:footnote w:id="9">
    <w:p>
      <w:pPr>
        <w:bidi/>
      </w:pPr>
      <w:r>
        <w:rPr>
          <w:vertAlign w:val="superscript"/>
        </w:rPr>
        <w:footnoteRef/>
      </w:r>
      <w:r>
        <w:rPr>
          <w:rFonts w:ascii="Traditional Arabic" w:hAnsi="Traditional Arabic" w:cs="Traditional Arabic"/>
          <w:rtl/>
          <w:sz w:val="24"/>
          <w:szCs w:val="24"/>
        </w:rPr>
        <w:t xml:space="preserve"> ابن القيم، إعلام الموقعين عن رب العالمين، 3/11.</w:t>
      </w:r>
    </w:p>
  </w:footnote>
  <w:footnote w:id="10">
    <w:p>
      <w:pPr>
        <w:bidi/>
      </w:pPr>
      <w:r>
        <w:rPr>
          <w:vertAlign w:val="superscript"/>
        </w:rPr>
        <w:footnoteRef/>
      </w:r>
      <w:r>
        <w:rPr>
          <w:rFonts w:ascii="Traditional Arabic" w:hAnsi="Traditional Arabic" w:cs="Traditional Arabic"/>
          <w:rtl/>
          <w:sz w:val="24"/>
          <w:szCs w:val="24"/>
        </w:rPr>
        <w:t xml:space="preserve"> القرافي، الفروق، 1/176.</w:t>
      </w:r>
    </w:p>
  </w:footnote>
  <w:footnote w:id="11">
    <w:p>
      <w:pPr>
        <w:bidi/>
      </w:pPr>
      <w:r>
        <w:rPr>
          <w:vertAlign w:val="superscript"/>
        </w:rPr>
        <w:footnoteRef/>
      </w:r>
      <w:r>
        <w:rPr>
          <w:rFonts w:ascii="Traditional Arabic" w:hAnsi="Traditional Arabic" w:cs="Traditional Arabic"/>
          <w:rtl/>
          <w:sz w:val="24"/>
          <w:szCs w:val="24"/>
        </w:rPr>
        <w:t xml:space="preserve"> ابن عابدين، نشر العرف في بناء بعض الأحكام على العرف (ضمن مجموع رسائل ابن عابدين)، 2/125.</w:t>
      </w:r>
    </w:p>
  </w:footnote>
  <w:footnote w:id="12">
    <w:p>
      <w:pPr>
        <w:bidi/>
      </w:pPr>
      <w:r>
        <w:rPr>
          <w:vertAlign w:val="superscript"/>
        </w:rPr>
        <w:footnoteRef/>
      </w:r>
      <w:r>
        <w:rPr>
          <w:rFonts w:ascii="Traditional Arabic" w:hAnsi="Traditional Arabic" w:cs="Traditional Arabic"/>
          <w:rtl/>
          <w:sz w:val="24"/>
          <w:szCs w:val="24"/>
        </w:rPr>
        <w:t xml:space="preserve"> مجلة الأحكام العدلية، المادة 39.</w:t>
      </w:r>
    </w:p>
  </w:footnote>
  <w:footnote w:id="13">
    <w:p>
      <w:pPr>
        <w:bidi/>
      </w:pPr>
      <w:r>
        <w:rPr>
          <w:vertAlign w:val="superscript"/>
        </w:rPr>
        <w:footnoteRef/>
      </w:r>
      <w:r>
        <w:rPr>
          <w:rFonts w:ascii="Traditional Arabic" w:hAnsi="Traditional Arabic" w:cs="Traditional Arabic"/>
          <w:rtl/>
          <w:sz w:val="24"/>
          <w:szCs w:val="24"/>
        </w:rPr>
        <w:t xml:space="preserve"> الغزالي، المستصفى، </w:t>
      </w:r>
      <w:r>
        <w:rPr>
          <w:rFonts w:ascii="Traditional Arabic" w:hAnsi="Traditional Arabic" w:cs="Traditional Arabic"/>
          <w:highlight w:val="yellow"/>
          <w:rtl/>
          <w:sz w:val="24"/>
          <w:szCs w:val="24"/>
        </w:rPr>
        <w:t xml:space="preserve">ص57</w:t>
      </w:r>
      <w:r>
        <w:rPr>
          <w:rFonts w:ascii="Traditional Arabic" w:hAnsi="Traditional Arabic" w:cs="Traditional Arabic"/>
          <w:rtl/>
          <w:sz w:val="24"/>
          <w:szCs w:val="24"/>
        </w:rPr>
        <w:t xml:space="preserve">.</w:t>
      </w:r>
    </w:p>
  </w:footnote>
  <w:footnote w:id="14">
    <w:p>
      <w:pPr>
        <w:bidi/>
      </w:pPr>
      <w:r>
        <w:rPr>
          <w:vertAlign w:val="superscript"/>
        </w:rPr>
        <w:footnoteRef/>
      </w:r>
      <w:r>
        <w:rPr>
          <w:rFonts w:ascii="Traditional Arabic" w:hAnsi="Traditional Arabic" w:cs="Traditional Arabic"/>
          <w:rtl/>
          <w:sz w:val="24"/>
          <w:szCs w:val="24"/>
        </w:rPr>
        <w:t xml:space="preserve"> الشاطبي، الموافقات، </w:t>
      </w:r>
      <w:r>
        <w:rPr>
          <w:rFonts w:ascii="Traditional Arabic" w:hAnsi="Traditional Arabic" w:cs="Traditional Arabic"/>
          <w:highlight w:val="yellow"/>
          <w:rtl/>
          <w:sz w:val="24"/>
          <w:szCs w:val="24"/>
        </w:rPr>
        <w:t xml:space="preserve">5/177</w:t>
      </w:r>
      <w:r>
        <w:rPr>
          <w:rFonts w:ascii="Traditional Arabic" w:hAnsi="Traditional Arabic" w:cs="Traditional Arabic"/>
          <w:rtl/>
          <w:sz w:val="24"/>
          <w:szCs w:val="24"/>
        </w:rPr>
        <w:t xml:space="preserve">.</w:t>
      </w:r>
    </w:p>
  </w:footnote>
  <w:footnote w:id="15">
    <w:p>
      <w:pPr>
        <w:bidi/>
      </w:pPr>
      <w:r>
        <w:rPr>
          <w:vertAlign w:val="superscript"/>
        </w:rPr>
        <w:footnoteRef/>
      </w:r>
      <w:r>
        <w:rPr>
          <w:rFonts w:ascii="Traditional Arabic" w:hAnsi="Traditional Arabic" w:cs="Traditional Arabic"/>
          <w:rtl/>
          <w:sz w:val="24"/>
          <w:szCs w:val="24"/>
        </w:rPr>
        <w:t xml:space="preserve"> الكاساني، بدائع الصنائع، 4/210؛ البهوتي، كشاف القناع، 4/25.</w:t>
      </w:r>
    </w:p>
  </w:footnote>
  <w:footnote w:id="16">
    <w:p>
      <w:pPr>
        <w:bidi/>
      </w:pPr>
      <w:r>
        <w:rPr>
          <w:vertAlign w:val="superscript"/>
        </w:rPr>
        <w:footnoteRef/>
      </w:r>
      <w:r>
        <w:rPr>
          <w:rFonts w:ascii="Traditional Arabic" w:hAnsi="Traditional Arabic" w:cs="Traditional Arabic"/>
          <w:rtl/>
          <w:sz w:val="24"/>
          <w:szCs w:val="24"/>
        </w:rPr>
        <w:t xml:space="preserve"> ابن فرحون، تبصرة الحكام، 1/195.</w:t>
      </w:r>
    </w:p>
  </w:footnote>
  <w:footnote w:id="17">
    <w:p>
      <w:pPr>
        <w:bidi/>
      </w:pPr>
      <w:r>
        <w:rPr>
          <w:vertAlign w:val="superscript"/>
        </w:rPr>
        <w:footnoteRef/>
      </w:r>
      <w:r>
        <w:rPr>
          <w:rFonts w:ascii="Traditional Arabic" w:hAnsi="Traditional Arabic" w:cs="Traditional Arabic"/>
          <w:rtl/>
          <w:sz w:val="24"/>
          <w:szCs w:val="24"/>
        </w:rPr>
        <w:t xml:space="preserve"> ابن القيم، الطرق الحكمية، ص89.</w:t>
      </w:r>
    </w:p>
  </w:footnote>
  <w:footnote w:id="18">
    <w:p>
      <w:pPr>
        <w:bidi/>
      </w:pPr>
      <w:r>
        <w:rPr>
          <w:vertAlign w:val="superscript"/>
        </w:rPr>
        <w:footnoteRef/>
      </w:r>
      <w:r>
        <w:rPr>
          <w:rFonts w:ascii="Traditional Arabic" w:hAnsi="Traditional Arabic" w:cs="Traditional Arabic"/>
          <w:rtl/>
          <w:sz w:val="24"/>
          <w:szCs w:val="24"/>
        </w:rPr>
        <w:t xml:space="preserve"> ابن القيم، الطرق الحكمية، ص14.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870BB" w14:textId="77777777" w:rsidR="009F31FB" w:rsidRDefault="009F31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C1F5A" w14:textId="77777777" w:rsidR="009F31FB" w:rsidRDefault="009F31FB">
    <w:pPr>
      <w:pStyle w:val="a5"/>
      <w:bidi/>
      <w:jc w:val="center"/>
      <w:rPr>
        <w:sz w:val="24"/>
        <w:szCs w:val="24"/>
      </w:rPr>
    </w:pPr>
    <w:r>
      <w:rPr>
        <w:rFonts w:ascii="Traditional Arabic" w:hAnsi="Traditional Arabic" w:cs="Traditional Arabic" w:hint="cs"/>
        <w:color w:val="787878"/>
        <w:sz w:val="20"/>
        <w:szCs w:val="20"/>
        <w:rtl/>
      </w:rPr>
      <w:t>المؤتمر الدولي السادس للدراسات الإسلامية المعاصرة والقضايا المستجدة (</w:t>
    </w:r>
    <w:r>
      <w:rPr>
        <w:rFonts w:ascii="Traditional Arabic" w:hAnsi="Traditional Arabic" w:cs="Traditional Arabic" w:hint="cs"/>
        <w:color w:val="787878"/>
        <w:sz w:val="20"/>
        <w:szCs w:val="20"/>
      </w:rPr>
      <w:t>ICCISEI 2026</w:t>
    </w:r>
    <w:r>
      <w:rPr>
        <w:rFonts w:ascii="Traditional Arabic" w:hAnsi="Traditional Arabic" w:cs="Traditional Arabic" w:hint="cs"/>
        <w:color w:val="787878"/>
        <w:sz w:val="20"/>
        <w:szCs w:val="20"/>
        <w:rtl/>
      </w:rPr>
      <w:t>)</w:t>
    </w:r>
    <w:r>
      <w:rPr>
        <w:rFonts w:ascii="Traditional Arabic" w:hAnsi="Traditional Arabic" w:cs="Traditional Arabic" w:hint="cs"/>
        <w:color w:val="787878"/>
        <w:sz w:val="20"/>
        <w:szCs w:val="20"/>
        <w:rtl/>
      </w:rPr>
      <w:br/>
      <w:t>جامعة المدينة العالمية</w:t>
    </w:r>
  </w:p>
  <w:p w14:paraId="7EA87493" w14:textId="5DCB94BD" w:rsidR="002878CA" w:rsidRDefault="009F31FB">
    <w:pPr>
      <w:pStyle w:val="a5"/>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6CC58" w14:textId="77777777" w:rsidR="009F31FB" w:rsidRDefault="009F31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492259">
    <w:abstractNumId w:val="8"/>
  </w:num>
  <w:num w:numId="2" w16cid:durableId="195318873">
    <w:abstractNumId w:val="6"/>
  </w:num>
  <w:num w:numId="3" w16cid:durableId="512378246">
    <w:abstractNumId w:val="5"/>
  </w:num>
  <w:num w:numId="4" w16cid:durableId="1150362364">
    <w:abstractNumId w:val="4"/>
  </w:num>
  <w:num w:numId="5" w16cid:durableId="811486131">
    <w:abstractNumId w:val="7"/>
  </w:num>
  <w:num w:numId="6" w16cid:durableId="1947151548">
    <w:abstractNumId w:val="3"/>
  </w:num>
  <w:num w:numId="7" w16cid:durableId="1248416341">
    <w:abstractNumId w:val="2"/>
  </w:num>
  <w:num w:numId="8" w16cid:durableId="249511441">
    <w:abstractNumId w:val="1"/>
  </w:num>
  <w:num w:numId="9" w16cid:durableId="869807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8CA"/>
    <w:rsid w:val="0029639D"/>
    <w:rsid w:val="002A3DDE"/>
    <w:rsid w:val="00326F90"/>
    <w:rsid w:val="00965695"/>
    <w:rsid w:val="009F31FB"/>
    <w:rsid w:val="00AA1D8D"/>
    <w:rsid w:val="00AA2A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1D14A"/>
  <w14:defaultImageDpi w14:val="300"/>
  <w15:docId w15:val="{A13FDB58-DDE5-5547-85FD-C7EF48FA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9F31F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FF1A43-F2EB-464D-9A05-0003D1062D5C}">
  <we:reference id="wa200010453" version="1.0.0.1" store="en-US" storeType="OMEX"/>
  <we:alternateReferences>
    <we:reference id="WA200010453" version="1.0.0.1" store="" storeType="OMEX"/>
  </we:alternateReferences>
  <we:properties>
    <we:property name="claude.fileId" value="&quot;5a316aa2-f31b-4833-9aff-c06459a717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5135</Words>
  <Characters>27785</Characters>
  <Application>Microsoft Office Word</Application>
  <DocSecurity>0</DocSecurity>
  <Lines>448</Lines>
  <Paragraphs>118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مركز الملك فهد الثقافي الإسلامي في جمهورية الأرجنتين</cp:lastModifiedBy>
  <cp:revision>2</cp:revision>
  <dcterms:created xsi:type="dcterms:W3CDTF">2013-12-23T23:15:00Z</dcterms:created>
  <dcterms:modified xsi:type="dcterms:W3CDTF">2026-10-13T00:37:00Z</dcterms:modified>
  <cp:category/>
</cp:coreProperties>
</file>