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FD1C5" w14:textId="77777777" w:rsidR="002878CA" w:rsidRDefault="00000000" w:rsidP="00965695">
      <w:pPr>
        <w:keepNext/>
        <w:bidi/>
        <w:spacing w:before="360" w:after="160"/>
      </w:pPr>
      <w:r>
        <w:rPr>
          <w:rFonts w:ascii="Traditional Arabic" w:hAnsi="Traditional Arabic"/>
          <w:b/>
          <w:color w:val="0D5C3A"/>
          <w:sz w:val="36"/>
        </w:rPr>
        <w:t>قائمة المصادر والمراجع</w:t>
      </w:r>
    </w:p>
    <w:p w14:paraId="768F5492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القرآن الكريم.</w:t>
      </w:r>
    </w:p>
    <w:p w14:paraId="73AC555B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فرحون، برهان الدين إبراهيم بن علي. (ت799هـ/1986). تبصرة الحكام في أصول الأقضية ومناهج الأحكام (ط1). مكتبة الكليات الأزهرية.</w:t>
      </w:r>
    </w:p>
    <w:p w14:paraId="355368B0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قدامة، موفق الدين عبد الله بن أحمد. (ت620هـ/1968). المغني في فقه الإمام أحمد بن حنبل الشيباني (تحقيق طه الزيني، ط1). مكتبة القاهرة.</w:t>
      </w:r>
    </w:p>
    <w:p w14:paraId="5BE3FFAD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القيم، شمس الدين محمد بن أبي بكر. (ت751هـ/1953). الطرق الحكمية في السياسة الشرعية (ط1). مطبعة السنة المحمدية.</w:t>
      </w:r>
    </w:p>
    <w:p w14:paraId="54D48496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القيم، شمس الدين محمد بن أبي بكر. (ت751هـ/1991). إعلام الموقعين عن رب العالمين (تحقيق محمد عبد السلام إبراهيم، ط1). دار الكتب العلمية.</w:t>
      </w:r>
    </w:p>
    <w:p w14:paraId="77EF482E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عابدين، محمد أمين بن عمر. (ت1252هـ/1992). رد المحتار على الدر المختار: حاشية ابن عابدين (ط2). دار الفكر.</w:t>
      </w:r>
    </w:p>
    <w:p w14:paraId="31B0F6D0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ابن عابدين، محمد أمين بن عمر. (ت1252هـ/د.ت). نشر العرف في بناء بعض الأحكام على العرف (ضمن مجموع رسائل ابن عابدين، ج2). دار إحياء التراث العربي.</w:t>
      </w:r>
    </w:p>
    <w:p w14:paraId="6CF944D4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البهوتي، منصور بن يونس. (ت1051هـ/1997). كشاف القناع عن متن الإقناع (تحقيق محمد أمين الضناوي، ط1). دار الكتب العلمية.</w:t>
      </w:r>
    </w:p>
    <w:p w14:paraId="31D26CDB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البيهقي، أحمد بن الحسين. (ت458هـ/2003). السنن الكبرى (تحقيق محمد عبد القادر عطا، ط3). دار الكتب العلمية.</w:t>
      </w:r>
    </w:p>
    <w:p w14:paraId="70A6E05A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الزحيلي، وهبة بن مصطفى. (2002). الفقه الإسلامي وأدلته (ط4). دار الفكر.</w:t>
      </w:r>
    </w:p>
    <w:p w14:paraId="4CF9D1E2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الشاطبي، إبراهيم بن موسى. (ت790هـ/1997). الموافقات في أصول الشريعة (تحقيق مشهور بن حسن آل سلمان، ط1). دار ابن عفان.</w:t>
      </w:r>
    </w:p>
    <w:p w14:paraId="26F5A83D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العتيبي، فيصل بن عبد الله. (2014). عقد الزواج غير الموثق رسمياً وأحكامه في الفقه الإسلامي (رسالة ماجستير غير منشورة). كلية الشريعة، جامعة أم القرى.</w:t>
      </w:r>
    </w:p>
    <w:p w14:paraId="3943FD88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lastRenderedPageBreak/>
        <w:t>الغزالي، أبو حامد محمد بن محمد. (ت505هـ/1993). المستصفى من علم الأصول (تحقيق محمد عبد السلام عبد الشافي، ط1). دار الكتب العلمية.</w:t>
      </w:r>
    </w:p>
    <w:p w14:paraId="00622E4A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القرافي، شهاب الدين أحمد بن إدريس. (ت684هـ/1994). الفروق: أنوار البروق في أنواء الفروق (ط1). دار الكتب العلمية.</w:t>
      </w:r>
    </w:p>
    <w:p w14:paraId="5196853A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الكاساني، علاء الدين أبو بكر بن مسعود. (ت587هـ/1986). بدائع الصنائع في ترتيب الشرائع (ط2). دار الكتب العلمية.</w:t>
      </w:r>
    </w:p>
    <w:p w14:paraId="1681F2B1" w14:textId="77777777" w:rsidR="002878CA" w:rsidRDefault="00000000" w:rsidP="00965695">
      <w:pPr>
        <w:bidi/>
        <w:spacing w:before="40" w:after="80"/>
        <w:ind w:right="432"/>
      </w:pPr>
      <w:commentRangeStart w:id="0"/>
      <w:r>
        <w:rPr>
          <w:rFonts w:ascii="Traditional Arabic" w:hAnsi="Traditional Arabic"/>
          <w:color w:val="282828"/>
          <w:sz w:val="26"/>
        </w:rPr>
        <w:t>المجلس الأوروبي للإفتاء والبحوث. (2003). قرارات وفتاوى المجلس الأوروبي للإفتاء والبحوث (القرار 2/11 بشأن توثيق الزواج في الغرب). دار القلم.</w:t>
      </w:r>
      <w:commentRangeEnd w:id="0"/>
      <w:r>
        <w:rPr>
          <w:rStyle w:val="CommentReference"/>
        </w:rPr>
        <w:commentReference w:id="0"/>
      </w:r>
    </w:p>
    <w:p w14:paraId="12483264" w14:textId="77777777" w:rsidR="002878CA" w:rsidRDefault="00000000" w:rsidP="00965695">
      <w:pPr>
        <w:bidi/>
        <w:spacing w:before="40" w:after="80"/>
        <w:ind w:right="432"/>
      </w:pPr>
      <w:commentRangeStart w:id="1"/>
      <w:r>
        <w:rPr>
          <w:rFonts w:ascii="Traditional Arabic" w:hAnsi="Traditional Arabic"/>
          <w:color w:val="282828"/>
          <w:sz w:val="26"/>
        </w:rPr>
        <w:t>مجمع الفقه الإسلامي الدولي. (2008). قرارات وتوصيات مجمع الفقه الإسلامي الدولي (القرار رقم 165 بشأن عقد الزواج غير الموثق). منظمة التعاون الإسلامي.</w:t>
      </w:r>
      <w:commentRangeEnd w:id="1"/>
      <w:r>
        <w:rPr>
          <w:rStyle w:val="CommentReference"/>
        </w:rPr>
        <w:commentReference w:id="1"/>
      </w:r>
    </w:p>
    <w:p w14:paraId="76C1E1BE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مجلة الأحكام العدلية. (1876). قانون مدني مستمد من الفقه الحنفي (صياغة لجنة علمية برئاسة أحمد جودت باشا). نور محمد كارخانة تجارت كتب.</w:t>
      </w:r>
    </w:p>
    <w:p w14:paraId="06FE37CE" w14:textId="77777777" w:rsidR="002878CA" w:rsidRDefault="00000000" w:rsidP="00965695">
      <w:pPr>
        <w:bidi/>
        <w:spacing w:before="40" w:after="80"/>
        <w:ind w:right="432"/>
      </w:pPr>
      <w:r>
        <w:rPr>
          <w:rFonts w:ascii="Traditional Arabic" w:hAnsi="Traditional Arabic"/>
          <w:color w:val="282828"/>
          <w:sz w:val="26"/>
        </w:rPr>
        <w:t>وزارة العدل المصرية. (1931). لائحة ترتيب المحاكم الشرعية والإجراءات المتعلقة بها (المرسوم بقانون رقم 78 لسنة 1931). المطبعة الأميرية.</w:t>
      </w:r>
    </w:p>
    <w:p w14:paraId="61AF7E06" w14:textId="77777777" w:rsidR="002878CA" w:rsidRDefault="00000000" w:rsidP="00965695">
      <w:pPr>
        <w:bidi/>
        <w:spacing w:before="40" w:after="80"/>
        <w:ind w:left="432"/>
      </w:pPr>
      <w:r>
        <w:rPr>
          <w:rFonts w:ascii="Times New Roman" w:hAnsi="Times New Roman"/>
          <w:color w:val="282828"/>
          <w:sz w:val="21"/>
        </w:rPr>
        <w:t>Bano, S. (2017). Modern family law and religious legal traditions: Unregistered Muslim marriages in England and Wales. Journal of Social Welfare and Family Law, 39(4), 488–505. https://doi.org/10.1080/09649069.2017.1390294</w:t>
      </w:r>
    </w:p>
    <w:p w14:paraId="2482A21E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Código Civil y Comercial de la Nación. (2014). Ley 26.994. Aprobado por el Honorable Congreso de la Nación Argentina. Boletín Oficial de la República Argentina.</w:t>
      </w:r>
    </w:p>
    <w:p w14:paraId="42922EFE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Corte Europea de Derechos Humanos (TEDH). (2009). Caso Muñoz Díaz c. España (Demanda no. 49151/07). Sentencia de 8 de diciembre de 2009.</w:t>
      </w:r>
    </w:p>
    <w:p w14:paraId="7D2194CB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Corte Europea de Derechos Humanos (TEDH). (2010). Caso Şerife Yiğit c. Turquía (Demanda no. 3976/05). Sentencia de Gran Sala de 2 de noviembre de 2010.</w:t>
      </w:r>
    </w:p>
    <w:p w14:paraId="0C563DBD" w14:textId="77777777" w:rsidR="002878CA" w:rsidRDefault="00000000" w:rsidP="00965695">
      <w:pPr>
        <w:bidi/>
        <w:spacing w:before="40" w:after="80"/>
        <w:ind w:left="432"/>
      </w:pPr>
      <w:r w:rsidRPr="009F31FB">
        <w:rPr>
          <w:rFonts w:ascii="Times New Roman" w:hAnsi="Times New Roman"/>
          <w:color w:val="282828"/>
          <w:sz w:val="21"/>
          <w:lang w:val="es-ES"/>
        </w:rPr>
        <w:t xml:space="preserve">Farfán, M. E., &amp; Medina, G. (2018). Las uniones convivenciales en el nuevo Código Civil y Comercial de la Nación. </w:t>
      </w:r>
      <w:r>
        <w:rPr>
          <w:rFonts w:ascii="Times New Roman" w:hAnsi="Times New Roman"/>
          <w:color w:val="282828"/>
          <w:sz w:val="21"/>
        </w:rPr>
        <w:t>Revista La Ley, 2018(3), 112–129.</w:t>
      </w:r>
    </w:p>
    <w:p w14:paraId="638B373A" w14:textId="77777777" w:rsidR="002878CA" w:rsidRDefault="00000000" w:rsidP="00965695">
      <w:pPr>
        <w:bidi/>
        <w:spacing w:before="40" w:after="80"/>
        <w:ind w:left="432"/>
      </w:pPr>
      <w:r>
        <w:rPr>
          <w:rFonts w:ascii="Times New Roman" w:hAnsi="Times New Roman"/>
          <w:color w:val="282828"/>
          <w:sz w:val="21"/>
        </w:rPr>
        <w:t>Ferguson, L. (2018). Unregistered Muslim marriages in the UK: Examining the intersections of religion, law and gender. Oxford Journal of Law and Religion, 7(2), 273–296. https://doi.org/10.1093/ojlr/rwy018</w:t>
      </w:r>
    </w:p>
    <w:p w14:paraId="6ED2956B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Herrera, M. (2016). Manual de derecho de las familias (2da ed.). Abeledo Perrot.</w:t>
      </w:r>
    </w:p>
    <w:p w14:paraId="1FBB128C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Ley 24.241 del Sistema Integrado de Jubilaciones y Pensiones. (1993). Honorable Congreso de la Nación Argentina. Boletín Oficial.</w:t>
      </w:r>
    </w:p>
    <w:p w14:paraId="66C35541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Ley 25.326 de Protección de los Datos Personales. (2000). Honorable Congreso de la Nación Argentina. Boletín Oficial.</w:t>
      </w:r>
    </w:p>
    <w:p w14:paraId="6EAA9AFE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>Ley 26/1992 de Cooperación del Estado Español con la Comisión Islámica de España. (1992). Boletín Oficial del Estado (BOE), España.</w:t>
      </w:r>
    </w:p>
    <w:p w14:paraId="2208F032" w14:textId="77777777" w:rsidR="002878CA" w:rsidRDefault="00000000" w:rsidP="00965695">
      <w:pPr>
        <w:bidi/>
        <w:spacing w:before="40" w:after="80"/>
        <w:ind w:left="432"/>
      </w:pPr>
      <w:r w:rsidRPr="009F31FB">
        <w:rPr>
          <w:rFonts w:ascii="Times New Roman" w:hAnsi="Times New Roman"/>
          <w:color w:val="282828"/>
          <w:sz w:val="21"/>
          <w:lang w:val="es-ES"/>
        </w:rPr>
        <w:t xml:space="preserve">Tribunal de Apelación de Inglaterra y Gales (Court </w:t>
      </w:r>
      <w:proofErr w:type="spellStart"/>
      <w:r w:rsidRPr="009F31FB">
        <w:rPr>
          <w:rFonts w:ascii="Times New Roman" w:hAnsi="Times New Roman"/>
          <w:color w:val="282828"/>
          <w:sz w:val="21"/>
          <w:lang w:val="es-ES"/>
        </w:rPr>
        <w:t>of</w:t>
      </w:r>
      <w:proofErr w:type="spellEnd"/>
      <w:r w:rsidRPr="009F31FB">
        <w:rPr>
          <w:rFonts w:ascii="Times New Roman" w:hAnsi="Times New Roman"/>
          <w:color w:val="282828"/>
          <w:sz w:val="21"/>
          <w:lang w:val="es-ES"/>
        </w:rPr>
        <w:t xml:space="preserve"> Appeal). </w:t>
      </w:r>
      <w:r>
        <w:rPr>
          <w:rFonts w:ascii="Times New Roman" w:hAnsi="Times New Roman"/>
          <w:color w:val="282828"/>
          <w:sz w:val="21"/>
        </w:rPr>
        <w:t>(2020). Case: Attorney General v Akhter [2020] EWCA Civ 122.</w:t>
      </w:r>
    </w:p>
    <w:p w14:paraId="4BF3739F" w14:textId="77777777" w:rsidR="002878CA" w:rsidRPr="009F31FB" w:rsidRDefault="00000000" w:rsidP="00965695">
      <w:pPr>
        <w:bidi/>
        <w:spacing w:before="40" w:after="80"/>
        <w:ind w:left="432"/>
        <w:rPr>
          <w:lang w:val="es-ES"/>
        </w:rPr>
      </w:pPr>
      <w:r w:rsidRPr="009F31FB">
        <w:rPr>
          <w:rFonts w:ascii="Times New Roman" w:hAnsi="Times New Roman"/>
          <w:color w:val="282828"/>
          <w:sz w:val="21"/>
          <w:lang w:val="es-ES"/>
        </w:rPr>
        <w:t xml:space="preserve">Tribunal Supremo Federal de Brasil (STF). (2017). Recurso Extraordinario </w:t>
      </w:r>
      <w:proofErr w:type="gramStart"/>
      <w:r w:rsidRPr="009F31FB">
        <w:rPr>
          <w:rFonts w:ascii="Times New Roman" w:hAnsi="Times New Roman"/>
          <w:color w:val="282828"/>
          <w:sz w:val="21"/>
          <w:lang w:val="es-ES"/>
        </w:rPr>
        <w:t>RE 878.694</w:t>
      </w:r>
      <w:proofErr w:type="gramEnd"/>
      <w:r w:rsidRPr="009F31FB">
        <w:rPr>
          <w:rFonts w:ascii="Times New Roman" w:hAnsi="Times New Roman"/>
          <w:color w:val="282828"/>
          <w:sz w:val="21"/>
          <w:lang w:val="es-ES"/>
        </w:rPr>
        <w:t xml:space="preserve"> (Tema 809 de Repercusión General).</w:t>
      </w:r>
    </w:p>
    <w:sectPr w:rsidR="002878CA" w:rsidRPr="009F31F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 (مراجعة)" w:initials="CL" w:date="2026-10-19T06:00:20Z">
    <w:p>
      <w:pPr>
        <w:pStyle w:val="CommentText"/>
      </w:pPr>
      <w:r>
        <w:rPr>
          <w:rStyle w:val="CommentReference"/>
        </w:rPr>
        <w:annotationRef/>
      </w:r>
      <w:r>
        <w:t>لم أصل إلى نص هذا القرار؛ فلا يُستشهد به حتى يُقرأ، والأولى إبداله بوثيقة مجمع فقهاء الشريعة بأمريكا. التقرير، سادسًا.</w:t>
      </w:r>
    </w:p>
  </w:comment>
  <w:comment w:id="1" w:author="Claude (مراجعة)" w:initials="CL" w:date="2026-10-19T06:00:20Z">
    <w:p>
      <w:pPr>
        <w:pStyle w:val="CommentText"/>
      </w:pPr>
      <w:r>
        <w:rPr>
          <w:rStyle w:val="CommentReference"/>
        </w:rPr>
        <w:annotationRef/>
      </w:r>
      <w:r>
        <w:t>لا دورة للمجمع سنة 2008، ولا قرار بعنوان توثيق الزواج في الدورات 1–26 بحسب فهرس موقعه. يُحذف ويُوضع مكانه ما ثبت نصه. التقرير، سادسًا.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750172" w14:textId="77777777" w:rsidR="002A3DDE" w:rsidRDefault="002A3DDE">
      <w:pPr>
        <w:spacing w:after="0" w:line="240" w:lineRule="auto"/>
      </w:pPr>
      <w:r>
        <w:separator/>
      </w:r>
    </w:p>
  </w:endnote>
  <w:endnote w:type="continuationSeparator" w:id="0">
    <w:p w14:paraId="48D4E4C3" w14:textId="77777777" w:rsidR="002A3DDE" w:rsidRDefault="002A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090CA" w14:textId="77777777" w:rsidR="009F31FB" w:rsidRDefault="009F31F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03419F" w14:textId="5D24DD5B" w:rsidR="009F31FB" w:rsidRDefault="009F31FB">
    <w:pPr>
      <w:pStyle w:val="a6"/>
      <w:jc w:val="center"/>
      <w:rPr>
        <w:sz w:val="24"/>
        <w:szCs w:val="24"/>
      </w:rPr>
    </w:pPr>
    <w:r>
      <w:rPr>
        <w:rFonts w:ascii="Traditional Arabic" w:hAnsi="Traditional Arabic" w:cs="Traditional Arabic" w:hint="cs"/>
        <w:color w:val="787878"/>
        <w:sz w:val="20"/>
        <w:szCs w:val="20"/>
      </w:rPr>
      <w:t xml:space="preserve">-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raditional Arabic" w:hAnsi="Traditional Arabic" w:cs="Traditional Arabic" w:hint="cs"/>
        <w:color w:val="787878"/>
        <w:sz w:val="20"/>
        <w:szCs w:val="20"/>
      </w:rPr>
      <w:t xml:space="preserve"> -</w:t>
    </w:r>
  </w:p>
  <w:p w14:paraId="02E62C7B" w14:textId="19F958B1" w:rsidR="002878CA" w:rsidRDefault="009F31FB">
    <w:pPr>
      <w:pStyle w:val="a6"/>
      <w:jc w:val="center"/>
    </w:pPr>
    <w:r>
      <w:t> 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B3C25F" w14:textId="77777777" w:rsidR="009F31FB" w:rsidRDefault="009F31F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80791A8" w14:textId="77777777" w:rsidR="002A3DDE" w:rsidRDefault="002A3DDE">
      <w:pPr>
        <w:spacing w:after="0" w:line="240" w:lineRule="auto"/>
      </w:pPr>
      <w:r>
        <w:separator/>
      </w:r>
    </w:p>
  </w:footnote>
  <w:footnote w:type="continuationSeparator" w:id="0">
    <w:p w14:paraId="4DCC7B9C" w14:textId="77777777" w:rsidR="002A3DDE" w:rsidRDefault="002A3DDE">
      <w:pPr>
        <w:spacing w:after="0" w:line="240" w:lineRule="auto"/>
      </w:pPr>
      <w:r>
        <w:continuationSeparator/>
      </w:r>
    </w:p>
  </w:footnote>
  <w:footnote w:id="1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العتيبي، فيصل بن عبد الله، عقد الزواج غير الموثق رسمياً وأحكامه في الفقه الإسلامي، رسالة ماجستير غير منشورة، كلية الشريعة، جامعة أم القرى، 2014.</w:t>
      </w:r>
    </w:p>
  </w:footnote>
  <w:footnote w:id="2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الزحيلي، وهبة بن مصطفى، الفقه الإسلامي وأدلته، ط4، دار الفكر، 2002.</w:t>
      </w:r>
    </w:p>
  </w:footnote>
  <w:footnote w:id="3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Ferguson, L. (2018). Unregistered Muslim marriages in the UK: Examining the intersections of religion, law and gender. Oxford Journal of Law and Religion, 7(2), 273–296.</w:t>
      </w:r>
    </w:p>
  </w:footnote>
  <w:footnote w:id="4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Bano, S. (2017). Modern family law and religious legal traditions: Unregistered Muslim marriages in England and Wales. Journal of Social Welfare and Family Law, 39(4), 488–505.</w:t>
      </w:r>
    </w:p>
  </w:footnote>
  <w:footnote w:id="5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Farfán, M. E., &amp; Medina, G. (2018). Las uniones convivenciales en el nuevo Código Civil y Comercial de la Nación. Revista La Ley, 2018(3), 112–129.</w:t>
      </w:r>
    </w:p>
  </w:footnote>
  <w:footnote w:id="6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Herrera, M. (2016). Manual de derecho de las familias (2da ed.). Abeledo Perrot.</w:t>
      </w:r>
    </w:p>
  </w:footnote>
  <w:footnote w:id="7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قدامة، المغني، 7/6؛ الكاساني، بدائع الصنائع، 2/332.</w:t>
      </w:r>
    </w:p>
  </w:footnote>
  <w:footnote w:id="8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الشاطبي، الموافقات، 2/393.</w:t>
      </w:r>
    </w:p>
  </w:footnote>
  <w:footnote w:id="9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القيم، إعلام الموقعين عن رب العالمين، 3/11.</w:t>
      </w:r>
    </w:p>
  </w:footnote>
  <w:footnote w:id="10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القرافي، الفروق، 1/176.</w:t>
      </w:r>
    </w:p>
  </w:footnote>
  <w:footnote w:id="11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عابدين، نشر العرف في بناء بعض الأحكام على العرف (ضمن مجموع رسائل ابن عابدين)، 2/125.</w:t>
      </w:r>
    </w:p>
  </w:footnote>
  <w:footnote w:id="12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مجلة الأحكام العدلية، المادة 39.</w:t>
      </w:r>
    </w:p>
  </w:footnote>
  <w:footnote w:id="13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الغزالي، المستصفى، </w:t>
      </w:r>
      <w:r>
        <w:rPr>
          <w:rFonts w:ascii="Traditional Arabic" w:hAnsi="Traditional Arabic" w:cs="Traditional Arabic"/>
          <w:highlight w:val="yellow"/>
          <w:rtl/>
          <w:sz w:val="24"/>
          <w:szCs w:val="24"/>
        </w:rPr>
        <w:t xml:space="preserve">ص57</w:t>
      </w:r>
      <w:r>
        <w:rPr>
          <w:rFonts w:ascii="Traditional Arabic" w:hAnsi="Traditional Arabic" w:cs="Traditional Arabic"/>
          <w:rtl/>
          <w:sz w:val="24"/>
          <w:szCs w:val="24"/>
        </w:rPr>
        <w:t xml:space="preserve">.</w:t>
      </w:r>
    </w:p>
  </w:footnote>
  <w:footnote w:id="14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الشاطبي، الموافقات، </w:t>
      </w:r>
      <w:r>
        <w:rPr>
          <w:rFonts w:ascii="Traditional Arabic" w:hAnsi="Traditional Arabic" w:cs="Traditional Arabic"/>
          <w:highlight w:val="yellow"/>
          <w:rtl/>
          <w:sz w:val="24"/>
          <w:szCs w:val="24"/>
        </w:rPr>
        <w:t xml:space="preserve">5/177</w:t>
      </w:r>
      <w:r>
        <w:rPr>
          <w:rFonts w:ascii="Traditional Arabic" w:hAnsi="Traditional Arabic" w:cs="Traditional Arabic"/>
          <w:rtl/>
          <w:sz w:val="24"/>
          <w:szCs w:val="24"/>
        </w:rPr>
        <w:t xml:space="preserve">.</w:t>
      </w:r>
    </w:p>
  </w:footnote>
  <w:footnote w:id="15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الكاساني، بدائع الصنائع، 4/210؛ البهوتي، كشاف القناع، 4/25.</w:t>
      </w:r>
    </w:p>
  </w:footnote>
  <w:footnote w:id="16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فرحون، تبصرة الحكام، 1/195.</w:t>
      </w:r>
    </w:p>
  </w:footnote>
  <w:footnote w:id="17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القيم، الطرق الحكمية، ص89.</w:t>
      </w:r>
    </w:p>
  </w:footnote>
  <w:footnote w:id="18">
    <w:p>
      <w:pPr>
        <w:bidi/>
      </w:pPr>
      <w:r>
        <w:rPr>
          <w:vertAlign w:val="superscript"/>
        </w:rPr>
        <w:footnoteRef/>
      </w:r>
      <w:r>
        <w:rPr>
          <w:rFonts w:ascii="Traditional Arabic" w:hAnsi="Traditional Arabic" w:cs="Traditional Arabic"/>
          <w:rtl/>
          <w:sz w:val="24"/>
          <w:szCs w:val="24"/>
        </w:rPr>
        <w:t xml:space="preserve"> ابن القيم، الطرق الحكمية، ص14.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870BB" w14:textId="77777777" w:rsidR="009F31FB" w:rsidRDefault="009F31F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7C1F5A" w14:textId="77777777" w:rsidR="009F31FB" w:rsidRDefault="009F31FB">
    <w:pPr>
      <w:pStyle w:val="a5"/>
      <w:bidi/>
      <w:jc w:val="center"/>
      <w:rPr>
        <w:sz w:val="24"/>
        <w:szCs w:val="24"/>
      </w:rPr>
    </w:pPr>
    <w:r>
      <w:rPr>
        <w:rFonts w:ascii="Traditional Arabic" w:hAnsi="Traditional Arabic" w:cs="Traditional Arabic" w:hint="cs"/>
        <w:color w:val="787878"/>
        <w:sz w:val="20"/>
        <w:szCs w:val="20"/>
        <w:rtl/>
      </w:rPr>
      <w:t>المؤتمر الدولي السادس للدراسات الإسلامية المعاصرة والقضايا المستجدة (</w:t>
    </w:r>
    <w:r>
      <w:rPr>
        <w:rFonts w:ascii="Traditional Arabic" w:hAnsi="Traditional Arabic" w:cs="Traditional Arabic" w:hint="cs"/>
        <w:color w:val="787878"/>
        <w:sz w:val="20"/>
        <w:szCs w:val="20"/>
      </w:rPr>
      <w:t>ICCISEI 2026</w:t>
    </w:r>
    <w:r>
      <w:rPr>
        <w:rFonts w:ascii="Traditional Arabic" w:hAnsi="Traditional Arabic" w:cs="Traditional Arabic" w:hint="cs"/>
        <w:color w:val="787878"/>
        <w:sz w:val="20"/>
        <w:szCs w:val="20"/>
        <w:rtl/>
      </w:rPr>
      <w:t>)</w:t>
    </w:r>
    <w:r>
      <w:rPr>
        <w:rFonts w:ascii="Traditional Arabic" w:hAnsi="Traditional Arabic" w:cs="Traditional Arabic" w:hint="cs"/>
        <w:color w:val="787878"/>
        <w:sz w:val="20"/>
        <w:szCs w:val="20"/>
        <w:rtl/>
      </w:rPr>
      <w:br/>
      <w:t>جامعة المدينة العالمية</w:t>
    </w:r>
  </w:p>
  <w:p w14:paraId="7EA87493" w14:textId="5DCB94BD" w:rsidR="002878CA" w:rsidRDefault="009F31FB">
    <w:pPr>
      <w:pStyle w:val="a5"/>
    </w:pPr>
    <w:r>
      <w:t> 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C6CC58" w14:textId="77777777" w:rsidR="009F31FB" w:rsidRDefault="009F31F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1492259">
    <w:abstractNumId w:val="8"/>
  </w:num>
  <w:num w:numId="2" w16cid:durableId="195318873">
    <w:abstractNumId w:val="6"/>
  </w:num>
  <w:num w:numId="3" w16cid:durableId="512378246">
    <w:abstractNumId w:val="5"/>
  </w:num>
  <w:num w:numId="4" w16cid:durableId="1150362364">
    <w:abstractNumId w:val="4"/>
  </w:num>
  <w:num w:numId="5" w16cid:durableId="811486131">
    <w:abstractNumId w:val="7"/>
  </w:num>
  <w:num w:numId="6" w16cid:durableId="1947151548">
    <w:abstractNumId w:val="3"/>
  </w:num>
  <w:num w:numId="7" w16cid:durableId="1248416341">
    <w:abstractNumId w:val="2"/>
  </w:num>
  <w:num w:numId="8" w16cid:durableId="249511441">
    <w:abstractNumId w:val="1"/>
  </w:num>
  <w:num w:numId="9" w16cid:durableId="8698070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8CA"/>
    <w:rsid w:val="0029639D"/>
    <w:rsid w:val="002A3DDE"/>
    <w:rsid w:val="00326F90"/>
    <w:rsid w:val="00965695"/>
    <w:rsid w:val="009F31FB"/>
    <w:rsid w:val="00AA1D8D"/>
    <w:rsid w:val="00AA2A8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21D14A"/>
  <w14:defaultImageDpi w14:val="300"/>
  <w15:docId w15:val="{A13FDB58-DDE5-5547-85FD-C7EF48FA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1"/>
    <w:rsid w:val="009F31F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lef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0FF1A43-F2EB-464D-9A05-0003D1062D5C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5a316aa2-f31b-4833-9aff-c06459a717d0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5135</Words>
  <Characters>27785</Characters>
  <Application>Microsoft Office Word</Application>
  <DocSecurity>0</DocSecurity>
  <Lines>448</Lines>
  <Paragraphs>118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مركز الملك فهد الثقافي الإسلامي في جمهورية الأرجنتين</cp:lastModifiedBy>
  <cp:revision>2</cp:revision>
  <dcterms:created xsi:type="dcterms:W3CDTF">2013-12-23T23:15:00Z</dcterms:created>
  <dcterms:modified xsi:type="dcterms:W3CDTF">2026-10-13T00:37:00Z</dcterms:modified>
  <cp:category/>
</cp:coreProperties>
</file>