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E48BDD1" w14:textId="77777777" w:rsidR="002878CA" w:rsidRDefault="00000000" w:rsidP="00965695">
      <w:pPr>
        <w:bidi/>
        <w:spacing w:after="40"/>
      </w:pPr>
      <w:r>
        <w:rPr>
          <w:rFonts w:ascii="Traditional Arabic" w:hAnsi="Traditional Arabic"/>
          <w:b/>
          <w:color w:val="505050"/>
          <w:sz w:val="24"/>
        </w:rPr>
        <w:t>جامعة المدينة العالمية (MEDIU) — ماليزيا</w:t>
      </w:r>
      <w:r>
        <w:rPr>
          <w:rFonts w:ascii="Traditional Arabic" w:hAnsi="Traditional Arabic"/>
          <w:b/>
          <w:color w:val="505050"/>
          <w:sz w:val="24"/>
        </w:rPr>
        <w:br/>
        <w:t>كلية العلوم الإسلامية — قسم الفقه وأصوله</w:t>
      </w:r>
      <w:r>
        <w:rPr>
          <w:rFonts w:ascii="Traditional Arabic" w:hAnsi="Traditional Arabic"/>
          <w:b/>
          <w:color w:val="505050"/>
          <w:sz w:val="24"/>
        </w:rPr>
        <w:br/>
        <w:t>المؤتمر الدولي السادس للدراسات الإسلامية المعاصرة والقضايا المستجدة (ICCISEI 2026)</w:t>
      </w:r>
    </w:p>
    <w:p w14:paraId="67A6C04F" w14:textId="77777777" w:rsidR="002878CA" w:rsidRDefault="00000000" w:rsidP="00965695">
      <w:pPr>
        <w:bidi/>
        <w:spacing w:before="40" w:after="280"/>
      </w:pPr>
      <w:r>
        <w:rPr>
          <w:rFonts w:ascii="Traditional Arabic" w:hAnsi="Traditional Arabic"/>
          <w:color w:val="0D5C3A"/>
          <w:sz w:val="23"/>
        </w:rPr>
        <w:t>المحور المشترك: الدراسات الفقهية والأصولية / الذكاء الاصطناعي والسياسة الشرعية</w:t>
      </w:r>
    </w:p>
    <w:p w14:paraId="032C782F" w14:textId="77777777" w:rsidR="002878CA" w:rsidRDefault="00000000" w:rsidP="00965695">
      <w:pPr>
        <w:bidi/>
        <w:spacing w:before="120" w:after="120"/>
      </w:pPr>
      <w:r>
        <w:rPr>
          <w:rFonts w:ascii="Traditional Arabic" w:hAnsi="Traditional Arabic"/>
          <w:b/>
          <w:color w:val="0D5C3A"/>
          <w:sz w:val="44"/>
        </w:rPr>
        <w:t>الزواج الإسلامي غير الموثق مدنيًا لدى المسلمين في الأرجنتين:</w:t>
      </w:r>
      <w:r>
        <w:rPr>
          <w:rFonts w:ascii="Traditional Arabic" w:hAnsi="Traditional Arabic"/>
          <w:b/>
          <w:color w:val="0D5C3A"/>
          <w:sz w:val="44"/>
        </w:rPr>
        <w:br/>
        <w:t>دراسة فقهية مقاصدية في ضوء الواقع القانوني</w:t>
      </w:r>
    </w:p>
    <w:p w14:paraId="5C0B629D" w14:textId="77777777" w:rsidR="002878CA" w:rsidRDefault="00000000" w:rsidP="00965695">
      <w:pPr>
        <w:bidi/>
        <w:spacing w:before="40" w:after="320"/>
      </w:pPr>
      <w:r>
        <w:rPr>
          <w:rFonts w:ascii="Times New Roman" w:hAnsi="Times New Roman"/>
          <w:b/>
          <w:color w:val="143250"/>
          <w:sz w:val="28"/>
        </w:rPr>
        <w:t>Unregistered Islamic Marriage among Muslims in Argentina:</w:t>
      </w:r>
      <w:r>
        <w:rPr>
          <w:rFonts w:ascii="Times New Roman" w:hAnsi="Times New Roman"/>
          <w:b/>
          <w:color w:val="143250"/>
          <w:sz w:val="28"/>
        </w:rPr>
        <w:br/>
        <w:t>A Jurisprudential and Maqasidic Study in Light of the Legal Reality</w:t>
      </w:r>
    </w:p>
    <w:tbl>
      <w:tblPr>
        <w:tblW w:w="0" w:type="auto"/>
        <w:jc w:val="center"/>
        <w:tblLook w:val="04A0" w:firstRow="1" w:lastRow="0" w:firstColumn="1" w:lastColumn="0" w:noHBand="0" w:noVBand="1"/>
      </w:tblPr>
      <w:tblGrid>
        <w:gridCol w:w="9029"/>
      </w:tblGrid>
      <w:tr w:rsidR="002878CA" w14:paraId="281D49FB" w14:textId="77777777">
        <w:trPr>
          <w:jc w:val="center"/>
        </w:trPr>
        <w:tc>
          <w:tcPr>
            <w:tcW w:w="9029" w:type="dxa"/>
            <w:tcBorders>
              <w:top w:val="single" w:sz="12" w:space="0" w:color="0D5C3A"/>
              <w:bottom w:val="single" w:sz="12" w:space="0" w:color="0D5C3A"/>
            </w:tcBorders>
            <w:shd w:val="clear" w:color="auto" w:fill="F9FBF9"/>
            <w:tcMar>
              <w:top w:w="140" w:type="dxa"/>
              <w:left w:w="200" w:type="dxa"/>
              <w:bottom w:w="140" w:type="dxa"/>
              <w:right w:w="200" w:type="dxa"/>
            </w:tcMar>
          </w:tcPr>
          <w:p w14:paraId="3BD2FC13" w14:textId="27488E31" w:rsidR="002878CA" w:rsidRDefault="00000000" w:rsidP="00965695">
            <w:pPr>
              <w:bidi/>
              <w:spacing w:line="288" w:lineRule="auto"/>
            </w:pPr>
            <w:r>
              <w:rPr>
                <w:rFonts w:ascii="Traditional Arabic" w:hAnsi="Traditional Arabic"/>
                <w:b/>
                <w:color w:val="0D5C3A"/>
                <w:sz w:val="30"/>
              </w:rPr>
              <w:t>إعداد الباحث: الشيخ محمد زاهر بن صبحي النجار</w:t>
            </w:r>
            <w:r>
              <w:rPr>
                <w:rFonts w:ascii="Traditional Arabic" w:hAnsi="Traditional Arabic"/>
                <w:b/>
                <w:color w:val="0D5C3A"/>
                <w:sz w:val="30"/>
              </w:rPr>
              <w:br/>
            </w:r>
            <w:r>
              <w:rPr>
                <w:rFonts w:ascii="Traditional Arabic" w:hAnsi="Traditional Arabic"/>
                <w:color w:val="323232"/>
                <w:sz w:val="25"/>
              </w:rPr>
              <w:t>إمام وخطيب مركز خادم الحرمين الشريفين الملك فهد الثقافي الإسلامي، بوينس آيرس، جمهورية الأرجنتين</w:t>
            </w:r>
            <w:r>
              <w:rPr>
                <w:rFonts w:ascii="Traditional Arabic" w:hAnsi="Traditional Arabic"/>
                <w:color w:val="323232"/>
                <w:sz w:val="25"/>
              </w:rPr>
              <w:br/>
              <w:t>باحث ماجستير بقسم الفقه وأصوله، كلية العلوم الإسلامية، جامعة المدينة العالمية، ماليزيا</w:t>
            </w:r>
            <w:r>
              <w:rPr>
                <w:rFonts w:ascii="Traditional Arabic" w:hAnsi="Traditional Arabic"/>
                <w:color w:val="323232"/>
                <w:sz w:val="25"/>
              </w:rPr>
              <w:br/>
              <w:t>البريد الإلكتروني: zaheralnjjar@gmail.com</w:t>
            </w:r>
            <w:r>
              <w:rPr>
                <w:rFonts w:ascii="Traditional Arabic" w:hAnsi="Traditional Arabic"/>
                <w:color w:val="323232"/>
                <w:sz w:val="25"/>
              </w:rPr>
              <w:br/>
            </w:r>
            <w:r>
              <w:rPr>
                <w:rFonts w:ascii="Traditional Arabic" w:hAnsi="Traditional Arabic"/>
                <w:b/>
                <w:color w:val="143250"/>
                <w:sz w:val="27"/>
              </w:rPr>
              <w:t>إشراف: الأستاذ المشارك الدكتور ياسر عبد الحميد النجار</w:t>
            </w:r>
            <w:r>
              <w:rPr>
                <w:rFonts w:ascii="Traditional Arabic" w:hAnsi="Traditional Arabic"/>
                <w:b/>
                <w:color w:val="143250"/>
                <w:sz w:val="27"/>
              </w:rPr>
              <w:br/>
            </w:r>
            <w:r>
              <w:rPr>
                <w:rFonts w:ascii="Traditional Arabic" w:hAnsi="Traditional Arabic"/>
                <w:color w:val="464646"/>
                <w:sz w:val="24"/>
              </w:rPr>
              <w:t>أستاذ الفقه وأصوله المشارك، كلية العلوم الإسلامية، جامعة المدينة العالمية، ماليزيا</w:t>
            </w:r>
          </w:p>
        </w:tc>
      </w:tr>
    </w:tbl>
    <w:p w14:paraId="06ABFD4D" w14:textId="77777777" w:rsidR="002878CA" w:rsidRDefault="002878CA" w:rsidP="00965695">
      <w:pPr>
        <w:bidi/>
        <w:spacing w:before="120" w:after="120"/>
      </w:pPr>
    </w:p>
    <w:p w14:paraId="0F2121A8" w14:textId="77777777" w:rsidR="002878CA" w:rsidRDefault="00000000" w:rsidP="00965695">
      <w:pPr>
        <w:keepNext/>
        <w:bidi/>
        <w:spacing w:before="280" w:after="120"/>
      </w:pPr>
      <w:r>
        <w:rPr>
          <w:rFonts w:ascii="Traditional Arabic" w:hAnsi="Traditional Arabic"/>
          <w:b/>
          <w:color w:val="143250"/>
          <w:sz w:val="32"/>
        </w:rPr>
        <w:t>ملخص البحث</w:t>
      </w:r>
    </w:p>
    <w:p w14:paraId="0514E3BB" w14:textId="77777777" w:rsidR="002878CA" w:rsidRDefault="00000000" w:rsidP="00965695">
      <w:pPr>
        <w:bidi/>
        <w:spacing w:before="80" w:after="120"/>
      </w:pPr>
      <w:commentRangeStart w:id="0"/>
      <w:r>
        <w:rPr>
          <w:rFonts w:ascii="Traditional Arabic" w:hAnsi="Traditional Arabic"/>
          <w:color w:val="282828"/>
          <w:sz w:val="28"/>
        </w:rPr>
        <w:t xml:space="preserve">تناقش هذه الدراسة قضية الزواج الإسلامي غير المسجل في السجل المدني لدى المسلمين في الأرجنتين، وهي مسألة تمس واقع الأسرة المسلمة في بيئة قانونية غربية. وتكمن المشكلة في أن الاكتفاء بالعقد الشرعي دون توثيق مدني يؤدي إلى حرمان الأسرة من الحماية القانونية، في حين أن الاكتفاء بالزواج المدني وحده قد تنقصه شروط شرعية معتبرة. وتهدف الدراسة إلى بيان الحكم الفقهي لتوثيق النكاح مدنياً من منظور مقاصدي، وتوضيح الآثار القانونية المترتبة على إهماله في القانون الأرجنتيني، مع تقديم حلول وقائية عملية لحفظ الحقوق. واعتمدت الدراسة المنهج الاستقرائي التحليلي والمقارن مع النظم الغربية كإسبانيا وفرنسا وبريطانيا. وخلص البحث إلى أن توثيق الزواج في السجل المدني </w:t>
      </w:r>
      <w:commentRangeStart w:id="1"/>
      <w:r>
        <w:rPr>
          <w:rFonts w:ascii="Traditional Arabic" w:hAnsi="Traditional Arabic"/>
          <w:color w:val="282828"/>
          <w:sz w:val="28"/>
          <w:highlight w:val="yellow"/>
        </w:rPr>
        <w:t xml:space="preserve">الأرجنتيني متعيّن شرعاً عند القدرة، مع بدائل لذوي العذر بضوابط وحد زمني؛ سداً</w:t>
      </w:r>
      <w:commentRangeEnd w:id="1"/>
      <w:r>
        <w:rPr>
          <w:rStyle w:val="CommentReference"/>
        </w:rPr>
        <w:commentReference w:id="1"/>
      </w:r>
      <w:r>
        <w:rPr>
          <w:rFonts w:ascii="Traditional Arabic" w:hAnsi="Traditional Arabic"/>
          <w:color w:val="282828"/>
          <w:sz w:val="28"/>
        </w:rPr>
        <w:t xml:space="preserve"> لذريعة ضياع الحقوق وتطبيقاً لقاعدة «ما لا يتم الواجب إلا به فهو واجب»، حيث يؤدي غياب التوثيق إلى إسقاط حقوق مالية وميراثية مهمة؛ إذ </w:t>
      </w:r>
      <w:commentRangeStart w:id="2"/>
      <w:r>
        <w:rPr>
          <w:rFonts w:ascii="Traditional Arabic" w:hAnsi="Traditional Arabic"/>
          <w:color w:val="282828"/>
          <w:sz w:val="28"/>
          <w:highlight w:val="yellow"/>
        </w:rPr>
        <w:t xml:space="preserve">لا يرتب القانون الأرجنتيني على العقد الديني وحده أثراً مدنياً، ولا تنطبق على العلاقة إلا أحكام المساكنة متى توافرت شروطها، فلا توارث بها ولا نفقة بعد انتهائها، وتسقط دعوى المقابل الاقتصادي بمضي ستة أشهر من انتهاء المساكنة</w:t>
      </w:r>
      <w:commentRangeEnd w:id="2"/>
      <w:r>
        <w:rPr>
          <w:rStyle w:val="CommentReference"/>
        </w:rPr>
        <w:commentReference w:id="2"/>
      </w:r>
      <w:r>
        <w:rPr>
          <w:rFonts w:ascii="Traditional Arabic" w:hAnsi="Traditional Arabic"/>
          <w:color w:val="282828"/>
          <w:sz w:val="28"/>
        </w:rPr>
        <w:t xml:space="preserve">. وتتحمل الأطراف المعنية، بما فيها الإمام العاقد، مسؤولية الإسهام في هذا التقصير؛ لما يترتب عليه </w:t>
      </w:r>
      <w:commentRangeEnd w:id="0"/>
      <w:r>
        <w:rPr>
          <w:rStyle w:val="CommentReference"/>
        </w:rPr>
        <w:commentReference w:id="0"/>
      </w:r>
      <w:r>
        <w:rPr>
          <w:rFonts w:ascii="Traditional Arabic" w:hAnsi="Traditional Arabic"/>
          <w:color w:val="282828"/>
          <w:sz w:val="28"/>
        </w:rPr>
        <w:t xml:space="preserve">من ضرر يلحق بالمرأة والأولاد. وتوصي الدراسة بعدم إجراء أي عقد شرعي في المراكز الإسلامية إلا بعد تقديم عقد الزواج المدني الرسمي، مع إمكانية الاستعانة </w:t>
      </w:r>
      <w:commentRangeStart w:id="3"/>
      <w:r>
        <w:rPr>
          <w:rFonts w:ascii="Traditional Arabic" w:hAnsi="Traditional Arabic"/>
          <w:color w:val="282828"/>
          <w:sz w:val="28"/>
          <w:highlight w:val="yellow"/>
        </w:rPr>
        <w:t xml:space="preserve">لذوي العذر باتفاقات المساكنة المكتوبة</w:t>
      </w:r>
      <w:commentRangeEnd w:id="3"/>
      <w:r>
        <w:rPr>
          <w:rStyle w:val="CommentReference"/>
        </w:rPr>
        <w:commentReference w:id="3"/>
      </w:r>
      <w:r>
        <w:rPr>
          <w:rFonts w:ascii="Traditional Arabic" w:hAnsi="Traditional Arabic"/>
          <w:color w:val="282828"/>
          <w:sz w:val="28"/>
        </w:rPr>
        <w:t xml:space="preserve"> ووصية شرعية تحفظ الحقوق، وتوظيف الوسائل والقرائن الرقمية الحديثة المتاحة لإثبات الحقوق وتوثيقها.</w:t>
      </w:r>
    </w:p>
    <w:p w14:paraId="0D712B2B" w14:textId="77777777" w:rsidR="002878CA" w:rsidRDefault="00000000" w:rsidP="00965695">
      <w:pPr>
        <w:bidi/>
        <w:spacing w:before="40" w:after="240"/>
      </w:pPr>
      <w:r>
        <w:rPr>
          <w:rFonts w:ascii="Traditional Arabic" w:hAnsi="Traditional Arabic"/>
          <w:b/>
          <w:color w:val="0D5C3A"/>
          <w:sz w:val="27"/>
        </w:rPr>
        <w:t xml:space="preserve">الكلمات المفتاحية: </w:t>
      </w:r>
      <w:r>
        <w:rPr>
          <w:rFonts w:ascii="Traditional Arabic" w:hAnsi="Traditional Arabic"/>
          <w:sz w:val="26"/>
        </w:rPr>
        <w:t xml:space="preserve">الزواج الإسلامي، التوثيق المدني، القانون الأرجنتيني، مقاصد الشريعة، </w:t>
      </w:r>
      <w:commentRangeStart w:id="4"/>
      <w:r>
        <w:rPr>
          <w:rFonts w:ascii="Traditional Arabic" w:hAnsi="Traditional Arabic"/>
          <w:sz w:val="26"/>
          <w:highlight w:val="yellow"/>
        </w:rPr>
        <w:t xml:space="preserve">المساكنة</w:t>
      </w:r>
      <w:commentRangeEnd w:id="4"/>
      <w:r>
        <w:rPr>
          <w:rStyle w:val="CommentReference"/>
        </w:rPr>
        <w:commentReference w:id="4"/>
      </w:r>
      <w:r>
        <w:rPr>
          <w:rFonts w:ascii="Traditional Arabic" w:hAnsi="Traditional Arabic"/>
          <w:sz w:val="26"/>
        </w:rPr>
        <w:t xml:space="preserve">.</w:t>
      </w:r>
    </w:p>
    <w:p w14:paraId="4991C6DE" w14:textId="77777777" w:rsidR="002878CA" w:rsidRDefault="00000000" w:rsidP="00965695">
      <w:pPr>
        <w:bidi/>
        <w:spacing w:before="160" w:after="80"/>
      </w:pPr>
      <w:r>
        <w:rPr>
          <w:rFonts w:ascii="Times New Roman" w:hAnsi="Times New Roman"/>
          <w:b/>
          <w:color w:val="143250"/>
          <w:sz w:val="26"/>
        </w:rPr>
        <w:t>Abstract</w:t>
      </w:r>
    </w:p>
    <w:p w14:paraId="78871FF7" w14:textId="77777777" w:rsidR="002878CA" w:rsidRDefault="00000000" w:rsidP="00965695">
      <w:pPr>
        <w:bidi/>
        <w:spacing w:before="40" w:after="120"/>
      </w:pPr>
      <w:commentRangeStart w:id="5"/>
      <w:r>
        <w:rPr>
          <w:rFonts w:ascii="Times New Roman" w:hAnsi="Times New Roman"/>
          <w:color w:val="282828"/>
        </w:rPr>
        <w:t>This study examines the issue of unregistered Islamic marriages among Muslims in Argentina, a critical matter affecting Muslim family stability within a Western civil law framework. The core problem lies in the fact that relying solely on a religious contract without civil registration deprives the family of legal protection, while relying entirely on civil marriage may lack essential Sharia requirements. The study aims to clarify the jurisprudential ruling on civil registration from a Maqasidic perspective, analyze the legal consequences of non-registration under Argentine law, compare it with European systems (Spain, France, UK), and offer practical preventive solutions to safeguard marital rights. Using inductive, analytical, and comparative methodologies, the study concludes that civil registration is a Sharia obligation based on the maxim "whatever is indispensable for an obligation is itself an obligation" and the principle of blocking harmful means (Sadd al-Dhara'i). Under Argentine civil law, unregistered marriages are categorized merely as "de facto cohabitation unions," stripping women of automatic inheritance and spousal maintenance, with economic compensation claims expiring within a strict six-month forfeiture period. Solemnizing imams bear religious and moral responsibility for negligence that harms women and children. The study recommends that Islamic centers mandate civil marriage certificates prior to religious ceremonies, utilize cohabitation pacts and testamentary wills within the legally disposable portion, and leverage digital tools and forensic presumptions to preserve family rights.</w:t>
      </w:r>
      <w:commentRangeEnd w:id="5"/>
      <w:r>
        <w:rPr>
          <w:rStyle w:val="CommentReference"/>
        </w:rPr>
        <w:commentReference w:id="5"/>
      </w:r>
    </w:p>
    <w:p w14:paraId="72E24774" w14:textId="77777777" w:rsidR="002878CA" w:rsidRDefault="00000000" w:rsidP="00965695">
      <w:pPr>
        <w:bidi/>
        <w:spacing w:before="40" w:after="320"/>
      </w:pPr>
      <w:r>
        <w:rPr>
          <w:rFonts w:ascii="Times New Roman" w:hAnsi="Times New Roman"/>
          <w:b/>
          <w:color w:val="143250"/>
        </w:rPr>
        <w:t xml:space="preserve">Keywords: </w:t>
      </w:r>
      <w:r>
        <w:rPr>
          <w:rFonts w:ascii="Times New Roman" w:hAnsi="Times New Roman"/>
        </w:rPr>
        <w:t xml:space="preserve">Islamic Marriage, Civil Registration, Argentine Law, Maqasid al-Shariah, </w:t>
      </w:r>
      <w:commentRangeStart w:id="6"/>
      <w:r>
        <w:rPr>
          <w:rFonts w:ascii="Times New Roman" w:hAnsi="Times New Roman"/>
          <w:highlight w:val="yellow"/>
        </w:rPr>
        <w:t xml:space="preserve">Unión convivencial</w:t>
      </w:r>
      <w:commentRangeEnd w:id="6"/>
      <w:r>
        <w:rPr>
          <w:rStyle w:val="CommentReference"/>
        </w:rPr>
        <w:commentReference w:id="6"/>
      </w:r>
      <w:r>
        <w:rPr>
          <w:rFonts w:ascii="Times New Roman" w:hAnsi="Times New Roman"/>
        </w:rPr>
        <w:t xml:space="preserve">.</w:t>
      </w:r>
    </w:p>
    <w:p w14:paraId="6DDC2F97" w14:textId="77777777" w:rsidR="002878CA" w:rsidRDefault="00000000" w:rsidP="00965695">
      <w:pPr>
        <w:keepNext/>
        <w:bidi/>
        <w:spacing w:before="360" w:after="160"/>
      </w:pPr>
      <w:r>
        <w:rPr>
          <w:rFonts w:ascii="Traditional Arabic" w:hAnsi="Traditional Arabic"/>
          <w:b/>
          <w:color w:val="0D5C3A"/>
          <w:sz w:val="36"/>
        </w:rPr>
        <w:t>المقدمة</w:t>
      </w:r>
    </w:p>
    <w:p w14:paraId="331A96D6" w14:textId="77777777" w:rsidR="002878CA" w:rsidRDefault="00000000" w:rsidP="00965695">
      <w:pPr>
        <w:keepNext/>
        <w:bidi/>
        <w:spacing w:before="280" w:after="120"/>
      </w:pPr>
      <w:r>
        <w:rPr>
          <w:rFonts w:ascii="Traditional Arabic" w:hAnsi="Traditional Arabic"/>
          <w:b/>
          <w:color w:val="143250"/>
          <w:sz w:val="32"/>
        </w:rPr>
        <w:t>1. مدخل تمهيدي وسياق الدراسة</w:t>
      </w:r>
    </w:p>
    <w:p w14:paraId="1E1967A3" w14:textId="77777777" w:rsidR="002878CA" w:rsidRDefault="00000000" w:rsidP="00965695">
      <w:pPr>
        <w:bidi/>
        <w:spacing w:after="120"/>
      </w:pPr>
      <w:r>
        <w:rPr>
          <w:rFonts w:ascii="Traditional Arabic" w:hAnsi="Traditional Arabic"/>
          <w:color w:val="282828"/>
          <w:sz w:val="30"/>
        </w:rPr>
        <w:t>الحمد لله رب العالمين، والصلاة والسلام على نبينا محمد الصادق الأمين، المبعوث رحمة للعالمين، وعلى آله وصحبه أجمعين، وبعد:</w:t>
      </w:r>
      <w:r>
        <w:rPr>
          <w:rFonts w:ascii="Traditional Arabic" w:hAnsi="Traditional Arabic"/>
          <w:color w:val="282828"/>
          <w:sz w:val="30"/>
        </w:rPr>
        <w:br/>
        <w:t>فإن الأسرة في المنظور الإسلامي هي أساس المجتمع ومستقر السكن والمودة، ولأجل ذلك أحاطتها الشريعة بسياج متين من الأحكام لحفظ مقاصدها الكبرى في صيانة الدين، والنفس، والنسل، والمال. وقد وصف القرآن الكريم عقد النكاح بأنه «ميثاق غليظ» [النساء: 21]، ورتبت عليه الشريعة من الحقوق المتبادلة والآثار المالية ما لا تستقيم الحياة الزوجية إلا بحفظه ورعايته.</w:t>
      </w:r>
    </w:p>
    <w:p w14:paraId="4FA98E2A" w14:textId="77777777" w:rsidR="002878CA" w:rsidRDefault="00000000" w:rsidP="00965695">
      <w:pPr>
        <w:bidi/>
        <w:spacing w:after="120"/>
      </w:pPr>
      <w:r>
        <w:rPr>
          <w:rFonts w:ascii="Traditional Arabic" w:hAnsi="Traditional Arabic"/>
          <w:color w:val="282828"/>
          <w:sz w:val="30"/>
        </w:rPr>
        <w:lastRenderedPageBreak/>
        <w:t>وإذا كانت الأسرة المسلمة في ديار الإسلام تجد في النظم القضائية والأعراف العامة سنداً يحمي حقوقها، فإن واقع المسلمين المقيمين في الغرب، وفي جمهورية الأرجنتين بوجه خاص، يفرض تحديات عملية تستدعي النظر والاجتهاد. فالجالية المسلمة في الأرجنتين تعيش في ظل دولة مدنية تفصل الدستور عن الأحكام الدينية؛ حيث يعتمد القانون المدني والتجاري الأرجنتيني (Ley 26.994 الصادر عام 2014 والنافذ في الأول من أغسطس 2015) مبدأ احتكار الدولة لعقد الزواج، ولا يعترف بأي أثر مدني لعقود الزواج الدينية المجردة، سواء كانت إسلامية أو كاثوليكية أو غيرها، متى أُبرمت داخل الأراضي الأرجنتينية دون توثيق في السجل المدني.</w:t>
      </w:r>
    </w:p>
    <w:p w14:paraId="36BFB2B5" w14:textId="77777777" w:rsidR="002878CA" w:rsidRDefault="00000000" w:rsidP="00965695">
      <w:pPr>
        <w:bidi/>
        <w:spacing w:after="120"/>
      </w:pPr>
      <w:commentRangeStart w:id="12"/>
      <w:r>
        <w:rPr>
          <w:rFonts w:ascii="Traditional Arabic" w:hAnsi="Traditional Arabic"/>
          <w:color w:val="282828"/>
          <w:sz w:val="30"/>
        </w:rPr>
        <w:t>ومن واقع معايشة الباحث الميدانية بوصفه إماماً وخطيباً لمركز خادم الحرمين الشريفين الملك فهد الثقافي الإسلامي في العاصمة بوينس آيرس —وهو أكبر مركز إسلامي في أمريكا اللاتينية— تتكرر في واقع الجالية مسألتان واضحتان:</w:t>
      </w:r>
      <w:commentRangeEnd w:id="12"/>
      <w:r>
        <w:rPr>
          <w:rStyle w:val="CommentReference"/>
        </w:rPr>
        <w:commentReference w:id="12"/>
      </w:r>
      <w:r>
        <w:rPr>
          <w:rFonts w:ascii="Traditional Arabic" w:hAnsi="Traditional Arabic"/>
          <w:color w:val="282828"/>
          <w:sz w:val="30"/>
        </w:rPr>
        <w:br/>
        <w:t>الأولى: أن يكتفي بعض المسلمين بإجراء العقد الشرعي في المركز الإسلامي أو لدى الأئمة دون تسجيله في السجل المدني الأرجنتيني (Registro Civil).</w:t>
      </w:r>
      <w:r>
        <w:rPr>
          <w:rFonts w:ascii="Traditional Arabic" w:hAnsi="Traditional Arabic"/>
          <w:color w:val="282828"/>
          <w:sz w:val="30"/>
        </w:rPr>
        <w:br/>
        <w:t>والثانية: أن يكتفي آخرون بالزواج في السجل المدني فقط دون استكمال ما يشترطه الفقه الإسلامي لصحة النكاح.</w:t>
      </w:r>
      <w:r>
        <w:rPr>
          <w:rFonts w:ascii="Traditional Arabic" w:hAnsi="Traditional Arabic"/>
          <w:color w:val="282828"/>
          <w:sz w:val="30"/>
        </w:rPr>
        <w:br/>
        <w:t xml:space="preserve">وفي حين يحتاج النقص في الصورة الثانية إلى استكمال العقد الشرعي، فإن الصورة الأولى (العقد الشرعي غير المسجل مدنياً) توقع الأسرة في فراغ قانوني كبير؛ إذ </w:t>
      </w:r>
      <w:commentRangeStart w:id="7"/>
      <w:r>
        <w:rPr>
          <w:rFonts w:ascii="Traditional Arabic" w:hAnsi="Traditional Arabic"/>
          <w:color w:val="282828"/>
          <w:sz w:val="30"/>
          <w:highlight w:val="yellow"/>
        </w:rPr>
        <w:t xml:space="preserve">لا يرتب القانون الأرجنتيني على العقد الديني وحده أثراً مدنياً، ولا تنطبق على هذه العلاقة إلا أحكام المساكنة (Unión convivencial) متى توافرت شروطها</w:t>
      </w:r>
      <w:commentRangeEnd w:id="7"/>
      <w:r>
        <w:rPr>
          <w:rStyle w:val="CommentReference"/>
        </w:rPr>
        <w:commentReference w:id="7"/>
      </w:r>
      <w:r>
        <w:rPr>
          <w:rFonts w:ascii="Traditional Arabic" w:hAnsi="Traditional Arabic"/>
          <w:color w:val="282828"/>
          <w:sz w:val="30"/>
        </w:rPr>
        <w:t xml:space="preserve">، مما يترتب عليه حرمان المرأة من حق الإرث التلقائي، والنفقة الزوجية المعتادة، </w:t>
      </w:r>
      <w:commentRangeStart w:id="8"/>
      <w:r>
        <w:rPr>
          <w:rFonts w:ascii="Traditional Arabic" w:hAnsi="Traditional Arabic"/>
          <w:color w:val="282828"/>
          <w:sz w:val="30"/>
          <w:highlight w:val="yellow"/>
        </w:rPr>
        <w:t xml:space="preserve">وسقوط حقها في المطالبة بالمقابل الاقتصادي بمضي ستة أشهر فقط من انتهاء المساكنة</w:t>
      </w:r>
      <w:commentRangeEnd w:id="8"/>
      <w:r>
        <w:rPr>
          <w:rStyle w:val="CommentReference"/>
        </w:rPr>
        <w:commentReference w:id="8"/>
      </w:r>
      <w:r>
        <w:rPr>
          <w:rFonts w:ascii="Traditional Arabic" w:hAnsi="Traditional Arabic"/>
          <w:color w:val="282828"/>
          <w:sz w:val="30"/>
        </w:rPr>
        <w:t xml:space="preserve">.</w:t>
      </w:r>
    </w:p>
    <w:tbl>
      <w:tblPr>
        <w:tblW w:w="0" w:type="auto"/>
        <w:jc w:val="center"/>
        <w:tblLook w:val="04A0" w:firstRow="1" w:lastRow="0" w:firstColumn="1" w:lastColumn="0" w:noHBand="0" w:noVBand="1"/>
      </w:tblPr>
      <w:tblGrid>
        <w:gridCol w:w="9029"/>
      </w:tblGrid>
      <w:tr w:rsidR="002878CA" w14:paraId="355894C0" w14:textId="77777777">
        <w:trPr>
          <w:jc w:val="center"/>
        </w:trPr>
        <w:tc>
          <w:tcPr>
            <w:tcW w:w="9029" w:type="dxa"/>
            <w:tcBorders>
              <w:right w:val="single" w:sz="24" w:space="0" w:color="0D5C3A"/>
            </w:tcBorders>
            <w:shd w:val="clear" w:color="auto" w:fill="F4F9F6"/>
            <w:tcMar>
              <w:top w:w="160" w:type="dxa"/>
              <w:left w:w="220" w:type="dxa"/>
              <w:bottom w:w="160" w:type="dxa"/>
              <w:right w:w="220" w:type="dxa"/>
            </w:tcMar>
          </w:tcPr>
          <w:p w14:paraId="73378E3C" w14:textId="133986ED" w:rsidR="002878CA" w:rsidRDefault="00000000" w:rsidP="00965695">
            <w:pPr>
              <w:bidi/>
              <w:spacing w:before="40" w:after="60"/>
            </w:pPr>
            <w:commentRangeStart w:id="11"/>
            <w:r>
              <w:rPr>
                <w:rFonts w:ascii="Traditional Arabic" w:hAnsi="Traditional Arabic"/>
                <w:b/>
                <w:color w:val="0D5C3A"/>
                <w:sz w:val="28"/>
                <w:highlight w:val="yellow"/>
              </w:rPr>
              <w:t xml:space="preserve">الواقع الميداني للدراسة:</w:t>
            </w:r>
            <w:commentRangeEnd w:id="11"/>
            <w:r>
              <w:rPr>
                <w:rStyle w:val="CommentReference"/>
              </w:rPr>
              <w:commentReference w:id="11"/>
            </w:r>
            <w:r>
              <w:rPr>
                <w:rFonts w:ascii="Traditional Arabic" w:hAnsi="Traditional Arabic"/>
                <w:b/>
                <w:color w:val="0D5C3A"/>
                <w:sz w:val="28"/>
              </w:rPr>
              <w:t xml:space="preserve"> </w:t>
            </w:r>
            <w:r>
              <w:rPr>
                <w:rFonts w:ascii="Traditional Arabic" w:hAnsi="Traditional Arabic"/>
                <w:color w:val="282828"/>
                <w:sz w:val="27"/>
              </w:rPr>
              <w:t xml:space="preserve">تنبع أهمية هذه الدراسة من ملامستها لحالات واقعية </w:t>
            </w:r>
            <w:proofErr w:type="spellStart"/>
            <w:commentRangeStart w:id="13"/>
            <w:r>
              <w:rPr>
                <w:rFonts w:ascii="Traditional Arabic" w:hAnsi="Traditional Arabic"/>
                <w:color w:val="282828"/>
                <w:sz w:val="27"/>
              </w:rPr>
              <w:t>عاينها</w:t>
            </w:r>
            <w:commentRangeEnd w:id="13"/>
            <w:r>
              <w:rPr>
                <w:rStyle w:val="CommentReference"/>
              </w:rPr>
              <w:commentReference w:id="13"/>
            </w:r>
            <w:proofErr w:type="spellEnd"/>
            <w:r>
              <w:rPr>
                <w:rFonts w:ascii="Traditional Arabic" w:hAnsi="Traditional Arabic"/>
                <w:color w:val="282828"/>
                <w:sz w:val="27"/>
              </w:rPr>
              <w:t xml:space="preserve"> </w:t>
            </w:r>
            <w:proofErr w:type="spellStart"/>
            <w:r>
              <w:rPr>
                <w:rFonts w:ascii="Traditional Arabic" w:hAnsi="Traditional Arabic"/>
                <w:color w:val="282828"/>
                <w:sz w:val="27"/>
              </w:rPr>
              <w:t>الباحث</w:t>
            </w:r>
            <w:proofErr w:type="spellEnd"/>
            <w:r>
              <w:rPr>
                <w:rFonts w:ascii="Traditional Arabic" w:hAnsi="Traditional Arabic"/>
                <w:color w:val="282828"/>
                <w:sz w:val="27"/>
              </w:rPr>
              <w:t xml:space="preserve"> في </w:t>
            </w:r>
            <w:proofErr w:type="spellStart"/>
            <w:r>
              <w:rPr>
                <w:rFonts w:ascii="Traditional Arabic" w:hAnsi="Traditional Arabic"/>
                <w:color w:val="282828"/>
                <w:sz w:val="27"/>
              </w:rPr>
              <w:t>المركز</w:t>
            </w:r>
            <w:proofErr w:type="spellEnd"/>
            <w:r>
              <w:rPr>
                <w:rFonts w:ascii="Traditional Arabic" w:hAnsi="Traditional Arabic"/>
                <w:color w:val="282828"/>
                <w:sz w:val="27"/>
              </w:rPr>
              <w:t xml:space="preserve"> الإسلامي؛ </w:t>
            </w:r>
            <w:proofErr w:type="spellStart"/>
            <w:r>
              <w:rPr>
                <w:rFonts w:ascii="Traditional Arabic" w:hAnsi="Traditional Arabic"/>
                <w:color w:val="282828"/>
                <w:sz w:val="27"/>
              </w:rPr>
              <w:t>حيث</w:t>
            </w:r>
            <w:proofErr w:type="spellEnd"/>
            <w:r>
              <w:rPr>
                <w:rFonts w:ascii="Traditional Arabic" w:hAnsi="Traditional Arabic"/>
                <w:color w:val="282828"/>
                <w:sz w:val="27"/>
              </w:rPr>
              <w:t xml:space="preserve"> </w:t>
            </w:r>
            <w:proofErr w:type="spellStart"/>
            <w:r>
              <w:rPr>
                <w:rFonts w:ascii="Traditional Arabic" w:hAnsi="Traditional Arabic"/>
                <w:color w:val="282828"/>
                <w:sz w:val="27"/>
              </w:rPr>
              <w:t>تواجه</w:t>
            </w:r>
            <w:proofErr w:type="spellEnd"/>
            <w:r>
              <w:rPr>
                <w:rFonts w:ascii="Traditional Arabic" w:hAnsi="Traditional Arabic"/>
                <w:color w:val="282828"/>
                <w:sz w:val="27"/>
              </w:rPr>
              <w:t xml:space="preserve"> نساء مسلمات صعوبات بالغة في نيل حقوقهن الشرعية أمام القضاء الأرجنتيني بسبب غياب الوثيقة الرسمية، في حين يستغل بعض الأزواج هذا الفراغ للتنصل من واجباتهم المالية.</w:t>
            </w:r>
          </w:p>
        </w:tc>
      </w:tr>
    </w:tbl>
    <w:p w14:paraId="224F5475" w14:textId="77777777" w:rsidR="002878CA" w:rsidRDefault="002878CA" w:rsidP="00965695">
      <w:pPr>
        <w:bidi/>
        <w:spacing w:after="80"/>
      </w:pPr>
    </w:p>
    <w:p w14:paraId="5867C3A6" w14:textId="77777777" w:rsidR="002878CA" w:rsidRDefault="00000000" w:rsidP="00965695">
      <w:pPr>
        <w:keepNext/>
        <w:bidi/>
        <w:spacing w:before="280" w:after="120"/>
      </w:pPr>
      <w:r>
        <w:rPr>
          <w:rFonts w:ascii="Traditional Arabic" w:hAnsi="Traditional Arabic"/>
          <w:b/>
          <w:color w:val="143250"/>
          <w:sz w:val="32"/>
        </w:rPr>
        <w:t>2. مشكلة البحث وأسئلته</w:t>
      </w:r>
    </w:p>
    <w:p w14:paraId="1FC9AB85" w14:textId="719744CD" w:rsidR="002878CA" w:rsidRDefault="00000000" w:rsidP="00965695">
      <w:pPr>
        <w:bidi/>
        <w:spacing w:after="120"/>
      </w:pPr>
      <w:r>
        <w:rPr>
          <w:rFonts w:ascii="Traditional Arabic" w:hAnsi="Traditional Arabic"/>
          <w:color w:val="282828"/>
          <w:sz w:val="30"/>
        </w:rPr>
        <w:t>تتلخص مشكلة البحث في بيان: «الحكم الفقهي والمقاصدي للاكتفاء بالعقد الشرعي غير المسجل مدنياً لدى المسلمين في الأرجنتين، وما يترتب عليه من فراغ قانوني يؤدي إلى ضياع حقوق الزوجة والأولاد، مع بيان الحلول والتدابير الوقائية لحفظ هذه الحقوق».</w:t>
      </w:r>
      <w:r>
        <w:rPr>
          <w:rFonts w:ascii="Traditional Arabic" w:hAnsi="Traditional Arabic"/>
          <w:color w:val="282828"/>
          <w:sz w:val="30"/>
        </w:rPr>
        <w:br/>
        <w:t>ويتفرع عن هذا الإشكال الأسئلة الآتية:</w:t>
      </w:r>
      <w:r>
        <w:rPr>
          <w:rFonts w:ascii="Traditional Arabic" w:hAnsi="Traditional Arabic"/>
          <w:color w:val="282828"/>
          <w:sz w:val="30"/>
        </w:rPr>
        <w:br/>
        <w:t xml:space="preserve">1. ما التكييف الفقهي والأصولي لعقد الزواج غير الموثق مدنياً في بيئة الأقليات، وما حكم اشتراط التوثيق في ضوء </w:t>
      </w:r>
      <w:r>
        <w:rPr>
          <w:rFonts w:ascii="Traditional Arabic" w:hAnsi="Traditional Arabic"/>
          <w:color w:val="282828"/>
          <w:sz w:val="30"/>
        </w:rPr>
        <w:lastRenderedPageBreak/>
        <w:t>القواعد الفقهية ومقاصد الشريعة؟</w:t>
      </w:r>
      <w:r>
        <w:rPr>
          <w:rFonts w:ascii="Traditional Arabic" w:hAnsi="Traditional Arabic"/>
          <w:color w:val="282828"/>
          <w:sz w:val="30"/>
        </w:rPr>
        <w:br/>
        <w:t>2. ما الآثار القانونية المترتبة على عدم التوثيق في القانون المدني والتجاري الأرجنتيني (Ley 26.994) على الزوجة والأولاد؟</w:t>
      </w:r>
      <w:r>
        <w:rPr>
          <w:rFonts w:ascii="Traditional Arabic" w:hAnsi="Traditional Arabic"/>
          <w:color w:val="282828"/>
          <w:sz w:val="30"/>
        </w:rPr>
        <w:br/>
        <w:t xml:space="preserve">3. كيف </w:t>
      </w:r>
      <w:proofErr w:type="spellStart"/>
      <w:r>
        <w:rPr>
          <w:rFonts w:ascii="Traditional Arabic" w:hAnsi="Traditional Arabic"/>
          <w:color w:val="282828"/>
          <w:sz w:val="30"/>
        </w:rPr>
        <w:t>تعاملت</w:t>
      </w:r>
      <w:proofErr w:type="spellEnd"/>
      <w:r>
        <w:rPr>
          <w:rFonts w:ascii="Traditional Arabic" w:hAnsi="Traditional Arabic"/>
          <w:color w:val="282828"/>
          <w:sz w:val="30"/>
        </w:rPr>
        <w:t xml:space="preserve"> </w:t>
      </w:r>
      <w:proofErr w:type="spellStart"/>
      <w:r>
        <w:rPr>
          <w:rFonts w:ascii="Traditional Arabic" w:hAnsi="Traditional Arabic"/>
          <w:color w:val="282828"/>
          <w:sz w:val="30"/>
        </w:rPr>
        <w:t>النظم</w:t>
      </w:r>
      <w:proofErr w:type="spellEnd"/>
      <w:r>
        <w:rPr>
          <w:rFonts w:ascii="Traditional Arabic" w:hAnsi="Traditional Arabic"/>
          <w:color w:val="282828"/>
          <w:sz w:val="30"/>
        </w:rPr>
        <w:t xml:space="preserve"> </w:t>
      </w:r>
      <w:proofErr w:type="spellStart"/>
      <w:r>
        <w:rPr>
          <w:rFonts w:ascii="Traditional Arabic" w:hAnsi="Traditional Arabic"/>
          <w:color w:val="282828"/>
          <w:sz w:val="30"/>
        </w:rPr>
        <w:t>الغربية</w:t>
      </w:r>
      <w:proofErr w:type="spellEnd"/>
      <w:r>
        <w:rPr>
          <w:rFonts w:ascii="Traditional Arabic" w:hAnsi="Traditional Arabic"/>
          <w:color w:val="282828"/>
          <w:sz w:val="30"/>
        </w:rPr>
        <w:t xml:space="preserve"> </w:t>
      </w:r>
      <w:proofErr w:type="spellStart"/>
      <w:r>
        <w:rPr>
          <w:rFonts w:ascii="Traditional Arabic" w:hAnsi="Traditional Arabic"/>
          <w:color w:val="282828"/>
          <w:sz w:val="30"/>
        </w:rPr>
        <w:t>المقارنة</w:t>
      </w:r>
      <w:proofErr w:type="spellEnd"/>
      <w:r>
        <w:rPr>
          <w:rFonts w:ascii="Traditional Arabic" w:hAnsi="Traditional Arabic"/>
          <w:color w:val="282828"/>
          <w:sz w:val="30"/>
        </w:rPr>
        <w:t xml:space="preserve"> </w:t>
      </w:r>
      <w:proofErr w:type="spellStart"/>
      <w:r>
        <w:rPr>
          <w:rFonts w:ascii="Traditional Arabic" w:hAnsi="Traditional Arabic"/>
          <w:color w:val="282828"/>
          <w:sz w:val="30"/>
        </w:rPr>
        <w:t>والمدونة</w:t>
      </w:r>
      <w:proofErr w:type="spellEnd"/>
      <w:r>
        <w:rPr>
          <w:rFonts w:ascii="Traditional Arabic" w:hAnsi="Traditional Arabic"/>
          <w:color w:val="282828"/>
          <w:sz w:val="30"/>
        </w:rPr>
        <w:t xml:space="preserve"> </w:t>
      </w:r>
      <w:proofErr w:type="spellStart"/>
      <w:r>
        <w:rPr>
          <w:rFonts w:ascii="Traditional Arabic" w:hAnsi="Traditional Arabic"/>
          <w:color w:val="282828"/>
          <w:sz w:val="30"/>
        </w:rPr>
        <w:t>القضائية</w:t>
      </w:r>
      <w:proofErr w:type="spellEnd"/>
      <w:r>
        <w:rPr>
          <w:rFonts w:ascii="Traditional Arabic" w:hAnsi="Traditional Arabic"/>
          <w:color w:val="282828"/>
          <w:sz w:val="30"/>
        </w:rPr>
        <w:t xml:space="preserve"> </w:t>
      </w:r>
      <w:proofErr w:type="spellStart"/>
      <w:r>
        <w:rPr>
          <w:rFonts w:ascii="Traditional Arabic" w:hAnsi="Traditional Arabic"/>
          <w:color w:val="282828"/>
          <w:sz w:val="30"/>
        </w:rPr>
        <w:t>الدولية</w:t>
      </w:r>
      <w:proofErr w:type="spellEnd"/>
      <w:r>
        <w:rPr>
          <w:rFonts w:ascii="Traditional Arabic" w:hAnsi="Traditional Arabic"/>
          <w:color w:val="282828"/>
          <w:sz w:val="30"/>
        </w:rPr>
        <w:t xml:space="preserve"> مع النزاعات الناشئة عن الزواج الديني غير المسجل؟</w:t>
      </w:r>
      <w:r>
        <w:rPr>
          <w:rFonts w:ascii="Traditional Arabic" w:hAnsi="Traditional Arabic"/>
          <w:color w:val="282828"/>
          <w:sz w:val="30"/>
        </w:rPr>
        <w:br/>
        <w:t>4. ما التدابير التعاقدية الوقائية، والأدوات الرقمية المعاصرة، التي يمكن للمراكز الإسلامية والأئمة توظيفها في إطار السياسة الشرعية لحماية الأسرة؟</w:t>
      </w:r>
    </w:p>
    <w:p w14:paraId="16C5DC98" w14:textId="77777777" w:rsidR="002878CA" w:rsidRDefault="00000000" w:rsidP="00965695">
      <w:pPr>
        <w:keepNext/>
        <w:bidi/>
        <w:spacing w:before="280" w:after="120"/>
      </w:pPr>
      <w:r>
        <w:rPr>
          <w:rFonts w:ascii="Traditional Arabic" w:hAnsi="Traditional Arabic"/>
          <w:b/>
          <w:color w:val="143250"/>
          <w:sz w:val="32"/>
        </w:rPr>
        <w:t>3. أهداف البحث وأهميته</w:t>
      </w:r>
    </w:p>
    <w:p w14:paraId="3FAC6D70" w14:textId="77777777" w:rsidR="002878CA" w:rsidRDefault="00000000" w:rsidP="00965695">
      <w:pPr>
        <w:bidi/>
        <w:spacing w:after="120"/>
      </w:pPr>
      <w:r>
        <w:rPr>
          <w:rFonts w:ascii="Traditional Arabic" w:hAnsi="Traditional Arabic"/>
          <w:color w:val="282828"/>
          <w:sz w:val="30"/>
        </w:rPr>
        <w:t>يهدف هذا البحث إلى:</w:t>
      </w:r>
      <w:r>
        <w:rPr>
          <w:rFonts w:ascii="Traditional Arabic" w:hAnsi="Traditional Arabic"/>
          <w:color w:val="282828"/>
          <w:sz w:val="30"/>
        </w:rPr>
        <w:br/>
        <w:t>1. تأصيل حكم التوثيق المدني في ديار الأقليات بالاستناد إلى القواعد الفقهية الكبرى ونظائرها في عمل الفقهاء والسياسة الشرعية.</w:t>
      </w:r>
      <w:r>
        <w:rPr>
          <w:rFonts w:ascii="Traditional Arabic" w:hAnsi="Traditional Arabic"/>
          <w:color w:val="282828"/>
          <w:sz w:val="30"/>
        </w:rPr>
        <w:br/>
        <w:t>2. بيان نصوص القانون الأرجنتيني النافذ بأسلوب ميسر يوضح لعلماء الشريعة والباحثين حقيقة الوضع القانوني للمرأة والطفل في الزواج غير الموثق.</w:t>
      </w:r>
      <w:r>
        <w:rPr>
          <w:rFonts w:ascii="Traditional Arabic" w:hAnsi="Traditional Arabic"/>
          <w:color w:val="282828"/>
          <w:sz w:val="30"/>
        </w:rPr>
        <w:br/>
        <w:t>3. مقارنة النموذج الأرجنتيني بنظم غربية أخرى كإسبانيا وفرنسا وبريطانيا للاستفادة من تجاربها وقضائها.</w:t>
      </w:r>
      <w:r>
        <w:rPr>
          <w:rFonts w:ascii="Traditional Arabic" w:hAnsi="Traditional Arabic"/>
          <w:color w:val="282828"/>
          <w:sz w:val="30"/>
        </w:rPr>
        <w:br/>
        <w:t>4. تقديم مقترحات إجرائية وعملية تعين الأئمة والمراكز الإسلامية على حماية حقوق الأسر المسلمة والحد من النزاعات.</w:t>
      </w:r>
      <w:r>
        <w:rPr>
          <w:rFonts w:ascii="Traditional Arabic" w:hAnsi="Traditional Arabic"/>
          <w:color w:val="282828"/>
          <w:sz w:val="30"/>
        </w:rPr>
        <w:br/>
      </w:r>
      <w:r>
        <w:rPr>
          <w:rFonts w:ascii="Traditional Arabic" w:hAnsi="Traditional Arabic"/>
          <w:color w:val="282828"/>
          <w:sz w:val="30"/>
        </w:rPr>
        <w:br/>
        <w:t>وتبرز أهمية البحث في كونه يسد نقصاً في الدراسات الفقهية المقارنة؛ إذ ركزت أغلب البحوث السابقة على البيئات العربية أو على دول القانون العام كبريطانيا وأمريكا، في حين بقيت بيئة أمريكا اللاتينية وقوانينها المدنية بحاجة إلى دراسة شرعية وافية.</w:t>
      </w:r>
    </w:p>
    <w:p w14:paraId="54EF40B2" w14:textId="77777777" w:rsidR="002878CA" w:rsidRDefault="00000000" w:rsidP="00965695">
      <w:pPr>
        <w:keepNext/>
        <w:bidi/>
        <w:spacing w:before="280" w:after="120"/>
      </w:pPr>
      <w:r>
        <w:rPr>
          <w:rFonts w:ascii="Traditional Arabic" w:hAnsi="Traditional Arabic"/>
          <w:b/>
          <w:color w:val="143250"/>
          <w:sz w:val="32"/>
        </w:rPr>
        <w:t>4. الدراسات السابقة وفجوة البحث</w:t>
      </w:r>
    </w:p>
    <w:p w14:paraId="7991D2CA" w14:textId="77777777" w:rsidR="002878CA" w:rsidRDefault="00000000" w:rsidP="00965695">
      <w:pPr>
        <w:bidi/>
        <w:spacing w:after="120"/>
      </w:pPr>
      <w:r>
        <w:rPr>
          <w:rFonts w:ascii="Traditional Arabic" w:hAnsi="Traditional Arabic"/>
          <w:color w:val="282828"/>
          <w:sz w:val="30"/>
        </w:rPr>
        <w:t>تناولت دراسات سابقة موضوع توثيق الزواج من زوايا متعددة، ويمكن تصنيفها إلى:</w:t>
      </w:r>
      <w:r>
        <w:rPr>
          <w:rFonts w:ascii="Traditional Arabic" w:hAnsi="Traditional Arabic"/>
          <w:color w:val="282828"/>
          <w:sz w:val="30"/>
        </w:rPr>
        <w:br/>
        <w:t xml:space="preserve">• دراسات شرعية في الزواج غير الموثق في الدول الإسلامية: مثل أطروحة العتيبي</w:t>
      </w:r>
      <w:r>
        <w:rPr>
          <w:vertAlign w:val="superscript"/>
        </w:rPr>
        <w:footnoteReference w:id="1"/>
      </w:r>
      <w:r>
        <w:rPr>
          <w:rFonts w:ascii="Traditional Arabic" w:hAnsi="Traditional Arabic"/>
          <w:color w:val="282828"/>
          <w:sz w:val="30"/>
        </w:rPr>
        <w:t xml:space="preserve"> بجامعة أم القرى، وبحث الزحيلي</w:t>
      </w:r>
      <w:r>
        <w:rPr>
          <w:vertAlign w:val="superscript"/>
        </w:rPr>
        <w:footnoteReference w:id="2"/>
      </w:r>
      <w:r>
        <w:rPr>
          <w:rFonts w:ascii="Traditional Arabic" w:hAnsi="Traditional Arabic"/>
          <w:color w:val="282828"/>
          <w:sz w:val="30"/>
        </w:rPr>
        <w:t xml:space="preserve">، وقد بحثت صحة العقد وشروطه ديانة، لكنها انطلقت من واقع مجتمعات تعتمد القضاء الشرعي ويسهل فيها إثبات الزوجية بشهادة الشهود.</w:t>
      </w:r>
      <w:commentRangeStart w:id="9"/>
      <w:r>
        <w:rPr>
          <w:rFonts w:ascii="Traditional Arabic" w:hAnsi="Traditional Arabic"/>
          <w:color w:val="282828"/>
          <w:sz w:val="30"/>
        </w:rPr>
        <w:br/>
        <w:t xml:space="preserve">• دراسات غربية في بيئات القانون العام (Common Law): مثل دراسات فيرغسون</w:t>
      </w:r>
      <w:commentRangeEnd w:id="9"/>
      <w:r>
        <w:rPr>
          <w:rStyle w:val="CommentReference"/>
        </w:rPr>
        <w:commentReference w:id="9"/>
      </w:r>
      <w:r>
        <w:rPr>
          <w:vertAlign w:val="superscript"/>
        </w:rPr>
        <w:footnoteReference w:id="3"/>
      </w:r>
      <w:r>
        <w:rPr>
          <w:rFonts w:ascii="Traditional Arabic" w:hAnsi="Traditional Arabic"/>
          <w:color w:val="282828"/>
          <w:sz w:val="30"/>
        </w:rPr>
        <w:t xml:space="preserve"> وسامية بانو</w:t>
      </w:r>
      <w:r>
        <w:rPr>
          <w:vertAlign w:val="superscript"/>
        </w:rPr>
        <w:footnoteReference w:id="4"/>
      </w:r>
      <w:r>
        <w:rPr>
          <w:rFonts w:ascii="Traditional Arabic" w:hAnsi="Traditional Arabic"/>
          <w:color w:val="282828"/>
          <w:sz w:val="30"/>
        </w:rPr>
        <w:t xml:space="preserve"> حول الزواج الإسلامي غير المسجل في بريطانيا، وهي دراسات مفيدة لكنها تبحث </w:t>
      </w:r>
      <w:r>
        <w:rPr>
          <w:rFonts w:ascii="Traditional Arabic" w:hAnsi="Traditional Arabic"/>
          <w:color w:val="282828"/>
          <w:sz w:val="30"/>
        </w:rPr>
        <w:lastRenderedPageBreak/>
        <w:t>نظاماً قضائياً يختلف عن القانون المدني اللاتيني المعمول به في الأرجنتين.</w:t>
      </w:r>
      <w:r>
        <w:rPr>
          <w:rFonts w:ascii="Traditional Arabic" w:hAnsi="Traditional Arabic"/>
          <w:color w:val="282828"/>
          <w:sz w:val="30"/>
        </w:rPr>
        <w:br/>
        <w:t xml:space="preserve">• دراسات قانونية أرجنتينية: مثل دراسة فارفان وميدينا</w:t>
      </w:r>
      <w:r>
        <w:rPr>
          <w:vertAlign w:val="superscript"/>
        </w:rPr>
        <w:footnoteReference w:id="5"/>
      </w:r>
      <w:r>
        <w:rPr>
          <w:rFonts w:ascii="Traditional Arabic" w:hAnsi="Traditional Arabic"/>
          <w:color w:val="282828"/>
          <w:sz w:val="30"/>
        </w:rPr>
        <w:t xml:space="preserve"> وشروح هيريرا</w:t>
      </w:r>
      <w:r>
        <w:rPr>
          <w:vertAlign w:val="superscript"/>
        </w:rPr>
        <w:footnoteReference w:id="6"/>
      </w:r>
      <w:r>
        <w:rPr>
          <w:rFonts w:ascii="Traditional Arabic" w:hAnsi="Traditional Arabic"/>
          <w:color w:val="282828"/>
          <w:sz w:val="30"/>
        </w:rPr>
        <w:t xml:space="preserve"> لنظام الأسرة، وهي بحوث قانونية بحتة لا تتطرق إلى الأحكام الفقهية للمسلمين.</w:t>
      </w:r>
      <w:r>
        <w:rPr>
          <w:rFonts w:ascii="Traditional Arabic" w:hAnsi="Traditional Arabic"/>
          <w:color w:val="282828"/>
          <w:sz w:val="30"/>
        </w:rPr>
        <w:br/>
      </w:r>
      <w:r>
        <w:rPr>
          <w:rFonts w:ascii="Traditional Arabic" w:hAnsi="Traditional Arabic"/>
          <w:color w:val="282828"/>
          <w:sz w:val="30"/>
        </w:rPr>
        <w:br/>
      </w:r>
      <w:commentRangeStart w:id="10"/>
      <w:r>
        <w:rPr>
          <w:rFonts w:ascii="Traditional Arabic" w:hAnsi="Traditional Arabic"/>
          <w:color w:val="282828"/>
          <w:sz w:val="30"/>
          <w:highlight w:val="yellow"/>
        </w:rPr>
        <w:t xml:space="preserve">فجوة البحث:</w:t>
      </w:r>
      <w:commentRangeEnd w:id="10"/>
      <w:r>
        <w:rPr>
          <w:rStyle w:val="CommentReference"/>
        </w:rPr>
        <w:commentReference w:id="10"/>
      </w:r>
      <w:r>
        <w:rPr>
          <w:rFonts w:ascii="Traditional Arabic" w:hAnsi="Traditional Arabic"/>
          <w:color w:val="282828"/>
          <w:sz w:val="30"/>
        </w:rPr>
        <w:t xml:space="preserve"> تكمن إضافة هذه الورقة في الجمع بين التأصيل الفقهي المقاصدي الرصين والتحليل العملي لقانون الأرجنتين المدني النافذ، انطلاقاً من الواقع الحي لأكبر مركز إسلامي في أمريكا اللاتينية.</w:t>
      </w:r>
    </w:p>
    <w:p w14:paraId="6A507F53" w14:textId="77777777" w:rsidR="002878CA" w:rsidRDefault="00000000" w:rsidP="00965695">
      <w:pPr>
        <w:keepNext/>
        <w:bidi/>
        <w:spacing w:before="280" w:after="120"/>
      </w:pPr>
      <w:r>
        <w:rPr>
          <w:rFonts w:ascii="Traditional Arabic" w:hAnsi="Traditional Arabic"/>
          <w:b/>
          <w:color w:val="143250"/>
          <w:sz w:val="32"/>
        </w:rPr>
        <w:t>5. منهجية البحث وهيكله</w:t>
      </w:r>
    </w:p>
    <w:p w14:paraId="2D317B3B" w14:textId="77777777" w:rsidR="002878CA" w:rsidRDefault="00000000" w:rsidP="00965695">
      <w:pPr>
        <w:bidi/>
        <w:spacing w:after="120"/>
      </w:pPr>
      <w:r>
        <w:rPr>
          <w:rFonts w:ascii="Traditional Arabic" w:hAnsi="Traditional Arabic"/>
          <w:color w:val="282828"/>
          <w:sz w:val="30"/>
        </w:rPr>
        <w:t>اعتمد البحث المنهج الاستقرائي لتتبع النصوص الشرعية ومواد القانون، والمنهج التحليلي المقاصدي لدراسة علل الأحكام ومآلاتها، والمنهج المقارن للموازنة بين مقتضيات الشريعة وأحكام القانون الوضعي.</w:t>
      </w:r>
      <w:r>
        <w:rPr>
          <w:rFonts w:ascii="Traditional Arabic" w:hAnsi="Traditional Arabic"/>
          <w:color w:val="282828"/>
          <w:sz w:val="30"/>
        </w:rPr>
        <w:br/>
      </w:r>
      <w:r>
        <w:rPr>
          <w:rFonts w:ascii="Traditional Arabic" w:hAnsi="Traditional Arabic"/>
          <w:color w:val="282828"/>
          <w:sz w:val="30"/>
        </w:rPr>
        <w:br/>
        <w:t>وقد انتظم البحث في أربعة مباحث وخاتمة:</w:t>
      </w:r>
      <w:r>
        <w:rPr>
          <w:rFonts w:ascii="Traditional Arabic" w:hAnsi="Traditional Arabic"/>
          <w:color w:val="282828"/>
          <w:sz w:val="30"/>
        </w:rPr>
        <w:br/>
        <w:t>• المبحث الأول: التكييف الفقهي والتأصيل الأصولي والمقاصدي لحكم التوثيق المدني.</w:t>
      </w:r>
      <w:r>
        <w:rPr>
          <w:rFonts w:ascii="Traditional Arabic" w:hAnsi="Traditional Arabic"/>
          <w:color w:val="282828"/>
          <w:sz w:val="30"/>
        </w:rPr>
        <w:br/>
        <w:t>• المبحث الثاني: الآثار القانونية لعدم التوثيق في القانون المدني والتجاري الأرجنتيني (Ley 26.994).</w:t>
      </w:r>
      <w:r>
        <w:rPr>
          <w:rFonts w:ascii="Traditional Arabic" w:hAnsi="Traditional Arabic"/>
          <w:color w:val="282828"/>
          <w:sz w:val="30"/>
        </w:rPr>
        <w:br/>
        <w:t>• المبحث الثالث: الموازنة بالنظم الغربية والمدونة القضائية المقارنة.</w:t>
      </w:r>
      <w:r>
        <w:rPr>
          <w:rFonts w:ascii="Traditional Arabic" w:hAnsi="Traditional Arabic"/>
          <w:color w:val="282828"/>
          <w:sz w:val="30"/>
        </w:rPr>
        <w:br/>
        <w:t>• المبحث الرابع: سبل الوقاية ودور المراكز والأئمة والقرائن الرقمية في السياسة الشرعية.</w:t>
      </w:r>
      <w:r>
        <w:rPr>
          <w:rFonts w:ascii="Traditional Arabic" w:hAnsi="Traditional Arabic"/>
          <w:color w:val="282828"/>
          <w:sz w:val="30"/>
        </w:rPr>
        <w:br/>
        <w:t>• الخاتمة: وتتضمن أهم النتائج والتوصيات.</w:t>
      </w:r>
    </w:p>
    <w:p w14:paraId="5E51455F" w14:textId="77777777" w:rsidR="002878CA" w:rsidRDefault="00000000" w:rsidP="00965695">
      <w:pPr>
        <w:keepNext/>
        <w:bidi/>
        <w:spacing w:before="360" w:after="160"/>
      </w:pPr>
      <w:r>
        <w:rPr>
          <w:rFonts w:ascii="Traditional Arabic" w:hAnsi="Traditional Arabic"/>
          <w:b/>
          <w:color w:val="0D5C3A"/>
          <w:sz w:val="36"/>
        </w:rPr>
        <w:t>المبحث الأول: التكييف الفقهي والتأصيل الأصولي والمقاصدي لحكم التوثيق المدني</w:t>
      </w:r>
    </w:p>
    <w:p w14:paraId="6EDF3D87" w14:textId="77777777" w:rsidR="002878CA" w:rsidRDefault="00000000" w:rsidP="00965695">
      <w:pPr>
        <w:keepNext/>
        <w:bidi/>
        <w:spacing w:before="280" w:after="120"/>
      </w:pPr>
      <w:r>
        <w:rPr>
          <w:rFonts w:ascii="Traditional Arabic" w:hAnsi="Traditional Arabic"/>
          <w:b/>
          <w:color w:val="143250"/>
          <w:sz w:val="32"/>
        </w:rPr>
        <w:t>المطلب الأول: تحرير محل النزاع وتكييف العقد غير الموثق</w:t>
      </w:r>
    </w:p>
    <w:p w14:paraId="05485317" w14:textId="77777777" w:rsidR="002878CA" w:rsidRDefault="00000000" w:rsidP="00965695">
      <w:pPr>
        <w:bidi/>
        <w:spacing w:after="120"/>
      </w:pPr>
      <w:r>
        <w:rPr>
          <w:rFonts w:ascii="Traditional Arabic" w:hAnsi="Traditional Arabic"/>
          <w:color w:val="282828"/>
          <w:sz w:val="30"/>
        </w:rPr>
        <w:t>لتوضيح المسألة، لا بد من التمييز بين أمرين:</w:t>
      </w:r>
      <w:r>
        <w:rPr>
          <w:rFonts w:ascii="Traditional Arabic" w:hAnsi="Traditional Arabic"/>
          <w:color w:val="282828"/>
          <w:sz w:val="30"/>
        </w:rPr>
        <w:br/>
        <w:t xml:space="preserve">الأمر الأول: صحة العقد من الناحية الشرعية الديانة؛ فمتى استوفى العقد أركانه المعتبرة وشروطه من الرضا، وولي المرأة (على قول جمهور الفقهاء)، </w:t>
      </w:r>
      <w:commentRangeStart w:id="16"/>
      <w:r>
        <w:rPr>
          <w:rFonts w:ascii="Traditional Arabic" w:hAnsi="Traditional Arabic"/>
          <w:color w:val="282828"/>
          <w:sz w:val="30"/>
          <w:highlight w:val="yellow"/>
        </w:rPr>
        <w:t xml:space="preserve">وحضور شاهدي عدل، وخلو</w:t>
      </w:r>
      <w:commentRangeEnd w:id="16"/>
      <w:r>
        <w:rPr>
          <w:rStyle w:val="CommentReference"/>
        </w:rPr>
        <w:commentReference w:id="16"/>
      </w:r>
      <w:r>
        <w:rPr>
          <w:rFonts w:ascii="Traditional Arabic" w:hAnsi="Traditional Arabic"/>
          <w:color w:val="282828"/>
          <w:sz w:val="30"/>
        </w:rPr>
        <w:t xml:space="preserve"> الزوجين من الموانع الشرعية؛ فإنه عقد صحيح شرعاً في الأصل وتترتب عليه آثاره كحل المعاشرة وثبوت النسب</w:t>
      </w:r>
      <w:r>
        <w:rPr>
          <w:vertAlign w:val="superscript"/>
        </w:rPr>
        <w:footnoteReference w:id="7"/>
      </w:r>
      <w:r>
        <w:rPr>
          <w:rFonts w:ascii="Traditional Arabic" w:hAnsi="Traditional Arabic"/>
          <w:color w:val="282828"/>
          <w:sz w:val="30"/>
        </w:rPr>
        <w:t xml:space="preserve">.</w:t>
      </w:r>
      <w:r>
        <w:rPr>
          <w:rFonts w:ascii="Traditional Arabic" w:hAnsi="Traditional Arabic"/>
          <w:color w:val="282828"/>
          <w:sz w:val="30"/>
        </w:rPr>
        <w:br/>
      </w:r>
      <w:r>
        <w:rPr>
          <w:rFonts w:ascii="Traditional Arabic" w:hAnsi="Traditional Arabic"/>
          <w:color w:val="282828"/>
          <w:sz w:val="30"/>
        </w:rPr>
        <w:br/>
        <w:t xml:space="preserve">الأمر الثاني: استيفاء الحقوق والحماية القضائية في بلد الإقامة؛ وهنا يقع الخلل والنزاع، فإذا كان القضاء المدني في </w:t>
      </w:r>
      <w:r>
        <w:rPr>
          <w:rFonts w:ascii="Traditional Arabic" w:hAnsi="Traditional Arabic"/>
          <w:color w:val="282828"/>
          <w:sz w:val="30"/>
        </w:rPr>
        <w:lastRenderedPageBreak/>
        <w:t>الأرجنتين لا يعترف بهذا العقد الديني ولا يقبل شهادة هؤلاء الشهود لإثبات الزوجية، فإن أثر العقد يتعطل عملياً أمام المحاكم.</w:t>
      </w:r>
      <w:r>
        <w:rPr>
          <w:rFonts w:ascii="Traditional Arabic" w:hAnsi="Traditional Arabic"/>
          <w:color w:val="282828"/>
          <w:sz w:val="30"/>
        </w:rPr>
        <w:br/>
      </w:r>
      <w:r>
        <w:rPr>
          <w:rFonts w:ascii="Traditional Arabic" w:hAnsi="Traditional Arabic"/>
          <w:color w:val="282828"/>
          <w:sz w:val="30"/>
        </w:rPr>
        <w:br/>
        <w:t xml:space="preserve">وهنا يتعطل المعنى والمقصد الشرعي من الشهود؛ فالإشهاد في الإسلام لم يُشرع لمجرد الشكلية، وإنما شُرع لصيانة الأنساب، وقطع النزاع، وضمان حقوق الزوجة وأولادها عند الخلاف أو الوفاة</w:t>
      </w:r>
      <w:commentRangeStart w:id="81"/>
      <w:r>
        <w:rPr>
          <w:vertAlign w:val="superscript"/>
        </w:rPr>
        <w:footnoteReference w:id="8"/>
      </w:r>
      <w:commentRangeEnd w:id="81"/>
      <w:r>
        <w:rPr>
          <w:rStyle w:val="CommentReference"/>
        </w:rPr>
        <w:commentReference w:id="81"/>
      </w:r>
      <w:r>
        <w:rPr>
          <w:rFonts w:ascii="Traditional Arabic" w:hAnsi="Traditional Arabic"/>
          <w:color w:val="282828"/>
          <w:sz w:val="30"/>
        </w:rPr>
        <w:t xml:space="preserve">. فإذا كانت شهادة الشهود عاجزة في بلد الإقامة عن إلزام الزوج بالنفقة أو تمكين الزوجة من الميراث، ضاعت المقاصد التي أمرت الشريعة بحفظها. ومن هنا لم يعد التوثيق في السجل المدني مجرد إجراء شكلي عارض، بل غدا وسيلةً لازمة لحماية هذه الحقوق وصيانتها.</w:t>
      </w:r>
    </w:p>
    <w:p w14:paraId="42A8542D" w14:textId="77777777" w:rsidR="002878CA" w:rsidRDefault="00000000" w:rsidP="00965695">
      <w:pPr>
        <w:keepNext/>
        <w:bidi/>
        <w:spacing w:before="280" w:after="120"/>
      </w:pPr>
      <w:r>
        <w:rPr>
          <w:rFonts w:ascii="Traditional Arabic" w:hAnsi="Traditional Arabic"/>
          <w:b/>
          <w:color w:val="143250"/>
          <w:sz w:val="32"/>
        </w:rPr>
        <w:t>المطلب الثاني: التأصيل بالقواعد الفقهية والأصولية الكبرى</w:t>
      </w:r>
    </w:p>
    <w:p w14:paraId="4EB20C60" w14:textId="77777777" w:rsidR="002878CA" w:rsidRDefault="00000000" w:rsidP="00965695">
      <w:pPr>
        <w:bidi/>
        <w:spacing w:after="120"/>
      </w:pPr>
      <w:r>
        <w:rPr>
          <w:rFonts w:ascii="Traditional Arabic" w:hAnsi="Traditional Arabic"/>
          <w:color w:val="282828"/>
          <w:sz w:val="30"/>
        </w:rPr>
        <w:t>يستند القول بوجوب تسجيل عقد الزواج في السجل المدني بديار الأقليات إلى عدد من القواعد الفقهية والأصولية المعتمدة:</w:t>
      </w:r>
    </w:p>
    <w:p w14:paraId="1F91AA66" w14:textId="77777777" w:rsidR="002878CA" w:rsidRDefault="00000000" w:rsidP="00965695">
      <w:pPr>
        <w:keepNext/>
        <w:bidi/>
        <w:spacing w:before="200" w:after="80"/>
      </w:pPr>
      <w:r>
        <w:rPr>
          <w:rFonts w:ascii="Traditional Arabic" w:hAnsi="Traditional Arabic"/>
          <w:b/>
          <w:color w:val="78460A"/>
          <w:sz w:val="30"/>
        </w:rPr>
        <w:t>1. قاعدة «تغير الأحكام والفتوى بتغير الأزمنة والأحوال والعوائد»</w:t>
      </w:r>
    </w:p>
    <w:p w14:paraId="3242D7A2" w14:textId="77777777" w:rsidR="002878CA" w:rsidRDefault="00000000" w:rsidP="00965695">
      <w:pPr>
        <w:bidi/>
        <w:spacing w:after="120"/>
      </w:pPr>
      <w:r>
        <w:rPr>
          <w:rFonts w:ascii="Traditional Arabic" w:hAnsi="Traditional Arabic"/>
          <w:color w:val="282828"/>
          <w:sz w:val="30"/>
        </w:rPr>
        <w:t xml:space="preserve">قرر أئمة الفقه والأصول أن الوسائل والإجراءات التي تُبنى على العرف والمصالح تتغير بتغير الزمان؛ صيانةً لمقاصد الدين ودفعاً للضرر. وقد بين الإمام ابن القيم</w:t>
      </w:r>
      <w:r>
        <w:rPr>
          <w:vertAlign w:val="superscript"/>
        </w:rPr>
        <w:footnoteReference w:id="9"/>
      </w:r>
      <w:r>
        <w:rPr>
          <w:rFonts w:ascii="Traditional Arabic" w:hAnsi="Traditional Arabic"/>
          <w:color w:val="282828"/>
          <w:sz w:val="30"/>
        </w:rPr>
        <w:t xml:space="preserve"> في «إعلام الموقعين» أن الشريعة مبناها على رعاية مصالح العباد والعدل والرحمة، وأن الجمود على العادات القديمة مع تغير أحوال الناس يفوت مقصود الشارع. وأكد الإمام شهاب الدين القرافي</w:t>
      </w:r>
      <w:commentRangeStart w:id="82"/>
      <w:r>
        <w:rPr>
          <w:vertAlign w:val="superscript"/>
        </w:rPr>
        <w:footnoteReference w:id="10"/>
      </w:r>
      <w:commentRangeEnd w:id="82"/>
      <w:r>
        <w:rPr>
          <w:rStyle w:val="CommentReference"/>
        </w:rPr>
        <w:commentReference w:id="82"/>
      </w:r>
      <w:r>
        <w:rPr>
          <w:rFonts w:ascii="Traditional Arabic" w:hAnsi="Traditional Arabic"/>
          <w:color w:val="282828"/>
          <w:sz w:val="30"/>
        </w:rPr>
        <w:t xml:space="preserve"> في «الفروق» و«الإحكام» أن الجمود على المنقولات دون مراعاة تغير العوائد خلاف الصواب وجهل بمقاصد العلماء.</w:t>
      </w:r>
      <w:r>
        <w:rPr>
          <w:rFonts w:ascii="Traditional Arabic" w:hAnsi="Traditional Arabic"/>
          <w:color w:val="282828"/>
          <w:sz w:val="30"/>
        </w:rPr>
        <w:br/>
      </w:r>
      <w:r>
        <w:rPr>
          <w:rFonts w:ascii="Traditional Arabic" w:hAnsi="Traditional Arabic"/>
          <w:color w:val="282828"/>
          <w:sz w:val="30"/>
        </w:rPr>
        <w:br/>
        <w:t xml:space="preserve">ونص ابن عابدين</w:t>
      </w:r>
      <w:r>
        <w:rPr>
          <w:vertAlign w:val="superscript"/>
        </w:rPr>
        <w:footnoteReference w:id="11"/>
      </w:r>
      <w:r>
        <w:rPr>
          <w:rFonts w:ascii="Traditional Arabic" w:hAnsi="Traditional Arabic"/>
          <w:color w:val="282828"/>
          <w:sz w:val="30"/>
        </w:rPr>
        <w:t xml:space="preserve"> في رسالته «نشر العرف» على أن كثيراً من الأحكام تختلف باختلاف الزمان لتغير عرف أهله أو لحدوث ضرورة، بحيث لو بقي الحكم على ما كان عليه لوقع الضرر بالناس. وقد صاغت مجلة الأحكام العدلية</w:t>
      </w:r>
      <w:r>
        <w:rPr>
          <w:vertAlign w:val="superscript"/>
        </w:rPr>
        <w:footnoteReference w:id="12"/>
      </w:r>
      <w:r>
        <w:rPr>
          <w:rFonts w:ascii="Traditional Arabic" w:hAnsi="Traditional Arabic"/>
          <w:color w:val="282828"/>
          <w:sz w:val="30"/>
        </w:rPr>
        <w:t xml:space="preserve"> هذه القاعدة بعبارتها المشهورة: «لا يُنكَر تغيرُ الأحكام بتغير الأزمان».</w:t>
      </w:r>
      <w:r>
        <w:rPr>
          <w:rFonts w:ascii="Traditional Arabic" w:hAnsi="Traditional Arabic"/>
          <w:color w:val="282828"/>
          <w:sz w:val="30"/>
        </w:rPr>
        <w:br/>
      </w:r>
      <w:r>
        <w:rPr>
          <w:rFonts w:ascii="Traditional Arabic" w:hAnsi="Traditional Arabic"/>
          <w:color w:val="282828"/>
          <w:sz w:val="30"/>
        </w:rPr>
        <w:br/>
        <w:t>وتطبيقاً على هذه المسألة: كان الاكتفاء بالإشهاد الشفهي كافياً في عصور خلت لقوة الوازع الديني وسيادة القضاء الشرعي؛ أما اليوم، وفي بيئة غير إسلامية لا تعترف إلا بالسجلات المدنية، فإن ترك التوثيق يفضي إلى ضياع الحقوق وإنكارها، فوجب التوثيق حفظاً لمقاصد الشرع.</w:t>
      </w:r>
    </w:p>
    <w:p w14:paraId="49572DC1" w14:textId="77777777" w:rsidR="002878CA" w:rsidRDefault="00000000" w:rsidP="00965695">
      <w:pPr>
        <w:keepNext/>
        <w:bidi/>
        <w:spacing w:before="200" w:after="80"/>
      </w:pPr>
      <w:r>
        <w:rPr>
          <w:rFonts w:ascii="Traditional Arabic" w:hAnsi="Traditional Arabic"/>
          <w:b/>
          <w:color w:val="78460A"/>
          <w:sz w:val="30"/>
        </w:rPr>
        <w:lastRenderedPageBreak/>
        <w:t>2. قاعدة «ما لا يتم الواجب إلا به فهو واجب»</w:t>
      </w:r>
    </w:p>
    <w:p w14:paraId="30831F07" w14:textId="77777777" w:rsidR="002878CA" w:rsidRDefault="00000000" w:rsidP="00965695">
      <w:pPr>
        <w:bidi/>
        <w:spacing w:after="120"/>
      </w:pPr>
      <w:r>
        <w:rPr>
          <w:rFonts w:ascii="Traditional Arabic" w:hAnsi="Traditional Arabic"/>
          <w:color w:val="282828"/>
          <w:sz w:val="30"/>
        </w:rPr>
        <w:t xml:space="preserve">قرر علماء الأصول أن الوسيلة التي يتوقف عليها أداء الواجب الشرعي تأخذ حكم ذلك الواجب</w:t>
      </w:r>
      <w:commentRangeStart w:id="83"/>
      <w:r>
        <w:rPr>
          <w:vertAlign w:val="superscript"/>
        </w:rPr>
        <w:footnoteReference w:id="13"/>
      </w:r>
      <w:commentRangeEnd w:id="83"/>
      <w:r>
        <w:rPr>
          <w:rStyle w:val="CommentReference"/>
        </w:rPr>
        <w:commentReference w:id="83"/>
      </w:r>
      <w:r>
        <w:rPr>
          <w:rFonts w:ascii="Traditional Arabic" w:hAnsi="Traditional Arabic"/>
          <w:color w:val="282828"/>
          <w:sz w:val="30"/>
        </w:rPr>
        <w:t xml:space="preserve">. وحفظ حقوق الأسرة المسلمة من نفقة وميراث وحفظ نسب الأطفال </w:t>
      </w:r>
      <w:commentRangeStart w:id="17"/>
      <w:r>
        <w:rPr>
          <w:rFonts w:ascii="Traditional Arabic" w:hAnsi="Traditional Arabic"/>
          <w:color w:val="282828"/>
          <w:sz w:val="30"/>
          <w:highlight w:val="yellow"/>
        </w:rPr>
        <w:t xml:space="preserve">من الواجبات الثابتة بالنص</w:t>
      </w:r>
      <w:commentRangeEnd w:id="17"/>
      <w:r>
        <w:rPr>
          <w:rStyle w:val="CommentReference"/>
        </w:rPr>
        <w:commentReference w:id="17"/>
      </w:r>
      <w:r>
        <w:rPr>
          <w:rFonts w:ascii="Traditional Arabic" w:hAnsi="Traditional Arabic"/>
          <w:color w:val="282828"/>
          <w:sz w:val="30"/>
        </w:rPr>
        <w:t xml:space="preserve">. ولما كان هذا الواجب ممتنع التحقق في واقع القانون المعاصر كالأرجنتين بغير التسجيل في السجلات المدنية الرسمية؛ </w:t>
      </w:r>
      <w:commentRangeStart w:id="18"/>
      <w:r>
        <w:rPr>
          <w:rFonts w:ascii="Traditional Arabic" w:hAnsi="Traditional Arabic"/>
          <w:color w:val="282828"/>
          <w:sz w:val="30"/>
          <w:highlight w:val="yellow"/>
        </w:rPr>
        <w:t xml:space="preserve">صار التوثيق واجباً؛ لأنه الطريق المتعين لأداء هذا الواجب</w:t>
      </w:r>
      <w:commentRangeEnd w:id="18"/>
      <w:r>
        <w:rPr>
          <w:rStyle w:val="CommentReference"/>
        </w:rPr>
        <w:commentReference w:id="18"/>
      </w:r>
      <w:r>
        <w:rPr>
          <w:rFonts w:ascii="Traditional Arabic" w:hAnsi="Traditional Arabic"/>
          <w:color w:val="282828"/>
          <w:sz w:val="30"/>
        </w:rPr>
        <w:t xml:space="preserve">، مع بقاء التدابير الوقائية الأخرى (ك</w:t>
      </w:r>
      <w:commentRangeStart w:id="76"/>
      <w:r>
        <w:rPr>
          <w:rFonts w:ascii="Traditional Arabic" w:hAnsi="Traditional Arabic"/>
          <w:color w:val="282828"/>
          <w:sz w:val="30"/>
          <w:highlight w:val="yellow"/>
        </w:rPr>
        <w:t xml:space="preserve">اتفاقات المساكنة</w:t>
      </w:r>
      <w:commentRangeEnd w:id="76"/>
      <w:r>
        <w:rPr>
          <w:rStyle w:val="CommentReference"/>
        </w:rPr>
        <w:commentReference w:id="76"/>
      </w:r>
      <w:r>
        <w:rPr>
          <w:rFonts w:ascii="Traditional Arabic" w:hAnsi="Traditional Arabic"/>
          <w:color w:val="282828"/>
          <w:sz w:val="30"/>
        </w:rPr>
        <w:t xml:space="preserve"> والوصية) حلولاً استثنائية لمن تعذر عليه التسجيل لمانع مؤقت.</w:t>
      </w:r>
    </w:p>
    <w:p w14:paraId="314A282F" w14:textId="77777777" w:rsidR="002878CA" w:rsidRDefault="00000000" w:rsidP="00965695">
      <w:pPr>
        <w:keepNext/>
        <w:bidi/>
        <w:spacing w:before="200" w:after="80"/>
      </w:pPr>
      <w:r>
        <w:rPr>
          <w:rFonts w:ascii="Traditional Arabic" w:hAnsi="Traditional Arabic"/>
          <w:b/>
          <w:color w:val="78460A"/>
          <w:sz w:val="30"/>
        </w:rPr>
        <w:t>3. قاعدة «سد الذرائع واعتبار المآلات»</w:t>
      </w:r>
    </w:p>
    <w:p w14:paraId="04F46859" w14:textId="77777777" w:rsidR="002878CA" w:rsidRDefault="00000000" w:rsidP="00965695">
      <w:pPr>
        <w:bidi/>
        <w:spacing w:after="120"/>
      </w:pPr>
      <w:r>
        <w:rPr>
          <w:rFonts w:ascii="Traditional Arabic" w:hAnsi="Traditional Arabic"/>
          <w:color w:val="282828"/>
          <w:sz w:val="30"/>
        </w:rPr>
        <w:t xml:space="preserve">يقرر الإمام الشاطبي</w:t>
      </w:r>
      <w:commentRangeStart w:id="84"/>
      <w:r>
        <w:rPr>
          <w:vertAlign w:val="superscript"/>
        </w:rPr>
        <w:footnoteReference w:id="14"/>
      </w:r>
      <w:commentRangeEnd w:id="84"/>
      <w:r>
        <w:rPr>
          <w:rStyle w:val="CommentReference"/>
        </w:rPr>
        <w:commentReference w:id="84"/>
      </w:r>
      <w:commentRangeStart w:id="19"/>
      <w:r>
        <w:rPr>
          <w:rFonts w:ascii="Traditional Arabic" w:hAnsi="Traditional Arabic"/>
          <w:color w:val="282828"/>
          <w:sz w:val="30"/>
        </w:rPr>
        <w:t xml:space="preserve"> أن النظر في مآلات الأفعال معتبر ومقصود في الشريعة؛ فإذا كان الفعل مباحاً في أصله لكنه يؤدي غالباً إلى مفسدة راجحة، وجب منعه سداً للذريعة. والزواج غير المسجل في الأرجنتين يفضي في كثير من الأحيان إلى تهرب الزوج من النفقة عند النزاع، أو حرمان المرأة وأولادها من السكن والتركة عند الوفاة، فكان إلزام الناس بتوثيقه درءاً لهذه المفاسد الظاهرة.</w:t>
      </w:r>
      <w:commentRangeEnd w:id="19"/>
      <w:r>
        <w:rPr>
          <w:rStyle w:val="CommentReference"/>
        </w:rPr>
        <w:commentReference w:id="19"/>
      </w:r>
    </w:p>
    <w:p w14:paraId="2F53C692" w14:textId="77777777" w:rsidR="002878CA" w:rsidRDefault="00000000" w:rsidP="00965695">
      <w:pPr>
        <w:keepNext/>
        <w:bidi/>
        <w:spacing w:before="280" w:after="120"/>
      </w:pPr>
      <w:r>
        <w:rPr>
          <w:rFonts w:ascii="Traditional Arabic" w:hAnsi="Traditional Arabic"/>
          <w:b/>
          <w:color w:val="143250"/>
          <w:sz w:val="32"/>
        </w:rPr>
        <w:t>المطلب الثالث: التخريج على النظائر الفقهية والسياسة الشرعية</w:t>
      </w:r>
    </w:p>
    <w:p w14:paraId="3BF59745" w14:textId="77777777" w:rsidR="002878CA" w:rsidRDefault="00000000" w:rsidP="00965695">
      <w:pPr>
        <w:bidi/>
        <w:spacing w:after="120"/>
      </w:pPr>
      <w:r>
        <w:rPr>
          <w:rFonts w:ascii="Traditional Arabic" w:hAnsi="Traditional Arabic"/>
          <w:color w:val="282828"/>
          <w:sz w:val="30"/>
        </w:rPr>
        <w:t>إن اشتراط توثيق الزواج في المحاكم والسجلات ليس بدعاً في الفقه الإسلامي، بل له نظائر تاريخية واضحة في اجتهادات الصحابة والفقهاء حين أوجبوا إجراءات وشروطاً جديدة لحماية الحقوق لما تغيرت أحوال الناس:</w:t>
      </w:r>
    </w:p>
    <w:p w14:paraId="57B90FCD" w14:textId="77777777" w:rsidR="002878CA" w:rsidRDefault="00000000" w:rsidP="00965695">
      <w:pPr>
        <w:bidi/>
        <w:spacing w:after="120"/>
      </w:pPr>
      <w:r>
        <w:rPr>
          <w:rFonts w:ascii="Traditional Arabic" w:hAnsi="Traditional Arabic"/>
          <w:color w:val="282828"/>
          <w:sz w:val="30"/>
        </w:rPr>
        <w:t xml:space="preserve">1. تضمين الصنّاع المشتركين: كان الأصل أن يد الصانع (كالخياط والصباغ) يد أمانة لا يضمن إلا إذا تعدى أو فرّط. فلما رأى الخلفاء الراشدون عمر بن الخطاب وعلي بن أبي طالب رضي الله عنهما تهاون بعض الصناع وضياع أموال الناس، حكما بتضمينهم؛ </w:t>
      </w:r>
      <w:commentRangeStart w:id="20"/>
      <w:r>
        <w:rPr>
          <w:rFonts w:ascii="Traditional Arabic" w:hAnsi="Traditional Arabic"/>
          <w:color w:val="282828"/>
          <w:sz w:val="30"/>
          <w:highlight w:val="yellow"/>
        </w:rPr>
        <w:t xml:space="preserve">ورُوي عن علي رضي الله عنه أنه قال: «لا يُصلح الناسَ إلا ذلك»</w:t>
      </w:r>
      <w:commentRangeEnd w:id="20"/>
      <w:r>
        <w:rPr>
          <w:rStyle w:val="CommentReference"/>
        </w:rPr>
        <w:commentReference w:id="20"/>
      </w:r>
      <w:commentRangeStart w:id="85"/>
      <w:r>
        <w:rPr>
          <w:vertAlign w:val="superscript"/>
        </w:rPr>
        <w:footnoteReference w:id="15"/>
      </w:r>
      <w:commentRangeEnd w:id="85"/>
      <w:r>
        <w:rPr>
          <w:rStyle w:val="CommentReference"/>
        </w:rPr>
        <w:commentReference w:id="85"/>
      </w:r>
      <w:r>
        <w:rPr>
          <w:rFonts w:ascii="Traditional Arabic" w:hAnsi="Traditional Arabic"/>
          <w:color w:val="282828"/>
          <w:sz w:val="30"/>
        </w:rPr>
        <w:t xml:space="preserve">.</w:t>
      </w:r>
      <w:r>
        <w:rPr>
          <w:rFonts w:ascii="Traditional Arabic" w:hAnsi="Traditional Arabic"/>
          <w:color w:val="282828"/>
          <w:sz w:val="30"/>
        </w:rPr>
        <w:br/>
      </w:r>
      <w:commentRangeStart w:id="21"/>
      <w:r>
        <w:rPr>
          <w:rFonts w:ascii="Traditional Arabic" w:hAnsi="Traditional Arabic"/>
          <w:color w:val="282828"/>
          <w:sz w:val="30"/>
        </w:rPr>
        <w:br/>
        <w:t xml:space="preserve">2. اشتراط تزكية الشهود وقصرها على المسجلين: كان الأصل في الصدر الأول قبول شهادة المسلم المستور لظاهر عدالته. فلما اتسعت البلاد وكثر التجاحد، أوجب القضاة البحث عن عدالة الشهود، ثم استحدثوا ديواناً للشهود المعدلين لا تُقبل الشهادة إلا ممن قُيد فيه</w:t>
      </w:r>
      <w:commentRangeEnd w:id="21"/>
      <w:r>
        <w:rPr>
          <w:rStyle w:val="CommentReference"/>
        </w:rPr>
        <w:commentReference w:id="21"/>
      </w:r>
      <w:commentRangeStart w:id="86"/>
      <w:r>
        <w:rPr>
          <w:vertAlign w:val="superscript"/>
        </w:rPr>
        <w:footnoteReference w:id="16"/>
      </w:r>
      <w:commentRangeEnd w:id="86"/>
      <w:r>
        <w:rPr>
          <w:rStyle w:val="CommentReference"/>
        </w:rPr>
        <w:commentReference w:id="86"/>
      </w:r>
      <w:r>
        <w:rPr>
          <w:rFonts w:ascii="Traditional Arabic" w:hAnsi="Traditional Arabic"/>
          <w:color w:val="282828"/>
          <w:sz w:val="30"/>
        </w:rPr>
        <w:t xml:space="preserve">، وهذا قيد إجرائي أوجبته المصلحة.</w:t>
      </w:r>
      <w:r>
        <w:rPr>
          <w:rFonts w:ascii="Traditional Arabic" w:hAnsi="Traditional Arabic"/>
          <w:color w:val="282828"/>
          <w:sz w:val="30"/>
        </w:rPr>
        <w:br/>
      </w:r>
      <w:commentRangeStart w:id="22"/>
      <w:r>
        <w:rPr>
          <w:rFonts w:ascii="Traditional Arabic" w:hAnsi="Traditional Arabic"/>
          <w:color w:val="282828"/>
          <w:sz w:val="30"/>
        </w:rPr>
        <w:br/>
        <w:t xml:space="preserve">3. حبس المدين مجهول الحال: استقر الفقه على جواز حبس المدين المجهول حتى يتبين أمره وتُعلم ملاءته، خلافاً للأصل </w:t>
      </w:r>
      <w:commentRangeEnd w:id="22"/>
      <w:r>
        <w:rPr>
          <w:rStyle w:val="CommentReference"/>
        </w:rPr>
        <w:commentReference w:id="22"/>
      </w:r>
      <w:r>
        <w:rPr>
          <w:rFonts w:ascii="Traditional Arabic" w:hAnsi="Traditional Arabic"/>
          <w:color w:val="282828"/>
          <w:sz w:val="30"/>
        </w:rPr>
        <w:lastRenderedPageBreak/>
        <w:t xml:space="preserve">المستصحب في براءة ذمته، صيانةً لحقوق الدائنين</w:t>
      </w:r>
      <w:commentRangeStart w:id="87"/>
      <w:r>
        <w:rPr>
          <w:vertAlign w:val="superscript"/>
        </w:rPr>
        <w:footnoteReference w:id="17"/>
      </w:r>
      <w:commentRangeEnd w:id="87"/>
      <w:r>
        <w:rPr>
          <w:rStyle w:val="CommentReference"/>
        </w:rPr>
        <w:commentReference w:id="87"/>
      </w:r>
      <w:r>
        <w:rPr>
          <w:rFonts w:ascii="Traditional Arabic" w:hAnsi="Traditional Arabic"/>
          <w:color w:val="282828"/>
          <w:sz w:val="30"/>
        </w:rPr>
        <w:t xml:space="preserve">.</w:t>
      </w:r>
      <w:r>
        <w:rPr>
          <w:rFonts w:ascii="Traditional Arabic" w:hAnsi="Traditional Arabic"/>
          <w:color w:val="282828"/>
          <w:sz w:val="30"/>
        </w:rPr>
        <w:br/>
      </w:r>
      <w:r>
        <w:rPr>
          <w:rFonts w:ascii="Traditional Arabic" w:hAnsi="Traditional Arabic"/>
          <w:color w:val="282828"/>
          <w:sz w:val="30"/>
        </w:rPr>
        <w:br/>
        <w:t xml:space="preserve">4. النظير التشريعي الإسلامي في عدم سماع دعوى الزوجية بغير وثيقة رسمية: ومن أقرب النظائر المعاصرة ما قررته القوانين الشرعية في العالم الإسلامي، </w:t>
      </w:r>
      <w:commentRangeStart w:id="23"/>
      <w:r>
        <w:rPr>
          <w:rFonts w:ascii="Traditional Arabic" w:hAnsi="Traditional Arabic"/>
          <w:color w:val="282828"/>
          <w:sz w:val="30"/>
          <w:highlight w:val="yellow"/>
        </w:rPr>
        <w:t xml:space="preserve">كاللائحة ترتيب</w:t>
      </w:r>
      <w:commentRangeEnd w:id="23"/>
      <w:r>
        <w:rPr>
          <w:rStyle w:val="CommentReference"/>
        </w:rPr>
        <w:commentReference w:id="23"/>
      </w:r>
      <w:r>
        <w:rPr>
          <w:rFonts w:ascii="Traditional Arabic" w:hAnsi="Traditional Arabic"/>
          <w:color w:val="282828"/>
          <w:sz w:val="30"/>
        </w:rPr>
        <w:t xml:space="preserve"> المحاكم الشرعية المصرية الصادرة عام 1931 (المادة 99) وما سبقها من التنظيمات العثمانية؛ حيث قضت بعدم سماع دعوى الزوجية عند الإنكار إلا إذا كانت ثابتة بوثيقة زواج رسمية. وهذا تصرف صريح في السياسة الشرعية بتقييد الإثبات القضائي بالتوثيق لحسم النزاعات.</w:t>
      </w:r>
      <w:r>
        <w:rPr>
          <w:rFonts w:ascii="Traditional Arabic" w:hAnsi="Traditional Arabic"/>
          <w:color w:val="282828"/>
          <w:sz w:val="30"/>
        </w:rPr>
        <w:br/>
      </w:r>
      <w:r>
        <w:rPr>
          <w:rFonts w:ascii="Traditional Arabic" w:hAnsi="Traditional Arabic"/>
          <w:color w:val="282828"/>
          <w:sz w:val="30"/>
        </w:rPr>
        <w:br/>
      </w:r>
      <w:commentRangeStart w:id="24"/>
      <w:r>
        <w:rPr>
          <w:rFonts w:ascii="Traditional Arabic" w:hAnsi="Traditional Arabic"/>
          <w:color w:val="282828"/>
          <w:sz w:val="30"/>
          <w:highlight w:val="yellow"/>
        </w:rPr>
        <w:t xml:space="preserve">الشاهد الفقهي:</w:t>
      </w:r>
      <w:commentRangeEnd w:id="24"/>
      <w:r>
        <w:rPr>
          <w:rStyle w:val="CommentReference"/>
        </w:rPr>
        <w:commentReference w:id="24"/>
      </w:r>
      <w:r>
        <w:rPr>
          <w:rFonts w:ascii="Traditional Arabic" w:hAnsi="Traditional Arabic"/>
          <w:color w:val="282828"/>
          <w:sz w:val="30"/>
        </w:rPr>
        <w:t xml:space="preserve"> إذا كان الفقهاء قد استحدثوا هذه القيود والضمانات صيانة للأموال؛ فإن صيانة الأنساب والفروج وحقوق النساء والأطفال أولى بالرعاية والتشديد.</w:t>
      </w:r>
    </w:p>
    <w:p w14:paraId="71A00E3A" w14:textId="77777777" w:rsidR="002878CA" w:rsidRDefault="00000000" w:rsidP="00965695">
      <w:pPr>
        <w:keepNext/>
        <w:bidi/>
        <w:spacing w:before="280" w:after="120"/>
      </w:pPr>
      <w:r>
        <w:rPr>
          <w:rFonts w:ascii="Traditional Arabic" w:hAnsi="Traditional Arabic"/>
          <w:b/>
          <w:color w:val="143250"/>
          <w:sz w:val="32"/>
        </w:rPr>
        <w:t>المطلب الرابع: مسؤولية الإمام العاقد والزوجين في ميزان السياسة الشرعية</w:t>
      </w:r>
    </w:p>
    <w:p w14:paraId="244EB059" w14:textId="77777777" w:rsidR="002878CA" w:rsidRDefault="00000000" w:rsidP="00965695">
      <w:pPr>
        <w:bidi/>
        <w:spacing w:after="120"/>
      </w:pPr>
      <w:r>
        <w:rPr>
          <w:rFonts w:ascii="Traditional Arabic" w:hAnsi="Traditional Arabic"/>
          <w:color w:val="282828"/>
          <w:sz w:val="30"/>
        </w:rPr>
        <w:t>تقع مسؤولية عدم التوثيق على عاتق الزوجين بالدرجة الأولى؛ لكونهما المفرطين في اتخاذ أسباب الحماية المقررة. غير أن الإمام أو المركز الإسلامي الذي يباشر عقد النكاح دون التأكد من التسجيل المدني يشاركهما في المسؤولية الأدبية والشرعية، وذلك من وجوه:</w:t>
      </w:r>
      <w:r>
        <w:rPr>
          <w:rFonts w:ascii="Traditional Arabic" w:hAnsi="Traditional Arabic"/>
          <w:color w:val="282828"/>
          <w:sz w:val="30"/>
        </w:rPr>
        <w:br/>
        <w:t>• من جهة التسبب والإعانة: فإجراء العقد الديني دون تسجيل يمكن ضعاف النفوس من الاستمتاع بالمرأة ثم التخلي عنها دون التزام قانوني بالنفقة، وهو إعانة غير مقصودة على ما يفضي إلى الظلم، والله تعالى يقول: ﴿وَتَعَاوَنُوا عَلَى الْبِرِّ وَالتَّقْوَىٰ وَلَا تَعَاوَنُوا عَلَى الْإِثْمِ وَالْعُدْوَانِ﴾ [المائدة: 2].</w:t>
      </w:r>
      <w:r>
        <w:rPr>
          <w:rFonts w:ascii="Traditional Arabic" w:hAnsi="Traditional Arabic"/>
          <w:color w:val="282828"/>
          <w:sz w:val="30"/>
        </w:rPr>
        <w:br/>
        <w:t>• من جهة النصح والتوجيه: فالإمام في ديار الغرب يرجع إليه الناس طلباً للرأي والفتوى، ويستند دوره إلى ولاية الجماعة المسلمة وتراضيها على مرجع شرعي عند غياب القضاء الإسلامي؛ ومن واجب النصح للمسلمين ألا يغر المرأة وأهلها بعقد شرعي مجرد قد يعقبه ضياع حقوقها.</w:t>
      </w:r>
      <w:r>
        <w:rPr>
          <w:rFonts w:ascii="Traditional Arabic" w:hAnsi="Traditional Arabic"/>
          <w:color w:val="282828"/>
          <w:sz w:val="30"/>
        </w:rPr>
        <w:br/>
        <w:t xml:space="preserve">• موازنة المآلات بحكمة: مع تأكيد وجوب التوثيق كأصل عام، ينبغي للأئمة الموازنة في الحالات الاستثنائية الحرجة (كمن تعذر عليه التسجيل لعارض نظامي مؤقت يُخشى معه الوقوع في الحرام)؛ </w:t>
      </w:r>
      <w:commentRangeStart w:id="25"/>
      <w:r>
        <w:rPr>
          <w:rFonts w:ascii="Traditional Arabic" w:hAnsi="Traditional Arabic"/>
          <w:color w:val="282828"/>
          <w:sz w:val="30"/>
          <w:highlight w:val="yellow"/>
        </w:rPr>
        <w:t xml:space="preserve">فيُعقد النكاح الشرعي المستوفي لشروطه، مع التزام مكتوب بالتعجيل بالقيد المدني، وتوثيق اتفاقات تحفظ الحقوق إلى حين القيد</w:t>
      </w:r>
      <w:commentRangeEnd w:id="25"/>
      <w:r>
        <w:rPr>
          <w:rStyle w:val="CommentReference"/>
        </w:rPr>
        <w:commentReference w:id="25"/>
      </w:r>
      <w:r>
        <w:rPr>
          <w:rFonts w:ascii="Traditional Arabic" w:hAnsi="Traditional Arabic"/>
          <w:color w:val="282828"/>
          <w:sz w:val="30"/>
        </w:rPr>
        <w:t xml:space="preserve">.</w:t>
      </w:r>
    </w:p>
    <w:tbl>
      <w:tblPr>
        <w:tblW w:w="0" w:type="auto"/>
        <w:jc w:val="center"/>
        <w:tblLook w:val="04A0" w:firstRow="1" w:lastRow="0" w:firstColumn="1" w:lastColumn="0" w:noHBand="0" w:noVBand="1"/>
      </w:tblPr>
      <w:tblGrid>
        <w:gridCol w:w="9029"/>
      </w:tblGrid>
      <w:tr w:rsidR="002878CA" w14:paraId="3BDFFE2A" w14:textId="77777777">
        <w:trPr>
          <w:jc w:val="center"/>
        </w:trPr>
        <w:tc>
          <w:tcPr>
            <w:tcW w:w="9029" w:type="dxa"/>
            <w:tcBorders>
              <w:right w:val="single" w:sz="24" w:space="0" w:color="0D5C3A"/>
            </w:tcBorders>
            <w:shd w:val="clear" w:color="auto" w:fill="F4F9F6"/>
            <w:tcMar>
              <w:top w:w="160" w:type="dxa"/>
              <w:left w:w="220" w:type="dxa"/>
              <w:bottom w:w="160" w:type="dxa"/>
              <w:right w:w="220" w:type="dxa"/>
            </w:tcMar>
          </w:tcPr>
          <w:p w14:paraId="79D001BF" w14:textId="77777777" w:rsidR="002878CA" w:rsidRDefault="00000000" w:rsidP="00965695">
            <w:pPr>
              <w:bidi/>
              <w:spacing w:before="40" w:after="60"/>
            </w:pPr>
            <w:commentRangeStart w:id="26"/>
            <w:r>
              <w:rPr>
                <w:rFonts w:ascii="Traditional Arabic" w:hAnsi="Traditional Arabic"/>
                <w:b/>
                <w:color w:val="0D5C3A"/>
                <w:sz w:val="28"/>
                <w:highlight w:val="yellow"/>
              </w:rPr>
              <w:t xml:space="preserve">الخلاصة الفقهية:</w:t>
            </w:r>
            <w:commentRangeEnd w:id="26"/>
            <w:r>
              <w:rPr>
                <w:rStyle w:val="CommentReference"/>
              </w:rPr>
              <w:commentReference w:id="26"/>
            </w:r>
            <w:r>
              <w:rPr>
                <w:rFonts w:ascii="Traditional Arabic" w:hAnsi="Traditional Arabic"/>
                <w:b/>
                <w:color w:val="0D5C3A"/>
                <w:sz w:val="28"/>
              </w:rPr>
              <w:t xml:space="preserve"> </w:t>
            </w:r>
            <w:r>
              <w:rPr>
                <w:rFonts w:ascii="Traditional Arabic" w:hAnsi="Traditional Arabic"/>
                <w:color w:val="282828"/>
                <w:sz w:val="27"/>
              </w:rPr>
              <w:t>يخلص البحث إلى أن إلزام المراكز الإسلامية بإبراز وثيقة الزواج المدني الرسمية قبل إجراء العقد الشرعي هو الموقف الأكمل والأحوط فقهياً؛ لقطع النزاع وصيانة حقوق الزوجة وأولادها من الضياع.</w:t>
            </w:r>
          </w:p>
        </w:tc>
      </w:tr>
    </w:tbl>
    <w:p w14:paraId="1B265BD0" w14:textId="77777777" w:rsidR="002878CA" w:rsidRDefault="002878CA" w:rsidP="00965695">
      <w:pPr>
        <w:bidi/>
        <w:spacing w:after="80"/>
      </w:pPr>
    </w:p>
    <w:p w14:paraId="299D0A23" w14:textId="77777777" w:rsidR="002878CA" w:rsidRDefault="00000000" w:rsidP="00965695">
      <w:pPr>
        <w:keepNext/>
        <w:bidi/>
        <w:spacing w:before="360" w:after="160"/>
      </w:pPr>
      <w:r>
        <w:rPr>
          <w:rFonts w:ascii="Traditional Arabic" w:hAnsi="Traditional Arabic"/>
          <w:b/>
          <w:color w:val="0D5C3A"/>
          <w:sz w:val="36"/>
        </w:rPr>
        <w:lastRenderedPageBreak/>
        <w:t>المبحث الثاني: الآثار القانونية لعدم التوثيق في القانون المدني والتجاري الأرجنتيني (Ley 26.994)</w:t>
      </w:r>
    </w:p>
    <w:p w14:paraId="089AB6D0" w14:textId="77777777" w:rsidR="002878CA" w:rsidRDefault="00000000" w:rsidP="00965695">
      <w:pPr>
        <w:keepNext/>
        <w:bidi/>
        <w:spacing w:before="280" w:after="120"/>
      </w:pPr>
      <w:r>
        <w:rPr>
          <w:rFonts w:ascii="Traditional Arabic" w:hAnsi="Traditional Arabic"/>
          <w:b/>
          <w:color w:val="143250"/>
          <w:sz w:val="32"/>
        </w:rPr>
        <w:t>المطلب الأول: احتكار الدولة للزواج المدني وتكييف العلاقة غير المسجلة</w:t>
      </w:r>
    </w:p>
    <w:p w14:paraId="3263F1BA" w14:textId="77777777" w:rsidR="002878CA" w:rsidRDefault="00000000" w:rsidP="00965695">
      <w:pPr>
        <w:bidi/>
        <w:spacing w:after="120"/>
      </w:pPr>
      <w:r>
        <w:rPr>
          <w:rFonts w:ascii="Traditional Arabic" w:hAnsi="Traditional Arabic"/>
          <w:color w:val="282828"/>
          <w:sz w:val="30"/>
        </w:rPr>
        <w:t xml:space="preserve">يقوم تنظيم الأسرة في الأرجنتين على مبدأ قديم ومستقر هو احتكار الدولة للزواج المدني، والمؤكد بالقانون المدني والتجاري الموحد (Ley 26.994 النافذ منذ أغسطس 2015). </w:t>
      </w:r>
      <w:commentRangeStart w:id="27"/>
      <w:r>
        <w:rPr>
          <w:rFonts w:ascii="Traditional Arabic" w:hAnsi="Traditional Arabic"/>
          <w:color w:val="282828"/>
          <w:sz w:val="30"/>
          <w:highlight w:val="yellow"/>
        </w:rPr>
        <w:t xml:space="preserve">ولا يوجد الزواج مدنياً إلا برضا الطرفين المعبَّر عنه بنفسيهما ومجتمعين أمام الموظف المختص (المادة 406)، ويُعقد علناً بحضور شاهدين، أو أربعة إذا عُقد خارج مكتب السجل (المادة 418)، ويثبت بمحضره المقيد في السجل (المادة 423)</w:t>
      </w:r>
      <w:commentRangeEnd w:id="27"/>
      <w:r>
        <w:rPr>
          <w:rStyle w:val="CommentReference"/>
        </w:rPr>
        <w:commentReference w:id="27"/>
      </w:r>
      <w:r>
        <w:rPr>
          <w:rFonts w:ascii="Traditional Arabic" w:hAnsi="Traditional Arabic"/>
          <w:color w:val="282828"/>
          <w:sz w:val="30"/>
        </w:rPr>
        <w:t xml:space="preserve">.</w:t>
      </w:r>
      <w:r>
        <w:rPr>
          <w:rFonts w:ascii="Traditional Arabic" w:hAnsi="Traditional Arabic"/>
          <w:color w:val="282828"/>
          <w:sz w:val="30"/>
        </w:rPr>
        <w:br/>
      </w:r>
      <w:r>
        <w:rPr>
          <w:rFonts w:ascii="Traditional Arabic" w:hAnsi="Traditional Arabic"/>
          <w:color w:val="282828"/>
          <w:sz w:val="30"/>
        </w:rPr>
        <w:br/>
        <w:t xml:space="preserve">أما إذا أُبرم الزواج بعقد ديني فقط داخل الأرجنتين، </w:t>
      </w:r>
      <w:commentRangeStart w:id="28"/>
      <w:r>
        <w:rPr>
          <w:rFonts w:ascii="Traditional Arabic" w:hAnsi="Traditional Arabic"/>
          <w:color w:val="282828"/>
          <w:sz w:val="30"/>
          <w:highlight w:val="yellow"/>
        </w:rPr>
        <w:t xml:space="preserve">فإن القانون لا يرتب على العقد الديني وحده أثراً مدنياً (المادة 406)، وإنما قد تنطبق على المعاشرة أحكام المساكنة (Unión convivencial) المقررة في المواد (509 إلى 528) إذا توافرت شروطها في المادة (510)، والعقد الديني ليس منها</w:t>
      </w:r>
      <w:commentRangeEnd w:id="28"/>
      <w:r>
        <w:rPr>
          <w:rStyle w:val="CommentReference"/>
        </w:rPr>
        <w:commentReference w:id="28"/>
      </w:r>
      <w:r>
        <w:rPr>
          <w:rFonts w:ascii="Traditional Arabic" w:hAnsi="Traditional Arabic"/>
          <w:color w:val="282828"/>
          <w:sz w:val="30"/>
        </w:rPr>
        <w:t xml:space="preserve">. (مع التنبيه على أن عقود الزواج المبرمة خارج الأرجنتين وفق قوانين بلدانها يعترف بها القانون الأرجنتيني استناداً لقواعد القانون الدولي الخاص في المادة </w:t>
      </w:r>
      <w:commentRangeStart w:id="29"/>
      <w:r>
        <w:rPr>
          <w:rFonts w:ascii="Traditional Arabic" w:hAnsi="Traditional Arabic"/>
          <w:color w:val="282828"/>
          <w:sz w:val="30"/>
          <w:highlight w:val="yellow"/>
        </w:rPr>
        <w:t xml:space="preserve">2622</w:t>
      </w:r>
      <w:commentRangeEnd w:id="29"/>
      <w:r>
        <w:rPr>
          <w:rStyle w:val="CommentReference"/>
        </w:rPr>
        <w:commentReference w:id="29"/>
      </w:r>
      <w:r>
        <w:rPr>
          <w:rFonts w:ascii="Traditional Arabic" w:hAnsi="Traditional Arabic"/>
          <w:color w:val="282828"/>
          <w:sz w:val="30"/>
        </w:rPr>
        <w:t xml:space="preserve">).</w:t>
      </w:r>
      <w:r>
        <w:rPr>
          <w:rFonts w:ascii="Traditional Arabic" w:hAnsi="Traditional Arabic"/>
          <w:color w:val="282828"/>
          <w:sz w:val="30"/>
        </w:rPr>
        <w:br/>
      </w:r>
      <w:r>
        <w:rPr>
          <w:rFonts w:ascii="Traditional Arabic" w:hAnsi="Traditional Arabic"/>
          <w:color w:val="282828"/>
          <w:sz w:val="30"/>
        </w:rPr>
        <w:br/>
        <w:t xml:space="preserve">وتشترط المادة (510، الفقرة e) </w:t>
      </w:r>
      <w:commentRangeStart w:id="30"/>
      <w:r>
        <w:rPr>
          <w:rFonts w:ascii="Traditional Arabic" w:hAnsi="Traditional Arabic"/>
          <w:color w:val="282828"/>
          <w:sz w:val="30"/>
          <w:highlight w:val="yellow"/>
        </w:rPr>
        <w:t xml:space="preserve">لترتيب الآثار المقررة للمساكنة</w:t>
      </w:r>
      <w:commentRangeEnd w:id="30"/>
      <w:r>
        <w:rPr>
          <w:rStyle w:val="CommentReference"/>
        </w:rPr>
        <w:commentReference w:id="30"/>
      </w:r>
      <w:r>
        <w:rPr>
          <w:rFonts w:ascii="Traditional Arabic" w:hAnsi="Traditional Arabic"/>
          <w:color w:val="282828"/>
          <w:sz w:val="30"/>
        </w:rPr>
        <w:t xml:space="preserve"> أن تستمر المساكنة المشتركة المستقرة لمدة لا تقل عن سنتين كاملتين. ويترتب على ذلك خطر واضح: فلو افترق الطرفان أو توفي الزوج قبل اكتمال السنتين، لم يعترف القانون للمرأة حتى بصفة </w:t>
      </w:r>
      <w:commentRangeStart w:id="31"/>
      <w:r>
        <w:rPr>
          <w:rFonts w:ascii="Traditional Arabic" w:hAnsi="Traditional Arabic"/>
          <w:color w:val="282828"/>
          <w:sz w:val="30"/>
          <w:highlight w:val="yellow"/>
        </w:rPr>
        <w:t xml:space="preserve">المتساكنة</w:t>
      </w:r>
      <w:commentRangeEnd w:id="31"/>
      <w:r>
        <w:rPr>
          <w:rStyle w:val="CommentReference"/>
        </w:rPr>
        <w:commentReference w:id="31"/>
      </w:r>
      <w:r>
        <w:rPr>
          <w:rFonts w:ascii="Traditional Arabic" w:hAnsi="Traditional Arabic"/>
          <w:color w:val="282828"/>
          <w:sz w:val="30"/>
        </w:rPr>
        <w:t xml:space="preserve">، وعُوملت كأجنبية لا تملك مطالبة بنفقة ولا حماية مسكن.</w:t>
      </w:r>
    </w:p>
    <w:p w14:paraId="3F3D2DD5" w14:textId="77777777" w:rsidR="002878CA" w:rsidRDefault="00000000" w:rsidP="00965695">
      <w:pPr>
        <w:keepNext/>
        <w:bidi/>
        <w:spacing w:before="280" w:after="120"/>
      </w:pPr>
      <w:r>
        <w:rPr>
          <w:rFonts w:ascii="Traditional Arabic" w:hAnsi="Traditional Arabic"/>
          <w:b/>
          <w:color w:val="143250"/>
          <w:sz w:val="32"/>
        </w:rPr>
        <w:t>المطلب الثاني: الآثار المالية والميراث</w:t>
      </w:r>
    </w:p>
    <w:p w14:paraId="2914263D" w14:textId="77777777" w:rsidR="002878CA" w:rsidRDefault="00000000" w:rsidP="00965695">
      <w:pPr>
        <w:bidi/>
        <w:spacing w:after="120"/>
      </w:pPr>
      <w:r>
        <w:rPr>
          <w:rFonts w:ascii="Traditional Arabic" w:hAnsi="Traditional Arabic"/>
          <w:color w:val="282828"/>
          <w:sz w:val="30"/>
        </w:rPr>
        <w:t>تظهر الفجوة الكبيرة بين حقوق الزوجة في الشريعة ووضعها في الزواج غير الموثق مدنياً في جوانب مالية محددة:</w:t>
      </w:r>
      <w:r>
        <w:rPr>
          <w:rFonts w:ascii="Traditional Arabic" w:hAnsi="Traditional Arabic"/>
          <w:color w:val="282828"/>
          <w:sz w:val="30"/>
        </w:rPr>
        <w:br/>
      </w:r>
      <w:r>
        <w:rPr>
          <w:rFonts w:ascii="Traditional Arabic" w:hAnsi="Traditional Arabic"/>
          <w:color w:val="282828"/>
          <w:sz w:val="30"/>
        </w:rPr>
        <w:br/>
        <w:t>1. الميراث:</w:t>
      </w:r>
      <w:r>
        <w:rPr>
          <w:rFonts w:ascii="Traditional Arabic" w:hAnsi="Traditional Arabic"/>
          <w:color w:val="282828"/>
          <w:sz w:val="30"/>
        </w:rPr>
        <w:br/>
      </w:r>
      <w:commentRangeStart w:id="32"/>
      <w:r>
        <w:rPr>
          <w:rFonts w:ascii="Traditional Arabic" w:hAnsi="Traditional Arabic"/>
          <w:color w:val="282828"/>
          <w:sz w:val="30"/>
          <w:highlight w:val="yellow"/>
        </w:rPr>
        <w:t xml:space="preserve">يجعل القانون الأرجنتيني في المادة (2444) أصحاب النصيب المحفوظ (legítima): الفروع وإن نزلوا، والأصول وإن علوا، والزوج المسجل مدنياً</w:t>
      </w:r>
      <w:commentRangeEnd w:id="32"/>
      <w:r>
        <w:rPr>
          <w:rStyle w:val="CommentReference"/>
        </w:rPr>
        <w:commentReference w:id="32"/>
      </w:r>
      <w:r>
        <w:rPr>
          <w:rFonts w:ascii="Traditional Arabic" w:hAnsi="Traditional Arabic"/>
          <w:color w:val="282828"/>
          <w:sz w:val="30"/>
        </w:rPr>
        <w:t xml:space="preserve">. أما </w:t>
      </w:r>
      <w:commentRangeStart w:id="33"/>
      <w:r>
        <w:rPr>
          <w:rFonts w:ascii="Traditional Arabic" w:hAnsi="Traditional Arabic"/>
          <w:color w:val="282828"/>
          <w:sz w:val="30"/>
          <w:highlight w:val="yellow"/>
        </w:rPr>
        <w:t xml:space="preserve">المتساكن</w:t>
      </w:r>
      <w:commentRangeEnd w:id="33"/>
      <w:r>
        <w:rPr>
          <w:rStyle w:val="CommentReference"/>
        </w:rPr>
        <w:commentReference w:id="33"/>
      </w:r>
      <w:r>
        <w:rPr>
          <w:rFonts w:ascii="Traditional Arabic" w:hAnsi="Traditional Arabic"/>
          <w:color w:val="282828"/>
          <w:sz w:val="30"/>
        </w:rPr>
        <w:t xml:space="preserve"> في الزواج غير الموثق، فلا يرث شيئاً بحكم القانون إذا مات شريكه دون وصية. فلو توفي الزوج بعد سنوات طويلة من الزواج الشرعي، آلت التركة كلها إلى أقاربه الآخرين وحُرمت الزوجة من نصيبها المفروض شرعاً (الثمن أو الربع)، ما لم يكن قد خصها بوصية رسمية.</w:t>
      </w:r>
      <w:r>
        <w:rPr>
          <w:rFonts w:ascii="Traditional Arabic" w:hAnsi="Traditional Arabic"/>
          <w:color w:val="282828"/>
          <w:sz w:val="30"/>
        </w:rPr>
        <w:br/>
      </w:r>
      <w:r>
        <w:rPr>
          <w:rFonts w:ascii="Traditional Arabic" w:hAnsi="Traditional Arabic"/>
          <w:color w:val="282828"/>
          <w:sz w:val="30"/>
        </w:rPr>
        <w:br/>
      </w:r>
      <w:commentRangeStart w:id="14"/>
      <w:r>
        <w:rPr>
          <w:rFonts w:ascii="Traditional Arabic" w:hAnsi="Traditional Arabic"/>
          <w:color w:val="282828"/>
          <w:sz w:val="30"/>
        </w:rPr>
        <w:lastRenderedPageBreak/>
        <w:t>2. النفقة والتعويض المالي عند الانفصال:</w:t>
      </w:r>
      <w:commentRangeEnd w:id="14"/>
      <w:r>
        <w:rPr>
          <w:rStyle w:val="CommentReference"/>
        </w:rPr>
        <w:commentReference w:id="14"/>
      </w:r>
      <w:r>
        <w:rPr>
          <w:rFonts w:ascii="Traditional Arabic" w:hAnsi="Traditional Arabic"/>
          <w:color w:val="282828"/>
          <w:sz w:val="30"/>
        </w:rPr>
        <w:br/>
        <w:t xml:space="preserve">لا يفرض القانون الأرجنتيني نفقة زوجية مستمرة </w:t>
      </w:r>
      <w:commentRangeStart w:id="34"/>
      <w:r>
        <w:rPr>
          <w:rFonts w:ascii="Traditional Arabic" w:hAnsi="Traditional Arabic"/>
          <w:color w:val="282828"/>
          <w:sz w:val="30"/>
          <w:highlight w:val="yellow"/>
        </w:rPr>
        <w:t xml:space="preserve">بعد انتهاء المساكنة</w:t>
      </w:r>
      <w:commentRangeEnd w:id="34"/>
      <w:r>
        <w:rPr>
          <w:rStyle w:val="CommentReference"/>
        </w:rPr>
        <w:commentReference w:id="34"/>
      </w:r>
      <w:r>
        <w:rPr>
          <w:rFonts w:ascii="Traditional Arabic" w:hAnsi="Traditional Arabic"/>
          <w:color w:val="282828"/>
          <w:sz w:val="30"/>
        </w:rPr>
        <w:t xml:space="preserve">، وإنما يتيح في المادة (524) </w:t>
      </w:r>
      <w:commentRangeStart w:id="35"/>
      <w:r>
        <w:rPr>
          <w:rFonts w:ascii="Traditional Arabic" w:hAnsi="Traditional Arabic"/>
          <w:color w:val="282828"/>
          <w:sz w:val="30"/>
          <w:highlight w:val="yellow"/>
        </w:rPr>
        <w:t xml:space="preserve">طلب مقابل اقتصادي (Compensación económica) يكون أداءً واحداً أو إيراداً لمدة محددة لا تزيد على مدة المساكنة</w:t>
      </w:r>
      <w:commentRangeEnd w:id="35"/>
      <w:r>
        <w:rPr>
          <w:rStyle w:val="CommentReference"/>
        </w:rPr>
        <w:commentReference w:id="35"/>
      </w:r>
      <w:r>
        <w:rPr>
          <w:rFonts w:ascii="Traditional Arabic" w:hAnsi="Traditional Arabic"/>
          <w:color w:val="282828"/>
          <w:sz w:val="30"/>
        </w:rPr>
        <w:t xml:space="preserve"> إذا لحق بالشريك اختلال مادي بين أثر سلباً على مستواه المعيشي. غير أن المادة (525) تقرر أن هذه الدعوى:</w:t>
      </w:r>
      <w:r>
        <w:rPr>
          <w:rFonts w:ascii="Traditional Arabic" w:hAnsi="Traditional Arabic"/>
          <w:color w:val="282828"/>
          <w:sz w:val="30"/>
        </w:rPr>
        <w:br/>
        <w:t xml:space="preserve">«تسقط بمضي ستة أشهر </w:t>
      </w:r>
      <w:commentRangeStart w:id="36"/>
      <w:r>
        <w:rPr>
          <w:rFonts w:ascii="Traditional Arabic" w:hAnsi="Traditional Arabic"/>
          <w:color w:val="282828"/>
          <w:sz w:val="30"/>
          <w:highlight w:val="yellow"/>
        </w:rPr>
        <w:t xml:space="preserve">من وقوع أي سبب من أسباب انتهاء المساكنة المعددة في المادة 523»</w:t>
      </w:r>
      <w:commentRangeEnd w:id="36"/>
      <w:r>
        <w:rPr>
          <w:rStyle w:val="CommentReference"/>
        </w:rPr>
        <w:commentReference w:id="36"/>
      </w:r>
      <w:r>
        <w:rPr>
          <w:rFonts w:ascii="Traditional Arabic" w:hAnsi="Traditional Arabic"/>
          <w:color w:val="282828"/>
          <w:sz w:val="30"/>
        </w:rPr>
        <w:t xml:space="preserve"> (caduca a los seis meses de haberse producido cualquiera de las causas de finalización...).</w:t>
      </w:r>
      <w:r>
        <w:rPr>
          <w:rFonts w:ascii="Traditional Arabic" w:hAnsi="Traditional Arabic"/>
          <w:color w:val="282828"/>
          <w:sz w:val="30"/>
        </w:rPr>
        <w:br/>
      </w:r>
      <w:commentRangeStart w:id="37"/>
      <w:r>
        <w:rPr>
          <w:rFonts w:ascii="Traditional Arabic" w:hAnsi="Traditional Arabic"/>
          <w:color w:val="282828"/>
          <w:sz w:val="30"/>
          <w:highlight w:val="yellow"/>
        </w:rPr>
        <w:t xml:space="preserve">والمدة نفسها مقررة في الطلاق المدني، لكنها تبدأ فيه من صدور حكم الطلاق (المادة 442)، أما في المساكنة فتبدأ من وقوع سبب الانتهاء (المادة 525). ثم إن</w:t>
      </w:r>
      <w:commentRangeEnd w:id="37"/>
      <w:r>
        <w:rPr>
          <w:rStyle w:val="CommentReference"/>
        </w:rPr>
        <w:commentReference w:id="37"/>
      </w:r>
      <w:r>
        <w:rPr>
          <w:rFonts w:ascii="Traditional Arabic" w:hAnsi="Traditional Arabic"/>
          <w:color w:val="282828"/>
          <w:sz w:val="30"/>
        </w:rPr>
        <w:t xml:space="preserve"> الزوجة المدنية تتمتع بحماية نظام الأموال المشتركة المكتسبة أثناء الزواج، بينما تُحرم </w:t>
      </w:r>
      <w:r>
        <w:rPr>
          <w:rFonts w:ascii="Traditional Arabic" w:hAnsi="Traditional Arabic"/>
          <w:color w:val="282828"/>
          <w:sz w:val="30"/>
          <w:highlight w:val="yellow"/>
        </w:rPr>
        <w:t xml:space="preserve">المتساكنة</w:t>
      </w:r>
      <w:r>
        <w:rPr>
          <w:rFonts w:ascii="Traditional Arabic" w:hAnsi="Traditional Arabic"/>
          <w:color w:val="282828"/>
          <w:sz w:val="30"/>
        </w:rPr>
        <w:t xml:space="preserve"> من الذمة المشتركة، </w:t>
      </w:r>
      <w:commentRangeStart w:id="15"/>
      <w:r>
        <w:rPr>
          <w:rFonts w:ascii="Traditional Arabic" w:hAnsi="Traditional Arabic"/>
          <w:color w:val="282828"/>
          <w:sz w:val="30"/>
          <w:highlight w:val="yellow"/>
        </w:rPr>
        <w:t xml:space="preserve">ولا يبقى لها إلا هذا المقابل</w:t>
      </w:r>
      <w:commentRangeEnd w:id="15"/>
      <w:r>
        <w:rPr>
          <w:rStyle w:val="CommentReference"/>
        </w:rPr>
        <w:commentReference w:id="15"/>
      </w:r>
      <w:r>
        <w:rPr>
          <w:rFonts w:ascii="Traditional Arabic" w:hAnsi="Traditional Arabic"/>
          <w:color w:val="282828"/>
          <w:sz w:val="30"/>
        </w:rPr>
        <w:t xml:space="preserve"> الذي كثيراً ما يسقط بانقضاء الأشهر الستة أثناء انشغال المرأة بظروف الفراق ومساعي الإصلاح الودي.</w:t>
      </w:r>
      <w:r>
        <w:rPr>
          <w:rFonts w:ascii="Traditional Arabic" w:hAnsi="Traditional Arabic"/>
          <w:color w:val="282828"/>
          <w:sz w:val="30"/>
        </w:rPr>
        <w:br/>
      </w:r>
      <w:r>
        <w:rPr>
          <w:rFonts w:ascii="Traditional Arabic" w:hAnsi="Traditional Arabic"/>
          <w:color w:val="282828"/>
          <w:sz w:val="30"/>
        </w:rPr>
        <w:br/>
        <w:t>3. مصير مسكن الأسرة:</w:t>
      </w:r>
      <w:r>
        <w:rPr>
          <w:rFonts w:ascii="Traditional Arabic" w:hAnsi="Traditional Arabic"/>
          <w:color w:val="282828"/>
          <w:sz w:val="30"/>
        </w:rPr>
        <w:br/>
        <w:t xml:space="preserve">تتيح المادة (526) للقاضي عند الانفصال </w:t>
      </w:r>
      <w:commentRangeStart w:id="38"/>
      <w:r>
        <w:rPr>
          <w:rFonts w:ascii="Traditional Arabic" w:hAnsi="Traditional Arabic"/>
          <w:color w:val="282828"/>
          <w:sz w:val="30"/>
          <w:highlight w:val="yellow"/>
        </w:rPr>
        <w:t xml:space="preserve">منح أحد المتساكنين حق البقاء في مسكن الأسرة في حالتين: إذا كان يرعى أولاداً قاصرين أو ذوي إعاقة، أو إذا أثبت حاجته الشديدة إلى السكن وعجزه عن تحصيله فوراً؛ ويحدد القاضي المدة بما لا يزيد على سنتين من انتهاء المساكنة</w:t>
      </w:r>
      <w:commentRangeEnd w:id="38"/>
      <w:r>
        <w:rPr>
          <w:rStyle w:val="CommentReference"/>
        </w:rPr>
        <w:commentReference w:id="38"/>
      </w:r>
      <w:r>
        <w:rPr>
          <w:rFonts w:ascii="Traditional Arabic" w:hAnsi="Traditional Arabic"/>
          <w:color w:val="282828"/>
          <w:sz w:val="30"/>
        </w:rPr>
        <w:t xml:space="preserve">. وفي حال وفاة الشريك، تتيح المادة (527) حق سكنى مجانياً لا يتجاوز سنتين لمن لا يملك مسكناً مناسباً، ثم يعود المسكن للورثة؛ بخلاف الزوجة المدنية التي يمنحها القانون في المادة (2383) </w:t>
      </w:r>
      <w:commentRangeStart w:id="39"/>
      <w:r>
        <w:rPr>
          <w:rFonts w:ascii="Traditional Arabic" w:hAnsi="Traditional Arabic"/>
          <w:color w:val="282828"/>
          <w:sz w:val="30"/>
          <w:highlight w:val="yellow"/>
        </w:rPr>
        <w:t xml:space="preserve">حق سكنى عينياً مجانياً مدى الحياة بقوة القانون على العقار المملوك للمتوفى الذي كان آخر مسكن للزوجية، إذا لم يكن مشتركاً مع غيره عند افتتاح التركة</w:t>
      </w:r>
      <w:commentRangeEnd w:id="39"/>
      <w:r>
        <w:rPr>
          <w:rStyle w:val="CommentReference"/>
        </w:rPr>
        <w:commentReference w:id="39"/>
      </w:r>
      <w:r>
        <w:rPr>
          <w:rFonts w:ascii="Traditional Arabic" w:hAnsi="Traditional Arabic"/>
          <w:color w:val="282828"/>
          <w:sz w:val="30"/>
        </w:rPr>
        <w:t xml:space="preserve">.</w:t>
      </w:r>
    </w:p>
    <w:p w14:paraId="050BAE2F" w14:textId="77777777" w:rsidR="002878CA" w:rsidRDefault="00000000" w:rsidP="00965695">
      <w:pPr>
        <w:keepNext/>
        <w:bidi/>
        <w:spacing w:before="280" w:after="120"/>
      </w:pPr>
      <w:r>
        <w:rPr>
          <w:rFonts w:ascii="Traditional Arabic" w:hAnsi="Traditional Arabic"/>
          <w:b/>
          <w:color w:val="143250"/>
          <w:sz w:val="32"/>
        </w:rPr>
        <w:t>المطلب الثالث: معاش الوفاة والتقاعد (Ley 24.241)</w:t>
      </w:r>
    </w:p>
    <w:p w14:paraId="2C25E125" w14:textId="77777777" w:rsidR="002878CA" w:rsidRDefault="00000000" w:rsidP="00965695">
      <w:pPr>
        <w:bidi/>
        <w:spacing w:after="120"/>
      </w:pPr>
      <w:r>
        <w:rPr>
          <w:rFonts w:ascii="Traditional Arabic" w:hAnsi="Traditional Arabic"/>
          <w:color w:val="282828"/>
          <w:sz w:val="30"/>
        </w:rPr>
        <w:t xml:space="preserve">أما بخصوص معاش التقاعد والوفاة (</w:t>
      </w:r>
      <w:commentRangeStart w:id="40"/>
      <w:r>
        <w:rPr>
          <w:rFonts w:ascii="Traditional Arabic" w:hAnsi="Traditional Arabic"/>
          <w:color w:val="282828"/>
          <w:sz w:val="30"/>
          <w:highlight w:val="yellow"/>
        </w:rPr>
        <w:t xml:space="preserve">Pensión por fallecimiento</w:t>
      </w:r>
      <w:commentRangeEnd w:id="40"/>
      <w:r>
        <w:rPr>
          <w:rStyle w:val="CommentReference"/>
        </w:rPr>
        <w:commentReference w:id="40"/>
      </w:r>
      <w:r>
        <w:rPr>
          <w:rFonts w:ascii="Traditional Arabic" w:hAnsi="Traditional Arabic"/>
          <w:color w:val="282828"/>
          <w:sz w:val="30"/>
        </w:rPr>
        <w:t xml:space="preserve">) الذي تمنحه الدولة عبر هيئة الضمان الاجتماعي (ANSES)، فإن القانون رقم (Ley 24.241، المادة 53) لا يحرم </w:t>
      </w:r>
      <w:r>
        <w:rPr>
          <w:rFonts w:ascii="Traditional Arabic" w:hAnsi="Traditional Arabic"/>
          <w:color w:val="282828"/>
          <w:sz w:val="30"/>
          <w:highlight w:val="yellow"/>
        </w:rPr>
        <w:t xml:space="preserve">المتساكن</w:t>
      </w:r>
      <w:r>
        <w:rPr>
          <w:rFonts w:ascii="Traditional Arabic" w:hAnsi="Traditional Arabic"/>
          <w:color w:val="282828"/>
          <w:sz w:val="30"/>
        </w:rPr>
        <w:t xml:space="preserve"> مطلقاً، لكنه يعلق استحقاقه على شروط إثبات مشددة: وهي إثبات مساكنة علنية مستمرة لمدة خمس سنوات على الأقل قبل الوفاة، </w:t>
      </w:r>
      <w:commentRangeStart w:id="41"/>
      <w:r>
        <w:rPr>
          <w:rFonts w:ascii="Traditional Arabic" w:hAnsi="Traditional Arabic"/>
          <w:color w:val="282828"/>
          <w:sz w:val="30"/>
          <w:highlight w:val="yellow"/>
        </w:rPr>
        <w:t xml:space="preserve">أو سنتين إذا وُجد ولد اعترف به الطرفان</w:t>
      </w:r>
      <w:commentRangeEnd w:id="41"/>
      <w:r>
        <w:rPr>
          <w:rStyle w:val="CommentReference"/>
        </w:rPr>
        <w:commentReference w:id="41"/>
      </w:r>
      <w:r>
        <w:rPr>
          <w:rFonts w:ascii="Traditional Arabic" w:hAnsi="Traditional Arabic"/>
          <w:color w:val="282828"/>
          <w:sz w:val="30"/>
        </w:rPr>
        <w:t xml:space="preserve">. وفي ظل غياب وثيقة زواج رسمية، تواجه الأرملة المسلمة إجراءات إثبات شاقة وتنازعاً مع ورثة آخرين، مما يعرض حقها ومعاش أطفالها للتأخير أو الضياع.</w:t>
      </w:r>
    </w:p>
    <w:p w14:paraId="443B1864" w14:textId="77777777" w:rsidR="002878CA" w:rsidRDefault="00000000" w:rsidP="00965695">
      <w:pPr>
        <w:keepNext/>
        <w:bidi/>
        <w:spacing w:before="280" w:after="120"/>
      </w:pPr>
      <w:r>
        <w:rPr>
          <w:rFonts w:ascii="Traditional Arabic" w:hAnsi="Traditional Arabic"/>
          <w:b/>
          <w:color w:val="143250"/>
          <w:sz w:val="32"/>
        </w:rPr>
        <w:t>المطلب الرابع: مركز الأولاد وثبوت النسب</w:t>
      </w:r>
    </w:p>
    <w:p w14:paraId="2A2386E7" w14:textId="77777777" w:rsidR="002878CA" w:rsidRDefault="00000000" w:rsidP="00965695">
      <w:pPr>
        <w:bidi/>
        <w:spacing w:after="120"/>
      </w:pPr>
      <w:r>
        <w:rPr>
          <w:rFonts w:ascii="Traditional Arabic" w:hAnsi="Traditional Arabic"/>
          <w:color w:val="282828"/>
          <w:sz w:val="30"/>
        </w:rPr>
        <w:t>فيما يتعلق بالأطفال، ينبغي التمييز بين الجنسية وثبوت النسب:</w:t>
      </w:r>
      <w:commentRangeStart w:id="42"/>
      <w:r>
        <w:rPr>
          <w:rFonts w:ascii="Traditional Arabic" w:hAnsi="Traditional Arabic"/>
          <w:color w:val="282828"/>
          <w:sz w:val="30"/>
        </w:rPr>
        <w:br/>
        <w:t>• من جهة الجنسية: يحصل الطفل المولود على الأرض الأرجنتينية على الجنسية الأرجنتينية بقوة الدستور استناداً لحق الإقليم (Jus soli)، بصرف النظر عن الحالة المدنية لوالديه، ولا تتأثر جنسيته بعدم توثيق الزواج.</w:t>
      </w:r>
      <w:commentRangeEnd w:id="42"/>
      <w:r>
        <w:rPr>
          <w:rStyle w:val="CommentReference"/>
        </w:rPr>
        <w:commentReference w:id="42"/>
      </w:r>
      <w:r>
        <w:rPr>
          <w:rFonts w:ascii="Traditional Arabic" w:hAnsi="Traditional Arabic"/>
          <w:color w:val="282828"/>
          <w:sz w:val="30"/>
        </w:rPr>
        <w:br/>
        <w:t xml:space="preserve">• أما من جهة ثبوت النسب للأب: ففي الزواج المدني الرسمي تنطبق قرينة الأبوة التلقائية في المادة (566)، فيُنسب الولد </w:t>
      </w:r>
      <w:r>
        <w:rPr>
          <w:rFonts w:ascii="Traditional Arabic" w:hAnsi="Traditional Arabic"/>
          <w:color w:val="282828"/>
          <w:sz w:val="30"/>
        </w:rPr>
        <w:t xml:space="preserve">للزوج مباشرة. أما في الزواج غير المسجل، فيثبت نسب الطفل لأمه بالولادة (المادة 565)، في حين يستلزم ثبوت نسبه للأب </w:t>
      </w:r>
      <w:commentRangeStart w:id="43"/>
      <w:r>
        <w:rPr>
          <w:rFonts w:ascii="Traditional Arabic" w:hAnsi="Traditional Arabic"/>
          <w:color w:val="282828"/>
          <w:sz w:val="30"/>
          <w:highlight w:val="yellow"/>
        </w:rPr>
        <w:t xml:space="preserve">اعترافاً منه (المادتان 570 و571)، يكون أمام موظف السجل المدني، أو في محرر رسمي أو عرفي مصدَّق، أو في وصية ولو جاء الاعتراف فيها عرضاً</w:t>
      </w:r>
      <w:commentRangeEnd w:id="43"/>
      <w:r>
        <w:rPr>
          <w:rStyle w:val="CommentReference"/>
        </w:rPr>
        <w:commentReference w:id="43"/>
      </w:r>
      <w:r>
        <w:rPr>
          <w:rFonts w:ascii="Traditional Arabic" w:hAnsi="Traditional Arabic"/>
          <w:color w:val="282828"/>
          <w:sz w:val="30"/>
        </w:rPr>
        <w:t xml:space="preserve">، أو رفع دعوى إثبات بنوة وفحص الحمض النووي (DNA) </w:t>
      </w:r>
      <w:commentRangeStart w:id="44"/>
      <w:r>
        <w:rPr>
          <w:rFonts w:ascii="Traditional Arabic" w:hAnsi="Traditional Arabic"/>
          <w:color w:val="282828"/>
          <w:sz w:val="30"/>
          <w:highlight w:val="yellow"/>
        </w:rPr>
        <w:t xml:space="preserve">بموجب المادة (579)، وهي تجيز عند تعذر الفحص إجراءه على مادة الأقارب إلى الدرجة الثانية، وتعدّ الامتناع عنه قرينة خطيرة (indicio grave)</w:t>
      </w:r>
      <w:commentRangeEnd w:id="44"/>
      <w:r>
        <w:rPr>
          <w:rStyle w:val="CommentReference"/>
        </w:rPr>
        <w:commentReference w:id="44"/>
      </w:r>
      <w:r>
        <w:rPr>
          <w:rFonts w:ascii="Traditional Arabic" w:hAnsi="Traditional Arabic"/>
          <w:color w:val="282828"/>
          <w:sz w:val="30"/>
        </w:rPr>
        <w:t xml:space="preserve">. فلو توفي الأب فجأة قبل قيد الطفل رسمياً أو امتنع عن الاعتراف، واجهت الأم إجراءات قضائية صعبة لإثبات النسب وضمان حق أولادها في حمل اسم والدهم وحيازة نصيبهم من تركته.</w:t>
      </w:r>
    </w:p>
    <w:p w14:paraId="2FFB05D7" w14:textId="77777777" w:rsidR="002878CA" w:rsidRDefault="00000000" w:rsidP="00965695">
      <w:pPr>
        <w:keepNext/>
        <w:bidi/>
        <w:spacing w:before="360" w:after="160"/>
      </w:pPr>
      <w:r>
        <w:rPr>
          <w:rFonts w:ascii="Traditional Arabic" w:hAnsi="Traditional Arabic"/>
          <w:b/>
          <w:color w:val="0D5C3A"/>
          <w:sz w:val="36"/>
        </w:rPr>
        <w:t>المبحث الثالث: الموازنة بالنظم الغربية والمدونة القضائية المقارنة</w:t>
      </w:r>
    </w:p>
    <w:p w14:paraId="4C1BCC3E" w14:textId="77777777" w:rsidR="002878CA" w:rsidRDefault="00000000" w:rsidP="00965695">
      <w:pPr>
        <w:keepNext/>
        <w:bidi/>
        <w:spacing w:before="280" w:after="120"/>
      </w:pPr>
      <w:r>
        <w:rPr>
          <w:rFonts w:ascii="Traditional Arabic" w:hAnsi="Traditional Arabic"/>
          <w:b/>
          <w:color w:val="143250"/>
          <w:sz w:val="32"/>
        </w:rPr>
        <w:t>المطلب الأول: النظم الغربية في التعامل مع الزواج الديني غير المسجل</w:t>
      </w:r>
    </w:p>
    <w:p w14:paraId="617736C5" w14:textId="77777777" w:rsidR="002878CA" w:rsidRDefault="00000000" w:rsidP="00965695">
      <w:pPr>
        <w:bidi/>
        <w:spacing w:after="120"/>
      </w:pPr>
      <w:r>
        <w:rPr>
          <w:rFonts w:ascii="Traditional Arabic" w:hAnsi="Traditional Arabic"/>
          <w:color w:val="282828"/>
          <w:sz w:val="30"/>
        </w:rPr>
        <w:t>تختلف القوانين الغربية في تعاملها مع الزواج الديني إلى نماذج متعددة:</w:t>
      </w:r>
      <w:r>
        <w:rPr>
          <w:rFonts w:ascii="Traditional Arabic" w:hAnsi="Traditional Arabic"/>
          <w:color w:val="282828"/>
          <w:sz w:val="30"/>
        </w:rPr>
        <w:br/>
      </w:r>
      <w:r>
        <w:rPr>
          <w:rFonts w:ascii="Traditional Arabic" w:hAnsi="Traditional Arabic"/>
          <w:color w:val="282828"/>
          <w:sz w:val="30"/>
        </w:rPr>
        <w:br/>
        <w:t xml:space="preserve">1. النموذج المدني الصارم: كما في فرنسا؛ حيث تشترط المادة (433-21) من قانون العقوبات الفرنسي إتمام الزواج المدني أولاً، وتعاقب رجل الدين الذي يقيم مراسم دينية قبل الزواج المدني متى قام بذلك «على وجه الاعتياد» </w:t>
      </w:r>
      <w:commentRangeStart w:id="45"/>
      <w:r>
        <w:rPr>
          <w:rFonts w:ascii="Traditional Arabic" w:hAnsi="Traditional Arabic"/>
          <w:color w:val="282828"/>
          <w:sz w:val="30"/>
          <w:highlight w:val="yellow"/>
        </w:rPr>
        <w:t xml:space="preserve">(de manière habituelle)، بالحبس سنة وبغرامة سبعة آلاف وخمسمائة يورو</w:t>
      </w:r>
      <w:commentRangeEnd w:id="45"/>
      <w:r>
        <w:rPr>
          <w:rStyle w:val="CommentReference"/>
        </w:rPr>
        <w:commentReference w:id="45"/>
      </w:r>
      <w:r>
        <w:rPr>
          <w:rFonts w:ascii="Traditional Arabic" w:hAnsi="Traditional Arabic"/>
          <w:color w:val="282828"/>
          <w:sz w:val="30"/>
        </w:rPr>
        <w:t xml:space="preserve">. </w:t>
      </w:r>
      <w:commentRangeStart w:id="46"/>
      <w:r>
        <w:rPr>
          <w:rFonts w:ascii="Traditional Arabic" w:hAnsi="Traditional Arabic"/>
          <w:color w:val="282828"/>
          <w:sz w:val="30"/>
          <w:highlight w:val="yellow"/>
        </w:rPr>
        <w:t xml:space="preserve">وكذلك القانون البلجيكي، وأصله المادة (21) فقرة 2 من الدستور، وكانت الجريمة في المادة (267) من قانون العقوبات القديم، ثم نقلها قانون العقوبات الجديد (قانون 29 فبراير 2024، النافذ منذ 8 أبريل 2026) إلى المادة (642) ووسّعها إلى الزواج غير الطائفي</w:t>
      </w:r>
      <w:commentRangeEnd w:id="46"/>
      <w:r>
        <w:rPr>
          <w:rStyle w:val="CommentReference"/>
        </w:rPr>
        <w:commentReference w:id="46"/>
      </w:r>
      <w:r>
        <w:rPr>
          <w:rFonts w:ascii="Traditional Arabic" w:hAnsi="Traditional Arabic"/>
          <w:color w:val="282828"/>
          <w:sz w:val="30"/>
        </w:rPr>
        <w:t xml:space="preserve">. </w:t>
      </w:r>
      <w:commentRangeStart w:id="47"/>
      <w:r>
        <w:rPr>
          <w:rFonts w:ascii="Traditional Arabic" w:hAnsi="Traditional Arabic"/>
          <w:color w:val="282828"/>
          <w:sz w:val="30"/>
          <w:highlight w:val="yellow"/>
        </w:rPr>
        <w:t xml:space="preserve">أما القانون الأرجنتيني فلا يرتب على العقد الديني أثراً مدنياً، ولم يقف البحث في النص الأصلي لقانون العقوبات (Ley 11.179) على عقوبة لمن يجريه</w:t>
      </w:r>
      <w:commentRangeEnd w:id="47"/>
      <w:r>
        <w:rPr>
          <w:rStyle w:val="CommentReference"/>
        </w:rPr>
        <w:commentReference w:id="47"/>
      </w:r>
      <w:r>
        <w:rPr>
          <w:rFonts w:ascii="Traditional Arabic" w:hAnsi="Traditional Arabic"/>
          <w:color w:val="282828"/>
          <w:sz w:val="30"/>
        </w:rPr>
        <w:t xml:space="preserve">.</w:t>
      </w:r>
      <w:r>
        <w:rPr>
          <w:rFonts w:ascii="Traditional Arabic" w:hAnsi="Traditional Arabic"/>
          <w:color w:val="282828"/>
          <w:sz w:val="30"/>
        </w:rPr>
        <w:br/>
      </w:r>
      <w:commentRangeStart w:id="48"/>
      <w:r>
        <w:rPr>
          <w:rFonts w:ascii="Traditional Arabic" w:hAnsi="Traditional Arabic"/>
          <w:color w:val="282828"/>
          <w:sz w:val="30"/>
        </w:rPr>
        <w:br/>
        <w:t>2. النموذج التعاقدي المزدوج: وأبرز أمثلته إسبانيا، بموجب اتفاقية التعاون التاريخية مع المفوضية الإسلامية لعام 1992 (Ley 26/1992)؛ حيث يعترف القانون الإسباني بالأثر المدني للعقد الشرعي المبرم لدى إمام معتمد، شريطة استخراج ملف أهلية زواج مسبق (expediente matrimonial) من السجل المدني ثم قيد العقد فيه. وهذا النموذج التعاوني غير مطبق في الأرجنتين لعدم إبرام اتفاقات مماثلة مع المراكز الإسلامية.</w:t>
      </w:r>
      <w:commentRangeEnd w:id="48"/>
      <w:r>
        <w:rPr>
          <w:rStyle w:val="CommentReference"/>
        </w:rPr>
        <w:commentReference w:id="48"/>
      </w:r>
      <w:r>
        <w:rPr>
          <w:rFonts w:ascii="Traditional Arabic" w:hAnsi="Traditional Arabic"/>
          <w:color w:val="282828"/>
          <w:sz w:val="30"/>
        </w:rPr>
        <w:br/>
      </w:r>
      <w:r>
        <w:rPr>
          <w:rFonts w:ascii="Traditional Arabic" w:hAnsi="Traditional Arabic"/>
          <w:color w:val="282828"/>
          <w:sz w:val="30"/>
        </w:rPr>
        <w:br/>
        <w:t>3. النموذج الأنجلوسكسوني: كما في بريطانيا؛ حيث يخضع الزواج لقانون (Marriage Act 1949). ولا يعترف القانون الإنجليزي بعقد النكاح الإسلامي المجرد، ويصنفه كحفل غير مؤهل قانوناً (Non-qualifying ceremony)، مما يحرم المطلقة من التسويات المالية المتاحة للزوجات المدنيات، وإن كان يتيح لها حقوقاً متعلقة بنفقة الأطفال بموجب قانون الطفل (Children Act 1989) وبعض دعاوى الملكية المشتركة.</w:t>
      </w:r>
    </w:p>
    <w:p w14:paraId="357D1203" w14:textId="77777777" w:rsidR="002878CA" w:rsidRDefault="00000000" w:rsidP="00965695">
      <w:pPr>
        <w:keepNext/>
        <w:bidi/>
        <w:spacing w:before="280" w:after="120"/>
      </w:pPr>
      <w:r>
        <w:rPr>
          <w:rFonts w:ascii="Traditional Arabic" w:hAnsi="Traditional Arabic"/>
          <w:b/>
          <w:color w:val="143250"/>
          <w:sz w:val="32"/>
        </w:rPr>
        <w:t>المطلب الثاني: السوابق القضائية المفصلية وأبعادها</w:t>
      </w:r>
    </w:p>
    <w:p w14:paraId="1A28CCE4" w14:textId="77777777" w:rsidR="002878CA" w:rsidRDefault="00000000" w:rsidP="00965695">
      <w:pPr>
        <w:bidi/>
        <w:spacing w:after="120"/>
      </w:pPr>
      <w:r>
        <w:rPr>
          <w:rFonts w:ascii="Traditional Arabic" w:hAnsi="Traditional Arabic"/>
          <w:color w:val="282828"/>
          <w:sz w:val="30"/>
        </w:rPr>
        <w:t>تقدم الأحكام القضائية الغربية دروساً واقعية تؤكد خطورة إهمال التوثيق:</w:t>
      </w:r>
      <w:r>
        <w:rPr>
          <w:rFonts w:ascii="Traditional Arabic" w:hAnsi="Traditional Arabic"/>
          <w:color w:val="282828"/>
          <w:sz w:val="30"/>
        </w:rPr>
        <w:br/>
      </w:r>
      <w:r>
        <w:rPr>
          <w:rFonts w:ascii="Traditional Arabic" w:hAnsi="Traditional Arabic"/>
          <w:color w:val="282828"/>
          <w:sz w:val="30"/>
        </w:rPr>
        <w:br/>
      </w:r>
      <w:r>
        <w:rPr>
          <w:rFonts w:ascii="Traditional Arabic" w:hAnsi="Traditional Arabic"/>
          <w:color w:val="282828"/>
          <w:sz w:val="30"/>
        </w:rPr>
        <w:lastRenderedPageBreak/>
        <w:t>1. قضية أختر في بريطانيا (Attorney General v Akhter [2020] EWCA Civ 122):</w:t>
      </w:r>
      <w:r>
        <w:rPr>
          <w:rFonts w:ascii="Traditional Arabic" w:hAnsi="Traditional Arabic"/>
          <w:color w:val="282828"/>
          <w:sz w:val="30"/>
        </w:rPr>
        <w:br/>
        <w:t xml:space="preserve">تزوج طرفان مسلمان بعقد شرعي بلندن عام 1998 واستمرت حياتهما </w:t>
      </w:r>
      <w:commentRangeStart w:id="49"/>
      <w:r>
        <w:rPr>
          <w:rFonts w:ascii="Traditional Arabic" w:hAnsi="Traditional Arabic"/>
          <w:color w:val="282828"/>
          <w:sz w:val="30"/>
          <w:highlight w:val="yellow"/>
        </w:rPr>
        <w:t xml:space="preserve">نحو ثمانية عشر عاماً</w:t>
      </w:r>
      <w:commentRangeEnd w:id="49"/>
      <w:r>
        <w:rPr>
          <w:rStyle w:val="CommentReference"/>
        </w:rPr>
        <w:commentReference w:id="49"/>
      </w:r>
      <w:r>
        <w:rPr>
          <w:rFonts w:ascii="Traditional Arabic" w:hAnsi="Traditional Arabic"/>
          <w:color w:val="282828"/>
          <w:sz w:val="30"/>
        </w:rPr>
        <w:t xml:space="preserve"> وأنجبا أربعة أطفال، </w:t>
      </w:r>
      <w:commentRangeStart w:id="50"/>
      <w:r>
        <w:rPr>
          <w:rFonts w:ascii="Traditional Arabic" w:hAnsi="Traditional Arabic"/>
          <w:color w:val="282828"/>
          <w:sz w:val="30"/>
          <w:highlight w:val="yellow"/>
        </w:rPr>
        <w:t xml:space="preserve">وكان الطرفان يعلمان أن العقد بلا أثر قانوني، ويقصدان عقداً مدنياً لم يتم</w:t>
      </w:r>
      <w:commentRangeEnd w:id="50"/>
      <w:r>
        <w:rPr>
          <w:rStyle w:val="CommentReference"/>
        </w:rPr>
        <w:commentReference w:id="50"/>
      </w:r>
      <w:r>
        <w:rPr>
          <w:rFonts w:ascii="Traditional Arabic" w:hAnsi="Traditional Arabic"/>
          <w:color w:val="282828"/>
          <w:sz w:val="30"/>
        </w:rPr>
        <w:t xml:space="preserve">. وعند وقوع الخلاف، </w:t>
      </w:r>
      <w:commentRangeStart w:id="51"/>
      <w:r>
        <w:rPr>
          <w:rFonts w:ascii="Traditional Arabic" w:hAnsi="Traditional Arabic"/>
          <w:color w:val="282828"/>
          <w:sz w:val="30"/>
          <w:highlight w:val="yellow"/>
        </w:rPr>
        <w:t xml:space="preserve">طلبت الزوجة الطلاق، فقضت محكمة الأسرة (Williams J, [2018] EWFC 54) بأنه زواج باطل (void marriage) يجيز لها طلب التسوية المالية</w:t>
      </w:r>
      <w:commentRangeEnd w:id="51"/>
      <w:r>
        <w:rPr>
          <w:rStyle w:val="CommentReference"/>
        </w:rPr>
        <w:commentReference w:id="51"/>
      </w:r>
      <w:r>
        <w:rPr>
          <w:rFonts w:ascii="Traditional Arabic" w:hAnsi="Traditional Arabic"/>
          <w:color w:val="282828"/>
          <w:sz w:val="30"/>
        </w:rPr>
        <w:t xml:space="preserve">؛ إلا أن محكمة الاستئناف الإنجليزية (Court of Appeal) </w:t>
      </w:r>
      <w:commentRangeStart w:id="52"/>
      <w:r>
        <w:rPr>
          <w:rFonts w:ascii="Traditional Arabic" w:hAnsi="Traditional Arabic"/>
          <w:color w:val="282828"/>
          <w:sz w:val="30"/>
          <w:highlight w:val="yellow"/>
        </w:rPr>
        <w:t xml:space="preserve">نقضت الحكم بالإجماع في عام 2020، وقررت أنه لم تقع مراسم زواج يصح أن يصدر بشأنها حكم بالبطلان، بل هي مراسم غير مؤهلة (non-qualifying ceremony)</w:t>
      </w:r>
      <w:commentRangeEnd w:id="52"/>
      <w:r>
        <w:rPr>
          <w:rStyle w:val="CommentReference"/>
        </w:rPr>
        <w:commentReference w:id="52"/>
      </w:r>
      <w:r>
        <w:rPr>
          <w:rFonts w:ascii="Traditional Arabic" w:hAnsi="Traditional Arabic"/>
          <w:color w:val="282828"/>
          <w:sz w:val="30"/>
        </w:rPr>
        <w:t xml:space="preserve">، وحرمت الزوجة من التسوية المالية المقررة للزوجات.</w:t>
      </w:r>
      <w:r>
        <w:rPr>
          <w:rFonts w:ascii="Traditional Arabic" w:hAnsi="Traditional Arabic"/>
          <w:color w:val="282828"/>
          <w:sz w:val="30"/>
        </w:rPr>
        <w:br/>
      </w:r>
      <w:r>
        <w:rPr>
          <w:rFonts w:ascii="Traditional Arabic" w:hAnsi="Traditional Arabic"/>
          <w:color w:val="282828"/>
          <w:sz w:val="30"/>
        </w:rPr>
        <w:br/>
        <w:t>2. قضية شريفة يغيت أمام المحكمة الأوروبية لحقوق الإنسان (Şerife Yiğit v. Turkey, 2010):</w:t>
      </w:r>
      <w:r>
        <w:rPr>
          <w:rFonts w:ascii="Traditional Arabic" w:hAnsi="Traditional Arabic"/>
          <w:color w:val="282828"/>
          <w:sz w:val="30"/>
        </w:rPr>
        <w:br/>
        <w:t xml:space="preserve">عاشت مواطنة تركية مع زوجها </w:t>
      </w:r>
      <w:commentRangeStart w:id="53"/>
      <w:r>
        <w:rPr>
          <w:rFonts w:ascii="Traditional Arabic" w:hAnsi="Traditional Arabic"/>
          <w:color w:val="282828"/>
          <w:sz w:val="30"/>
          <w:highlight w:val="yellow"/>
        </w:rPr>
        <w:t xml:space="preserve">26 عاماً</w:t>
      </w:r>
      <w:commentRangeEnd w:id="53"/>
      <w:r>
        <w:rPr>
          <w:rStyle w:val="CommentReference"/>
        </w:rPr>
        <w:commentReference w:id="53"/>
      </w:r>
      <w:r>
        <w:rPr>
          <w:rFonts w:ascii="Traditional Arabic" w:hAnsi="Traditional Arabic"/>
          <w:color w:val="282828"/>
          <w:sz w:val="30"/>
        </w:rPr>
        <w:t xml:space="preserve"> بعقد زواج ديني غير موثق مدنياً </w:t>
      </w:r>
      <w:commentRangeStart w:id="54"/>
      <w:r>
        <w:rPr>
          <w:rFonts w:ascii="Traditional Arabic" w:hAnsi="Traditional Arabic"/>
          <w:color w:val="282828"/>
          <w:sz w:val="30"/>
          <w:highlight w:val="yellow"/>
        </w:rPr>
        <w:t xml:space="preserve">وأنجبت منه ستة أولاد</w:t>
      </w:r>
      <w:commentRangeEnd w:id="54"/>
      <w:r>
        <w:rPr>
          <w:rStyle w:val="CommentReference"/>
        </w:rPr>
        <w:commentReference w:id="54"/>
      </w:r>
      <w:r>
        <w:rPr>
          <w:rFonts w:ascii="Traditional Arabic" w:hAnsi="Traditional Arabic"/>
          <w:color w:val="282828"/>
          <w:sz w:val="30"/>
        </w:rPr>
        <w:t xml:space="preserve">، وعند وفاته رُفض طلبها للحصول على معاش الوفاة لعدم وجود عقد مدني. لجأت للمحكمة الأوروبية بدعوى انتهاك الحق في حماية الأسرة، فقضت الغرفة الكبرى </w:t>
      </w:r>
      <w:commentRangeStart w:id="55"/>
      <w:r>
        <w:rPr>
          <w:rFonts w:ascii="Traditional Arabic" w:hAnsi="Traditional Arabic"/>
          <w:color w:val="282828"/>
          <w:sz w:val="30"/>
          <w:highlight w:val="yellow"/>
        </w:rPr>
        <w:t xml:space="preserve">بالإجماع برفض دعواها (لا مخالفة للمادة 14 مع المادة 1 من البروتوكول الأول، ولا للمادة 8)</w:t>
      </w:r>
      <w:commentRangeEnd w:id="55"/>
      <w:r>
        <w:rPr>
          <w:rStyle w:val="CommentReference"/>
        </w:rPr>
        <w:commentReference w:id="55"/>
      </w:r>
      <w:r>
        <w:rPr>
          <w:rFonts w:ascii="Traditional Arabic" w:hAnsi="Traditional Arabic"/>
          <w:color w:val="282828"/>
          <w:sz w:val="30"/>
        </w:rPr>
        <w:t xml:space="preserve">، معتبرة أن اشتراط الدول للتوثيق المدني هو تنظيم مشروع لحماية النظام العام وحقوق المرأة.</w:t>
      </w:r>
      <w:r>
        <w:rPr>
          <w:rFonts w:ascii="Traditional Arabic" w:hAnsi="Traditional Arabic"/>
          <w:color w:val="282828"/>
          <w:sz w:val="30"/>
        </w:rPr>
        <w:br/>
        <w:t xml:space="preserve">وفي المقابل، قضت المحكمة في قضية (Muñoz Díaz v. Spain, 2009) </w:t>
      </w:r>
      <w:commentRangeStart w:id="56"/>
      <w:r>
        <w:rPr>
          <w:rFonts w:ascii="Traditional Arabic" w:hAnsi="Traditional Arabic"/>
          <w:color w:val="282828"/>
          <w:sz w:val="30"/>
          <w:highlight w:val="yellow"/>
        </w:rPr>
        <w:t xml:space="preserve">بستة أصوات مقابل صوت بأحقية أرملة في المعاش، وكان زواجها على أعراف جماعة الروما سنة 1971،</w:t>
      </w:r>
      <w:commentRangeEnd w:id="56"/>
      <w:r>
        <w:rPr>
          <w:rStyle w:val="CommentReference"/>
        </w:rPr>
        <w:commentReference w:id="56"/>
      </w:r>
      <w:r>
        <w:rPr>
          <w:rFonts w:ascii="Traditional Arabic" w:hAnsi="Traditional Arabic"/>
          <w:color w:val="282828"/>
          <w:sz w:val="30"/>
        </w:rPr>
        <w:t xml:space="preserve"> لوجود «توقع مشروع» نشأ عن اعتراف الدولة الضمني بأسرتها لسنوات، وهو ما يدل على أن التوثيق يظل الأصل الحاسم لقطع النزاع.</w:t>
      </w:r>
      <w:r>
        <w:rPr>
          <w:rFonts w:ascii="Traditional Arabic" w:hAnsi="Traditional Arabic"/>
          <w:color w:val="282828"/>
          <w:sz w:val="30"/>
        </w:rPr>
        <w:br/>
      </w:r>
      <w:r>
        <w:rPr>
          <w:rFonts w:ascii="Traditional Arabic" w:hAnsi="Traditional Arabic"/>
          <w:color w:val="282828"/>
          <w:sz w:val="30"/>
        </w:rPr>
        <w:br/>
        <w:t>3. سابقة المحكمة الفيدرالية العليا في البرازيل (RE 878.694 لعام 2017):</w:t>
      </w:r>
      <w:r>
        <w:rPr>
          <w:rFonts w:ascii="Traditional Arabic" w:hAnsi="Traditional Arabic"/>
          <w:color w:val="282828"/>
          <w:sz w:val="30"/>
        </w:rPr>
        <w:br/>
      </w:r>
      <w:commentRangeStart w:id="57"/>
      <w:r>
        <w:rPr>
          <w:rFonts w:ascii="Traditional Arabic" w:hAnsi="Traditional Arabic"/>
          <w:color w:val="282828"/>
          <w:sz w:val="30"/>
          <w:highlight w:val="yellow"/>
        </w:rPr>
        <w:t xml:space="preserve">قضت المحكمة العليا البرازيلية في 10 مايو 2017، بثمانية أصوات مقابل ثلاثة، بمساواة</w:t>
      </w:r>
      <w:commentRangeEnd w:id="57"/>
      <w:r>
        <w:rPr>
          <w:rStyle w:val="CommentReference"/>
        </w:rPr>
        <w:commentReference w:id="57"/>
      </w:r>
      <w:r>
        <w:rPr>
          <w:rFonts w:ascii="Traditional Arabic" w:hAnsi="Traditional Arabic"/>
          <w:color w:val="282828"/>
          <w:sz w:val="30"/>
        </w:rPr>
        <w:t xml:space="preserve"> </w:t>
      </w:r>
      <w:r>
        <w:rPr>
          <w:rFonts w:ascii="Traditional Arabic" w:hAnsi="Traditional Arabic"/>
          <w:color w:val="282828"/>
          <w:sz w:val="30"/>
          <w:highlight w:val="yellow"/>
        </w:rPr>
        <w:t xml:space="preserve">المتساكن</w:t>
      </w:r>
      <w:r>
        <w:rPr>
          <w:rFonts w:ascii="Traditional Arabic" w:hAnsi="Traditional Arabic"/>
          <w:color w:val="282828"/>
          <w:sz w:val="30"/>
        </w:rPr>
        <w:t xml:space="preserve"> بالزوج في الميراث (Tema 809). ورغم جوار البرازيل للأرجنتين، </w:t>
      </w:r>
      <w:commentRangeStart w:id="58"/>
      <w:r>
        <w:rPr>
          <w:rFonts w:ascii="Traditional Arabic" w:hAnsi="Traditional Arabic"/>
          <w:color w:val="282828"/>
          <w:sz w:val="30"/>
          <w:highlight w:val="yellow"/>
        </w:rPr>
        <w:t xml:space="preserve">إلا أن هذا التوجه القضائي لا يظهر أنه انتقل إلى الأرجنتين</w:t>
      </w:r>
      <w:commentRangeEnd w:id="58"/>
      <w:r>
        <w:rPr>
          <w:rStyle w:val="CommentReference"/>
        </w:rPr>
        <w:commentReference w:id="58"/>
      </w:r>
      <w:r>
        <w:rPr>
          <w:rFonts w:ascii="Traditional Arabic" w:hAnsi="Traditional Arabic"/>
          <w:color w:val="282828"/>
          <w:sz w:val="30"/>
        </w:rPr>
        <w:t xml:space="preserve"> لصراحة نصوص القانون الأرجنتيني التي قصرت الإرث على الزوج المدني دون </w:t>
      </w:r>
      <w:r>
        <w:rPr>
          <w:rFonts w:ascii="Traditional Arabic" w:hAnsi="Traditional Arabic"/>
          <w:color w:val="282828"/>
          <w:sz w:val="30"/>
          <w:highlight w:val="yellow"/>
        </w:rPr>
        <w:t xml:space="preserve">المتساكن</w:t>
      </w:r>
      <w:r>
        <w:rPr>
          <w:rFonts w:ascii="Traditional Arabic" w:hAnsi="Traditional Arabic"/>
          <w:color w:val="282828"/>
          <w:sz w:val="30"/>
        </w:rPr>
        <w:t xml:space="preserve">.</w:t>
      </w:r>
    </w:p>
    <w:p w14:paraId="2A490B77" w14:textId="77777777" w:rsidR="002878CA" w:rsidRDefault="00000000" w:rsidP="00965695">
      <w:pPr>
        <w:keepNext/>
        <w:bidi/>
        <w:spacing w:before="360" w:after="160"/>
      </w:pPr>
      <w:r>
        <w:rPr>
          <w:rFonts w:ascii="Traditional Arabic" w:hAnsi="Traditional Arabic"/>
          <w:b/>
          <w:color w:val="0D5C3A"/>
          <w:sz w:val="36"/>
        </w:rPr>
        <w:t>المبحث الرابع: سبل الوقاية ودور المراكز والأئمة والقرائن الرقمية في السياسة الشرعية</w:t>
      </w:r>
    </w:p>
    <w:p w14:paraId="4F499664" w14:textId="77777777" w:rsidR="002878CA" w:rsidRDefault="00000000" w:rsidP="00965695">
      <w:pPr>
        <w:keepNext/>
        <w:bidi/>
        <w:spacing w:before="280" w:after="120"/>
      </w:pPr>
      <w:r>
        <w:rPr>
          <w:rFonts w:ascii="Traditional Arabic" w:hAnsi="Traditional Arabic"/>
          <w:b/>
          <w:color w:val="143250"/>
          <w:sz w:val="32"/>
        </w:rPr>
        <w:t>المطلب الأول: التدابير التعاقدية الوقائية في ضوء القانون الأرجنتيني</w:t>
      </w:r>
    </w:p>
    <w:p w14:paraId="551B6314" w14:textId="77777777" w:rsidR="002878CA" w:rsidRDefault="00000000" w:rsidP="00965695">
      <w:pPr>
        <w:bidi/>
        <w:spacing w:after="120"/>
      </w:pPr>
      <w:r>
        <w:rPr>
          <w:rFonts w:ascii="Traditional Arabic" w:hAnsi="Traditional Arabic"/>
          <w:color w:val="282828"/>
          <w:sz w:val="30"/>
        </w:rPr>
        <w:t>انطلاقاً من قواعد السياسة الشرعية ورعاية المصالح، يقترح البحث منظومة من التدابير الوقائية التي تخفف من آثار عدم التوثيق وتصون الحقوق:</w:t>
      </w:r>
      <w:r>
        <w:rPr>
          <w:rFonts w:ascii="Traditional Arabic" w:hAnsi="Traditional Arabic"/>
          <w:color w:val="282828"/>
          <w:sz w:val="30"/>
        </w:rPr>
        <w:br/>
      </w:r>
      <w:commentRangeStart w:id="59"/>
      <w:r>
        <w:rPr>
          <w:rFonts w:ascii="Traditional Arabic" w:hAnsi="Traditional Arabic"/>
          <w:color w:val="282828"/>
          <w:sz w:val="30"/>
        </w:rPr>
        <w:br/>
        <w:t>1. الأصل الملزم: تقديم وثيقة الزواج المدني:</w:t>
      </w:r>
      <w:commentRangeEnd w:id="59"/>
      <w:r>
        <w:rPr>
          <w:rStyle w:val="CommentReference"/>
        </w:rPr>
        <w:commentReference w:id="59"/>
      </w:r>
      <w:r>
        <w:rPr>
          <w:rFonts w:ascii="Traditional Arabic" w:hAnsi="Traditional Arabic"/>
          <w:color w:val="282828"/>
          <w:sz w:val="30"/>
        </w:rPr>
        <w:br/>
        <w:t xml:space="preserve">وهو الواجب الأكمل والأحوط الذي ينبغي اعتماده في المراكز الإسلامية؛ بحيث لا يُعقد النكاح الشرعي إلا بعد إبراز </w:t>
      </w:r>
      <w:r>
        <w:rPr>
          <w:rFonts w:ascii="Traditional Arabic" w:hAnsi="Traditional Arabic"/>
          <w:color w:val="282828"/>
          <w:sz w:val="30"/>
        </w:rPr>
        <w:lastRenderedPageBreak/>
        <w:t>صك الزواج المدني الصادر من السجل الرسمي، ليكون العقد الديني مستكملاً لشروطه الشرعية ومستنداً للحماية القانونية.</w:t>
      </w:r>
      <w:r>
        <w:rPr>
          <w:rFonts w:ascii="Traditional Arabic" w:hAnsi="Traditional Arabic"/>
          <w:color w:val="282828"/>
          <w:sz w:val="30"/>
        </w:rPr>
        <w:br/>
      </w:r>
      <w:r>
        <w:rPr>
          <w:rFonts w:ascii="Traditional Arabic" w:hAnsi="Traditional Arabic"/>
          <w:color w:val="282828"/>
          <w:sz w:val="30"/>
        </w:rPr>
        <w:br/>
        <w:t xml:space="preserve">2. </w:t>
      </w:r>
      <w:commentRangeStart w:id="60"/>
      <w:r>
        <w:rPr>
          <w:rFonts w:ascii="Traditional Arabic" w:hAnsi="Traditional Arabic"/>
          <w:color w:val="282828"/>
          <w:sz w:val="30"/>
          <w:highlight w:val="yellow"/>
        </w:rPr>
        <w:t xml:space="preserve">اتفاقات المساكنة المكتوبة (Pactos de convivencia)</w:t>
      </w:r>
      <w:commentRangeEnd w:id="60"/>
      <w:r>
        <w:rPr>
          <w:rStyle w:val="CommentReference"/>
        </w:rPr>
        <w:commentReference w:id="60"/>
      </w:r>
      <w:r>
        <w:rPr>
          <w:rFonts w:ascii="Traditional Arabic" w:hAnsi="Traditional Arabic"/>
          <w:color w:val="282828"/>
          <w:sz w:val="30"/>
        </w:rPr>
        <w:t xml:space="preserve"> كحل مرحلي:</w:t>
      </w:r>
      <w:r>
        <w:rPr>
          <w:rFonts w:ascii="Traditional Arabic" w:hAnsi="Traditional Arabic"/>
          <w:color w:val="282828"/>
          <w:sz w:val="30"/>
        </w:rPr>
        <w:br/>
        <w:t xml:space="preserve">تتيح المواد (513 إلى 515) من القانون الأرجنتيني </w:t>
      </w:r>
      <w:commentRangeStart w:id="61"/>
      <w:r>
        <w:rPr>
          <w:rFonts w:ascii="Traditional Arabic" w:hAnsi="Traditional Arabic"/>
          <w:color w:val="282828"/>
          <w:sz w:val="30"/>
          <w:highlight w:val="yellow"/>
        </w:rPr>
        <w:t xml:space="preserve">للمتساكنين</w:t>
      </w:r>
      <w:commentRangeEnd w:id="61"/>
      <w:r>
        <w:rPr>
          <w:rStyle w:val="CommentReference"/>
        </w:rPr>
        <w:commentReference w:id="61"/>
      </w:r>
      <w:r>
        <w:rPr>
          <w:rFonts w:ascii="Traditional Arabic" w:hAnsi="Traditional Arabic"/>
          <w:color w:val="282828"/>
          <w:sz w:val="30"/>
        </w:rPr>
        <w:t xml:space="preserve"> </w:t>
      </w:r>
      <w:commentRangeStart w:id="62"/>
      <w:r>
        <w:rPr>
          <w:rFonts w:ascii="Traditional Arabic" w:hAnsi="Traditional Arabic"/>
          <w:color w:val="282828"/>
          <w:sz w:val="30"/>
          <w:highlight w:val="yellow"/>
        </w:rPr>
        <w:t xml:space="preserve">إبرام اتفاقات مكتوبة (المادة 513)، يجوز تحريرها لدى كاتب العدل (Escribano público) للإثبات، وتُقيَّد في سجل المساكنة لتكون حجة على الغير (المادتان 511 و517)،</w:t>
      </w:r>
      <w:commentRangeEnd w:id="62"/>
      <w:r>
        <w:rPr>
          <w:rStyle w:val="CommentReference"/>
        </w:rPr>
        <w:commentReference w:id="62"/>
      </w:r>
      <w:r>
        <w:rPr>
          <w:rFonts w:ascii="Traditional Arabic" w:hAnsi="Traditional Arabic"/>
          <w:color w:val="282828"/>
          <w:sz w:val="30"/>
        </w:rPr>
        <w:t xml:space="preserve"> لتنظيم المساهمة في نفقات الأسرة، وتوزيع الأموال، ومصير السكن. فيمكن للمراكز صياغة ميثاق موثق يضمن التزامات الزوج المالية لمن تعذر عليه التسجيل المدني لمانع مؤقت.</w:t>
      </w:r>
      <w:r>
        <w:rPr>
          <w:rFonts w:ascii="Traditional Arabic" w:hAnsi="Traditional Arabic"/>
          <w:color w:val="282828"/>
          <w:sz w:val="30"/>
        </w:rPr>
        <w:br/>
      </w:r>
      <w:r>
        <w:rPr>
          <w:rFonts w:ascii="Traditional Arabic" w:hAnsi="Traditional Arabic"/>
          <w:color w:val="282828"/>
          <w:sz w:val="30"/>
        </w:rPr>
        <w:br/>
        <w:t>3. قيد الصداق كدين مالي لازم:</w:t>
      </w:r>
      <w:r>
        <w:rPr>
          <w:rFonts w:ascii="Traditional Arabic" w:hAnsi="Traditional Arabic"/>
          <w:color w:val="282828"/>
          <w:sz w:val="30"/>
        </w:rPr>
        <w:br/>
        <w:t xml:space="preserve">حيث إن القانون الأرجنتيني لا ينص على المهر، فيمكن إثبات الصداق المؤجل في محرر رسمي </w:t>
      </w:r>
      <w:commentRangeStart w:id="63"/>
      <w:r>
        <w:rPr>
          <w:rFonts w:ascii="Traditional Arabic" w:hAnsi="Traditional Arabic"/>
          <w:color w:val="282828"/>
          <w:sz w:val="30"/>
          <w:highlight w:val="yellow"/>
        </w:rPr>
        <w:t xml:space="preserve">كدين ثابت</w:t>
      </w:r>
      <w:commentRangeEnd w:id="63"/>
      <w:r>
        <w:rPr>
          <w:rStyle w:val="CommentReference"/>
        </w:rPr>
        <w:commentReference w:id="63"/>
      </w:r>
      <w:r>
        <w:rPr>
          <w:rFonts w:ascii="Traditional Arabic" w:hAnsi="Traditional Arabic"/>
          <w:color w:val="282828"/>
          <w:sz w:val="30"/>
        </w:rPr>
        <w:t xml:space="preserve"> في ذمة الزوج، يستحق الأداء عند الانفصال أو يُستوفى من التركة قبل قسمة التركات.</w:t>
      </w:r>
      <w:r>
        <w:rPr>
          <w:rFonts w:ascii="Traditional Arabic" w:hAnsi="Traditional Arabic"/>
          <w:color w:val="282828"/>
          <w:sz w:val="30"/>
        </w:rPr>
        <w:br/>
      </w:r>
      <w:r>
        <w:rPr>
          <w:rFonts w:ascii="Traditional Arabic" w:hAnsi="Traditional Arabic"/>
          <w:color w:val="282828"/>
          <w:sz w:val="30"/>
        </w:rPr>
        <w:br/>
        <w:t>4. الوصية بالفرض الشرعي للزوجة في حدود الجزء المتاح قانوناً:</w:t>
      </w:r>
      <w:commentRangeStart w:id="64"/>
      <w:r>
        <w:rPr>
          <w:rFonts w:ascii="Traditional Arabic" w:hAnsi="Traditional Arabic"/>
          <w:color w:val="282828"/>
          <w:sz w:val="30"/>
        </w:rPr>
        <w:br/>
        <w:t xml:space="preserve">لما كان القانون الأرجنتيني يحرم الزوجة غير المسجلة من الإرث التلقائي، وفي الوقت نفسه تتيح المادة (2445) للشخص التصرف بالوصية في حدود ثلث تركته (1/3) مع وجود أولاد، ونصفها (1/2) مع وجود أصول فقط، </w:t>
      </w:r>
      <w:commentRangeStart w:id="65"/>
      <w:r>
        <w:rPr>
          <w:rFonts w:ascii="Traditional Arabic" w:hAnsi="Traditional Arabic"/>
          <w:color w:val="282828"/>
          <w:sz w:val="30"/>
          <w:highlight w:val="yellow"/>
        </w:rPr>
        <w:t xml:space="preserve">وكامل التركة عند انعدام الفروع والأصول والزوج المدني</w:t>
      </w:r>
      <w:commentRangeEnd w:id="65"/>
      <w:r>
        <w:rPr>
          <w:rStyle w:val="CommentReference"/>
        </w:rPr>
        <w:commentReference w:id="65"/>
      </w:r>
      <w:r>
        <w:rPr>
          <w:rFonts w:ascii="Traditional Arabic" w:hAnsi="Traditional Arabic"/>
          <w:color w:val="282828"/>
          <w:sz w:val="30"/>
        </w:rPr>
        <w:t xml:space="preserve">؛ فإن السياسة الشرعية تقتضي إلزام الزوج بكتابة وصية رسمية تسجل حق زوجته في فرضها الشرعي (الثمن أو الربع). والوصية هنا وسيلة ضرورية لاستيفاء حقها الواجب وسد النقص القانوني، ولا تخالف حديث «لا وصية لوارث»؛ لأن القانون الوضعي لا يعدها وارثة أصلاً، فصارت الوصية السبيل المتاح لتمكينها من حقها المفروض شرعاً.</w:t>
      </w:r>
      <w:commentRangeEnd w:id="64"/>
      <w:r>
        <w:rPr>
          <w:rStyle w:val="CommentReference"/>
        </w:rPr>
        <w:commentReference w:id="64"/>
      </w:r>
      <w:r>
        <w:rPr>
          <w:rFonts w:ascii="Traditional Arabic" w:hAnsi="Traditional Arabic"/>
          <w:color w:val="282828"/>
          <w:sz w:val="30"/>
        </w:rPr>
        <w:br/>
      </w:r>
      <w:r>
        <w:rPr>
          <w:rFonts w:ascii="Traditional Arabic" w:hAnsi="Traditional Arabic"/>
          <w:color w:val="282828"/>
          <w:sz w:val="30"/>
        </w:rPr>
        <w:br/>
        <w:t>5. اختيار نظام فصل الأموال عند الزواج المدني:</w:t>
      </w:r>
      <w:r>
        <w:rPr>
          <w:rFonts w:ascii="Traditional Arabic" w:hAnsi="Traditional Arabic"/>
          <w:color w:val="282828"/>
          <w:sz w:val="30"/>
        </w:rPr>
        <w:br/>
        <w:t xml:space="preserve">يتيح القانون الأرجنتيني في المادة (446) للمقبلين على الزواج المدني إبرام اتفاقات لاختيار «نظام فصل الأموال» (Régimen de separación de bienes) بدلاً من نظام الأموال المشتركة، وهو خيار قانوني </w:t>
      </w:r>
      <w:commentRangeStart w:id="66"/>
      <w:r>
        <w:rPr>
          <w:rFonts w:ascii="Traditional Arabic" w:hAnsi="Traditional Arabic"/>
          <w:color w:val="282828"/>
          <w:sz w:val="30"/>
          <w:highlight w:val="yellow"/>
        </w:rPr>
        <w:t xml:space="preserve">يقارب مبدأ استقلال الذمة المالية للزوجين في الفقه الإسلامي، مع بقاء القواعد الآمرة المشتركة بين النظامين (المواد 454 و456 و461)</w:t>
      </w:r>
      <w:commentRangeEnd w:id="66"/>
      <w:r>
        <w:rPr>
          <w:rStyle w:val="CommentReference"/>
        </w:rPr>
        <w:commentReference w:id="66"/>
      </w:r>
      <w:r>
        <w:rPr>
          <w:rFonts w:ascii="Traditional Arabic" w:hAnsi="Traditional Arabic"/>
          <w:color w:val="282828"/>
          <w:sz w:val="30"/>
        </w:rPr>
        <w:t xml:space="preserve">.</w:t>
      </w:r>
    </w:p>
    <w:p w14:paraId="16B4CD8F" w14:textId="77777777" w:rsidR="002878CA" w:rsidRDefault="00000000" w:rsidP="00965695">
      <w:pPr>
        <w:keepNext/>
        <w:bidi/>
        <w:spacing w:before="280" w:after="120"/>
      </w:pPr>
      <w:r>
        <w:rPr>
          <w:rFonts w:ascii="Traditional Arabic" w:hAnsi="Traditional Arabic"/>
          <w:b/>
          <w:color w:val="143250"/>
          <w:sz w:val="32"/>
        </w:rPr>
        <w:t>المطلب الثاني: توظيف القرائن الرقمية والذكاء الاصطناعي في السياسة الشرعية</w:t>
      </w:r>
    </w:p>
    <w:p w14:paraId="313EB1E1" w14:textId="77777777" w:rsidR="002878CA" w:rsidRDefault="00000000" w:rsidP="00965695">
      <w:pPr>
        <w:bidi/>
        <w:spacing w:after="120"/>
      </w:pPr>
      <w:commentRangeStart w:id="67"/>
      <w:r>
        <w:rPr>
          <w:rFonts w:ascii="Traditional Arabic" w:hAnsi="Traditional Arabic"/>
          <w:color w:val="282828"/>
          <w:sz w:val="30"/>
          <w:highlight w:val="yellow"/>
        </w:rPr>
        <w:t xml:space="preserve">وللوسائل الرقمية المعاصرة أثر في إثبات الحقوق وحفظها، يتبين من ثلاث جهات:</w:t>
      </w:r>
      <w:commentRangeEnd w:id="67"/>
      <w:r>
        <w:rPr>
          <w:rStyle w:val="CommentReference"/>
        </w:rPr>
        <w:commentReference w:id="67"/>
      </w:r>
      <w:r>
        <w:rPr>
          <w:rFonts w:ascii="Traditional Arabic" w:hAnsi="Traditional Arabic"/>
          <w:color w:val="282828"/>
          <w:sz w:val="30"/>
        </w:rPr>
        <w:br/>
      </w:r>
      <w:r>
        <w:rPr>
          <w:rFonts w:ascii="Traditional Arabic" w:hAnsi="Traditional Arabic"/>
          <w:color w:val="282828"/>
          <w:sz w:val="30"/>
        </w:rPr>
        <w:br/>
        <w:t>1. تأصيل حجية القرائن ودلائل الأحوال:</w:t>
      </w:r>
      <w:r>
        <w:rPr>
          <w:rFonts w:ascii="Traditional Arabic" w:hAnsi="Traditional Arabic"/>
          <w:color w:val="282828"/>
          <w:sz w:val="30"/>
        </w:rPr>
        <w:br/>
      </w:r>
      <w:r>
        <w:rPr>
          <w:rFonts w:ascii="Traditional Arabic" w:hAnsi="Traditional Arabic"/>
          <w:color w:val="282828"/>
          <w:sz w:val="30"/>
        </w:rPr>
        <w:lastRenderedPageBreak/>
        <w:t xml:space="preserve">قرر الإمام ابن القيم</w:t>
      </w:r>
      <w:commentRangeStart w:id="88"/>
      <w:r>
        <w:rPr>
          <w:vertAlign w:val="superscript"/>
        </w:rPr>
        <w:footnoteReference w:id="18"/>
      </w:r>
      <w:commentRangeEnd w:id="88"/>
      <w:r>
        <w:rPr>
          <w:rStyle w:val="CommentReference"/>
        </w:rPr>
        <w:commentReference w:id="88"/>
      </w:r>
      <w:r>
        <w:rPr>
          <w:rFonts w:ascii="Traditional Arabic" w:hAnsi="Traditional Arabic"/>
          <w:color w:val="282828"/>
          <w:sz w:val="30"/>
        </w:rPr>
        <w:t xml:space="preserve"> في «الطرق الحكمية» أن البينة في لسان الشارع اسم لكل ما يظهر الحق ويبينه، وليست مقصورة على شهادة رجلين، وأن القاضي يعتمد على الأمارات ودلائل الأحوال لإحقاق الحق ودفع الظلم.</w:t>
      </w:r>
      <w:r>
        <w:rPr>
          <w:rFonts w:ascii="Traditional Arabic" w:hAnsi="Traditional Arabic"/>
          <w:color w:val="282828"/>
          <w:sz w:val="30"/>
        </w:rPr>
        <w:br/>
      </w:r>
      <w:r>
        <w:rPr>
          <w:rFonts w:ascii="Traditional Arabic" w:hAnsi="Traditional Arabic"/>
          <w:color w:val="282828"/>
          <w:sz w:val="30"/>
        </w:rPr>
        <w:br/>
        <w:t>2. تنزيل الأدلة الرقمية كقرائن ظنية مرجحة:</w:t>
      </w:r>
      <w:commentRangeStart w:id="68"/>
      <w:r>
        <w:rPr>
          <w:rFonts w:ascii="Traditional Arabic" w:hAnsi="Traditional Arabic"/>
          <w:color w:val="282828"/>
          <w:sz w:val="30"/>
        </w:rPr>
        <w:br/>
        <w:t>في الدعاوى الأرجنتينية المتعلقة بإثبات المساكنة المستقرة (المادتان 509 و512) أو دعاوى إثبات النسب (المادة 579)؛ تعد السجلات المصرفية للتحويلات المشتركة، والمراسلات الموثقة، والملفات الطبية الرقمية المشتركة، دلائل أحوال وقرائن مرجحة تعزز الدعوى وتثبت قيام الحياة المشتركة.</w:t>
      </w:r>
      <w:commentRangeEnd w:id="68"/>
      <w:r>
        <w:rPr>
          <w:rStyle w:val="CommentReference"/>
        </w:rPr>
        <w:commentReference w:id="68"/>
      </w:r>
      <w:r>
        <w:rPr>
          <w:rFonts w:ascii="Traditional Arabic" w:hAnsi="Traditional Arabic"/>
          <w:color w:val="282828"/>
          <w:sz w:val="30"/>
        </w:rPr>
        <w:br/>
      </w:r>
      <w:r>
        <w:rPr>
          <w:rFonts w:ascii="Traditional Arabic" w:hAnsi="Traditional Arabic"/>
          <w:color w:val="282828"/>
          <w:sz w:val="30"/>
        </w:rPr>
        <w:br/>
        <w:t>3. تطبيقات الذكاء الاصطناعي في التدقيق والإرشاد الأسري:</w:t>
      </w:r>
      <w:r>
        <w:rPr>
          <w:rFonts w:ascii="Traditional Arabic" w:hAnsi="Traditional Arabic"/>
          <w:color w:val="282828"/>
          <w:sz w:val="30"/>
        </w:rPr>
        <w:br/>
        <w:t>يمكن توظيف أدوات الذكاء الاصطناعي عبر:</w:t>
      </w:r>
      <w:r>
        <w:rPr>
          <w:rFonts w:ascii="Traditional Arabic" w:hAnsi="Traditional Arabic"/>
          <w:color w:val="282828"/>
          <w:sz w:val="30"/>
        </w:rPr>
        <w:br/>
        <w:t>• قوائم تحقق ذكية (Smart Checklists) للأئمة لفحص وثائق الطرفين قبل العقد، والتأكد من استيفاء الشروط الشرعية والمدنية.</w:t>
      </w:r>
      <w:r>
        <w:rPr>
          <w:rFonts w:ascii="Traditional Arabic" w:hAnsi="Traditional Arabic"/>
          <w:color w:val="282828"/>
          <w:sz w:val="30"/>
        </w:rPr>
        <w:br/>
        <w:t>• منصات إرشاد وتوعية للمقبلين على الزواج تشرح بلغة ميسرة الفوارق بين العقد الشرعي والمدني وحقوق الأسرة.</w:t>
      </w:r>
      <w:commentRangeStart w:id="69"/>
      <w:r>
        <w:rPr>
          <w:rFonts w:ascii="Traditional Arabic" w:hAnsi="Traditional Arabic"/>
          <w:color w:val="282828"/>
          <w:sz w:val="30"/>
        </w:rPr>
        <w:br/>
        <w:t>• التحقق الرقمي من صحة الوثائق وحمايتها من التزوير والتزييف العميق (Deepfake)، مع الالتزام الصارم بقانون حماية البيانات الشخصية الأرجنتيني (Ley 25.326).</w:t>
      </w:r>
      <w:commentRangeEnd w:id="69"/>
      <w:r>
        <w:rPr>
          <w:rStyle w:val="CommentReference"/>
        </w:rPr>
        <w:commentReference w:id="69"/>
      </w:r>
    </w:p>
    <w:p w14:paraId="4D3AD0CA" w14:textId="77777777" w:rsidR="002878CA" w:rsidRDefault="00000000" w:rsidP="00965695">
      <w:pPr>
        <w:keepNext/>
        <w:bidi/>
        <w:spacing w:before="280" w:after="120"/>
      </w:pPr>
      <w:r>
        <w:rPr>
          <w:rFonts w:ascii="Traditional Arabic" w:hAnsi="Traditional Arabic"/>
          <w:b/>
          <w:color w:val="143250"/>
          <w:sz w:val="32"/>
        </w:rPr>
        <w:t>المطلب الثالث: الرؤية التطبيقية للمراكز الإسلامية في الأرجنتين</w:t>
      </w:r>
    </w:p>
    <w:p w14:paraId="6468BD3B" w14:textId="77777777" w:rsidR="002878CA" w:rsidRDefault="00000000" w:rsidP="00965695">
      <w:pPr>
        <w:bidi/>
        <w:spacing w:after="120"/>
      </w:pPr>
      <w:r>
        <w:rPr>
          <w:rFonts w:ascii="Traditional Arabic" w:hAnsi="Traditional Arabic"/>
          <w:color w:val="282828"/>
          <w:sz w:val="30"/>
        </w:rPr>
        <w:t>يقترح البحث برنامج عمل عملياً للمؤسسات الإسلامية في الأرجنتين يتضمن:</w:t>
      </w:r>
      <w:commentRangeStart w:id="70"/>
      <w:r>
        <w:rPr>
          <w:rFonts w:ascii="Traditional Arabic" w:hAnsi="Traditional Arabic"/>
          <w:color w:val="282828"/>
          <w:sz w:val="30"/>
        </w:rPr>
        <w:br/>
        <w:t>1. ميثاق عمل موحد للأئمة والمراكز: يقضي بعدم إبرام أي عقد نكاح شرعي إلا بعد استلام وثيقة الزواج المدني الرسمية، وتضمين بياناتها في السجل الإسلامي.</w:t>
      </w:r>
      <w:commentRangeEnd w:id="70"/>
      <w:r>
        <w:rPr>
          <w:rStyle w:val="CommentReference"/>
        </w:rPr>
        <w:commentReference w:id="70"/>
      </w:r>
      <w:r>
        <w:rPr>
          <w:rFonts w:ascii="Traditional Arabic" w:hAnsi="Traditional Arabic"/>
          <w:color w:val="282828"/>
          <w:sz w:val="30"/>
        </w:rPr>
        <w:br/>
        <w:t xml:space="preserve">2. نماذج جاهزة ل</w:t>
      </w:r>
      <w:r>
        <w:rPr>
          <w:rFonts w:ascii="Traditional Arabic" w:hAnsi="Traditional Arabic"/>
          <w:color w:val="282828"/>
          <w:sz w:val="30"/>
          <w:highlight w:val="yellow"/>
        </w:rPr>
        <w:t xml:space="preserve">اتفاقات المساكنة</w:t>
      </w:r>
      <w:r>
        <w:rPr>
          <w:rFonts w:ascii="Traditional Arabic" w:hAnsi="Traditional Arabic"/>
          <w:color w:val="282828"/>
          <w:sz w:val="30"/>
        </w:rPr>
        <w:t xml:space="preserve"> والوصايا: تُعد بالتنسيق مع كتاب العدل والمحامين المتخصصين، لمساعدة الحالات الخاصة التي تعذر عليها التسجيل مؤقتاً.</w:t>
      </w:r>
      <w:r>
        <w:rPr>
          <w:rFonts w:ascii="Traditional Arabic" w:hAnsi="Traditional Arabic"/>
          <w:color w:val="282828"/>
          <w:sz w:val="30"/>
        </w:rPr>
        <w:br/>
        <w:t>3. سجل إلكتروني موحد ومؤمن: لأرشفة عقود الزواج والبيانات في المركز الإسلامي وفق معايير الأمان وحماية الخصوصية.</w:t>
      </w:r>
      <w:r>
        <w:rPr>
          <w:rFonts w:ascii="Traditional Arabic" w:hAnsi="Traditional Arabic"/>
          <w:color w:val="282828"/>
          <w:sz w:val="30"/>
        </w:rPr>
        <w:br/>
        <w:t>4. دورات تأهيل أسري وقانوني: دورية للمقبلين على الزواج لتبصيرهم بواجباتهم الدينية والمدنية.</w:t>
      </w:r>
    </w:p>
    <w:p w14:paraId="21307732" w14:textId="77777777" w:rsidR="002878CA" w:rsidRDefault="00000000" w:rsidP="00965695">
      <w:pPr>
        <w:keepNext/>
        <w:bidi/>
        <w:spacing w:before="360" w:after="160"/>
      </w:pPr>
      <w:r>
        <w:rPr>
          <w:rFonts w:ascii="Traditional Arabic" w:hAnsi="Traditional Arabic"/>
          <w:b/>
          <w:color w:val="0D5C3A"/>
          <w:sz w:val="36"/>
        </w:rPr>
        <w:lastRenderedPageBreak/>
        <w:t>الخاتمة: النتائج والتوصيات</w:t>
      </w:r>
    </w:p>
    <w:p w14:paraId="5B598F2E" w14:textId="77777777" w:rsidR="002878CA" w:rsidRDefault="00000000" w:rsidP="00965695">
      <w:pPr>
        <w:keepNext/>
        <w:bidi/>
        <w:spacing w:before="280" w:after="120"/>
      </w:pPr>
      <w:r>
        <w:rPr>
          <w:rFonts w:ascii="Traditional Arabic" w:hAnsi="Traditional Arabic"/>
          <w:b/>
          <w:color w:val="143250"/>
          <w:sz w:val="32"/>
        </w:rPr>
        <w:t>أولاً: أهم النتائج</w:t>
      </w:r>
    </w:p>
    <w:p w14:paraId="15D6C5A2" w14:textId="77777777" w:rsidR="002878CA" w:rsidRDefault="00000000" w:rsidP="00965695">
      <w:pPr>
        <w:bidi/>
        <w:spacing w:after="120"/>
      </w:pPr>
      <w:commentRangeStart w:id="71"/>
      <w:r>
        <w:rPr>
          <w:rFonts w:ascii="Traditional Arabic" w:hAnsi="Traditional Arabic"/>
          <w:color w:val="282828"/>
          <w:sz w:val="30"/>
        </w:rPr>
        <w:t>خلصت الدراسة إلى النتائج الآتية:</w:t>
      </w:r>
      <w:commentRangeEnd w:id="71"/>
      <w:r>
        <w:rPr>
          <w:rStyle w:val="CommentReference"/>
        </w:rPr>
        <w:commentReference w:id="71"/>
      </w:r>
      <w:r>
        <w:rPr>
          <w:rFonts w:ascii="Traditional Arabic" w:hAnsi="Traditional Arabic"/>
          <w:color w:val="282828"/>
          <w:sz w:val="30"/>
        </w:rPr>
        <w:br/>
        <w:t>1. عقد النكاح المستوفي لأركانه وشروطه صحيح شرعاً في الأصل ديانة، إلا أن الاكتفاء به دون تسجيل مدني في ديار الأقليات يوقع الأسرة في فراغ قانوني يُعطل مقصد الإشهاد وحماية الحقوق أمام المحاكم.</w:t>
      </w:r>
      <w:r>
        <w:rPr>
          <w:rFonts w:ascii="Traditional Arabic" w:hAnsi="Traditional Arabic"/>
          <w:color w:val="282828"/>
          <w:sz w:val="30"/>
        </w:rPr>
        <w:br/>
        <w:t xml:space="preserve">2. توثيق الزواج في السجل المدني </w:t>
      </w:r>
      <w:commentRangeStart w:id="72"/>
      <w:r>
        <w:rPr>
          <w:rFonts w:ascii="Traditional Arabic" w:hAnsi="Traditional Arabic"/>
          <w:color w:val="282828"/>
          <w:sz w:val="30"/>
          <w:highlight w:val="yellow"/>
        </w:rPr>
        <w:t xml:space="preserve">الأرجنتيني متعيّن شرعاً عند القدرة؛ تأصيلاً</w:t>
      </w:r>
      <w:commentRangeEnd w:id="72"/>
      <w:r>
        <w:rPr>
          <w:rStyle w:val="CommentReference"/>
        </w:rPr>
        <w:commentReference w:id="72"/>
      </w:r>
      <w:r>
        <w:rPr>
          <w:rFonts w:ascii="Traditional Arabic" w:hAnsi="Traditional Arabic"/>
          <w:color w:val="282828"/>
          <w:sz w:val="30"/>
        </w:rPr>
        <w:t xml:space="preserve"> على قاعدة مقدمة الواجب «ما لا يتم الواجب إلا به فهو واجب»، وقاعدتي «سد الذرائع» و«تغير الأحكام بتغير الأزمنة». والبدائل التعاقدية الأخرى مخارج استثنائية لمن تعذر عليه التسجيل لمانع مؤقت.</w:t>
      </w:r>
      <w:r>
        <w:rPr>
          <w:rFonts w:ascii="Traditional Arabic" w:hAnsi="Traditional Arabic"/>
          <w:color w:val="282828"/>
          <w:sz w:val="30"/>
        </w:rPr>
        <w:br/>
        <w:t>3. يستند اشتراط التوثيق إلى نظائر فقهية تاريخية في السياسة الشرعية؛ كتضمين الصناع المشتركين، وفرض تزكية الشهود، وما قررته القوانين الشرعية كاللائحة المصرية لعام 1931 في عدم سماع دعوى الزوجية عند الإنكار بغير وثيقة رسمية.</w:t>
      </w:r>
      <w:r>
        <w:rPr>
          <w:rFonts w:ascii="Traditional Arabic" w:hAnsi="Traditional Arabic"/>
          <w:color w:val="282828"/>
          <w:sz w:val="30"/>
        </w:rPr>
        <w:br/>
        <w:t xml:space="preserve">4. يعتمد القانون الأرجنتيني (Ley 26.994) احتكار الدولة للزواج المدني، </w:t>
      </w:r>
      <w:commentRangeStart w:id="73"/>
      <w:r>
        <w:rPr>
          <w:rFonts w:ascii="Traditional Arabic" w:hAnsi="Traditional Arabic"/>
          <w:color w:val="282828"/>
          <w:sz w:val="30"/>
          <w:highlight w:val="yellow"/>
        </w:rPr>
        <w:t xml:space="preserve">ولا يرتب على الزواج الديني غير المسجل وحده أثراً مدنياً، ولا تنطبق عليه إلا أحكام المساكنة متى توافرت شروطها، ومنها مدة سنتين وانتفاء مانع الزواج القائم</w:t>
      </w:r>
      <w:commentRangeEnd w:id="73"/>
      <w:r>
        <w:rPr>
          <w:rStyle w:val="CommentReference"/>
        </w:rPr>
        <w:commentReference w:id="73"/>
      </w:r>
      <w:r>
        <w:rPr>
          <w:rFonts w:ascii="Traditional Arabic" w:hAnsi="Traditional Arabic"/>
          <w:color w:val="282828"/>
          <w:sz w:val="30"/>
        </w:rPr>
        <w:t xml:space="preserve">، ويحرم المرأة من الإرث التلقائي، والنفقة المستمرة، </w:t>
      </w:r>
      <w:commentRangeStart w:id="74"/>
      <w:r>
        <w:rPr>
          <w:rFonts w:ascii="Traditional Arabic" w:hAnsi="Traditional Arabic"/>
          <w:color w:val="282828"/>
          <w:sz w:val="30"/>
          <w:highlight w:val="yellow"/>
        </w:rPr>
        <w:t xml:space="preserve">ويسقط حقها في المقابل الاقتصادي بمضي ستة أشهر من انتهاء المساكنة</w:t>
      </w:r>
      <w:commentRangeEnd w:id="74"/>
      <w:r>
        <w:rPr>
          <w:rStyle w:val="CommentReference"/>
        </w:rPr>
        <w:commentReference w:id="74"/>
      </w:r>
      <w:r>
        <w:rPr>
          <w:rFonts w:ascii="Traditional Arabic" w:hAnsi="Traditional Arabic"/>
          <w:color w:val="282828"/>
          <w:sz w:val="30"/>
        </w:rPr>
        <w:t xml:space="preserve">.</w:t>
      </w:r>
      <w:r>
        <w:rPr>
          <w:rFonts w:ascii="Traditional Arabic" w:hAnsi="Traditional Arabic"/>
          <w:color w:val="282828"/>
          <w:sz w:val="30"/>
        </w:rPr>
        <w:br/>
        <w:t>5. تثبت جنسية الطفل المولود في الأرجنتين تلقائياً بحق الإقليم، في حين يتطلب ثبوت نسبه للأب في الزواج غير المسجل اعترافاً طوعياً رسمياً أو دعوى إثبات بنوة وفحصاً وراثياً.</w:t>
      </w:r>
      <w:commentRangeStart w:id="75"/>
      <w:r>
        <w:rPr>
          <w:rFonts w:ascii="Traditional Arabic" w:hAnsi="Traditional Arabic"/>
          <w:color w:val="282828"/>
          <w:sz w:val="30"/>
        </w:rPr>
        <w:br/>
        <w:t>6. يتحمل الإمام والمركز الإسلامي مسؤولية أدبية وتوجيهية متى باشر العقد دون تثبت من القيد المدني؛ لكونه مظنة التغرير بالمرأة والتسبب في ضياع حقوقها.</w:t>
      </w:r>
      <w:commentRangeEnd w:id="75"/>
      <w:r>
        <w:rPr>
          <w:rStyle w:val="CommentReference"/>
        </w:rPr>
        <w:commentReference w:id="75"/>
      </w:r>
      <w:r>
        <w:rPr>
          <w:rFonts w:ascii="Traditional Arabic" w:hAnsi="Traditional Arabic"/>
          <w:color w:val="282828"/>
          <w:sz w:val="30"/>
        </w:rPr>
        <w:br/>
        <w:t xml:space="preserve">7. مشروعية الاستعانة بالتدابير الوقائية (ك</w:t>
      </w:r>
      <w:r>
        <w:rPr>
          <w:rFonts w:ascii="Traditional Arabic" w:hAnsi="Traditional Arabic"/>
          <w:color w:val="282828"/>
          <w:sz w:val="30"/>
          <w:highlight w:val="yellow"/>
        </w:rPr>
        <w:t xml:space="preserve">اتفاقات المساكنة</w:t>
      </w:r>
      <w:r>
        <w:rPr>
          <w:rFonts w:ascii="Traditional Arabic" w:hAnsi="Traditional Arabic"/>
          <w:color w:val="282828"/>
          <w:sz w:val="30"/>
        </w:rPr>
        <w:t xml:space="preserve">، وقيد المهر، والوصية في حدود الجزء المتاح قانوناً)، وتوظيف القرائن الرقمية وأدوات الذكاء الاصطناعي في التدقيق والتوعية الأسرية.</w:t>
      </w:r>
    </w:p>
    <w:p w14:paraId="6B689D3C" w14:textId="77777777" w:rsidR="002878CA" w:rsidRDefault="00000000" w:rsidP="00965695">
      <w:pPr>
        <w:keepNext/>
        <w:bidi/>
        <w:spacing w:before="280" w:after="120"/>
      </w:pPr>
      <w:r>
        <w:rPr>
          <w:rFonts w:ascii="Traditional Arabic" w:hAnsi="Traditional Arabic"/>
          <w:b/>
          <w:color w:val="143250"/>
          <w:sz w:val="32"/>
        </w:rPr>
        <w:t>ثانياً: التوصيات</w:t>
      </w:r>
    </w:p>
    <w:p w14:paraId="2764E848" w14:textId="77777777" w:rsidR="002878CA" w:rsidRDefault="00000000" w:rsidP="00965695">
      <w:pPr>
        <w:bidi/>
        <w:spacing w:after="120"/>
      </w:pPr>
      <w:commentRangeStart w:id="77"/>
      <w:r>
        <w:rPr>
          <w:rFonts w:ascii="Traditional Arabic" w:hAnsi="Traditional Arabic"/>
          <w:color w:val="282828"/>
          <w:sz w:val="30"/>
          <w:highlight w:val="yellow"/>
        </w:rPr>
        <w:t xml:space="preserve">يوصي البحث</w:t>
      </w:r>
      <w:commentRangeEnd w:id="77"/>
      <w:r>
        <w:rPr>
          <w:rStyle w:val="CommentReference"/>
        </w:rPr>
        <w:commentReference w:id="77"/>
      </w:r>
      <w:r>
        <w:rPr>
          <w:rFonts w:ascii="Traditional Arabic" w:hAnsi="Traditional Arabic"/>
          <w:color w:val="282828"/>
          <w:sz w:val="30"/>
        </w:rPr>
        <w:t xml:space="preserve"> بما يأتي:</w:t>
      </w:r>
      <w:commentRangeStart w:id="78"/>
      <w:r>
        <w:rPr>
          <w:rFonts w:ascii="Traditional Arabic" w:hAnsi="Traditional Arabic"/>
          <w:color w:val="282828"/>
          <w:sz w:val="30"/>
        </w:rPr>
        <w:br/>
        <w:t>1. إلزام المراكز الإسلامية والأئمة في الأرجنتين بعدم إجراء أي عقد شرعي إلا بعد استلام وثيقة الزواج المدني الصادرة من السجل الرسمي للدولة.</w:t>
      </w:r>
      <w:commentRangeEnd w:id="78"/>
      <w:r>
        <w:rPr>
          <w:rStyle w:val="CommentReference"/>
        </w:rPr>
        <w:commentReference w:id="78"/>
      </w:r>
      <w:r>
        <w:rPr>
          <w:rFonts w:ascii="Traditional Arabic" w:hAnsi="Traditional Arabic"/>
          <w:color w:val="282828"/>
          <w:sz w:val="30"/>
        </w:rPr>
        <w:br/>
        <w:t xml:space="preserve">2. إعداد نماذج قانونية استرشادية ل</w:t>
      </w:r>
      <w:r>
        <w:rPr>
          <w:rFonts w:ascii="Traditional Arabic" w:hAnsi="Traditional Arabic"/>
          <w:color w:val="282828"/>
          <w:sz w:val="30"/>
          <w:highlight w:val="yellow"/>
        </w:rPr>
        <w:t xml:space="preserve">اتفاقات المساكنة</w:t>
      </w:r>
      <w:r>
        <w:rPr>
          <w:rFonts w:ascii="Traditional Arabic" w:hAnsi="Traditional Arabic"/>
          <w:color w:val="282828"/>
          <w:sz w:val="30"/>
        </w:rPr>
        <w:t xml:space="preserve"> والوصايا الشرعية بالتعاون مع كتاب العدل والمحامين، لمساعدة الحالات </w:t>
      </w:r>
      <w:r>
        <w:rPr>
          <w:rFonts w:ascii="Traditional Arabic" w:hAnsi="Traditional Arabic"/>
          <w:color w:val="282828"/>
          <w:sz w:val="30"/>
        </w:rPr>
        <w:lastRenderedPageBreak/>
        <w:t>المعذورة مؤقتاً.</w:t>
      </w:r>
      <w:r>
        <w:rPr>
          <w:rFonts w:ascii="Traditional Arabic" w:hAnsi="Traditional Arabic"/>
          <w:color w:val="282828"/>
          <w:sz w:val="30"/>
        </w:rPr>
        <w:br/>
        <w:t>3. إطلاق منصات رقمية واستخدام أدوات ذكية لتسهيل تدقيق وثائق المقبلين على الزواج وتوعيتهم بأحكام الشريعة ومتطلبات القانون.</w:t>
      </w:r>
      <w:r>
        <w:rPr>
          <w:rFonts w:ascii="Traditional Arabic" w:hAnsi="Traditional Arabic"/>
          <w:color w:val="282828"/>
          <w:sz w:val="30"/>
        </w:rPr>
        <w:br/>
        <w:t>4. تنظيم دورات تثقيف وتأهيل أسري إلزامية في المراكز الإسلامية للمقبلين على الزواج.</w:t>
      </w:r>
      <w:r>
        <w:rPr>
          <w:rFonts w:ascii="Traditional Arabic" w:hAnsi="Traditional Arabic"/>
          <w:color w:val="282828"/>
          <w:sz w:val="30"/>
        </w:rPr>
        <w:br/>
        <w:t>5. حث الباحثين والمجامع الفقهية على مزيد من العناية بواقع الأقليات المسلمة في أمريكا اللاتينية والبحث المقارن في قوانينها.</w:t>
      </w:r>
    </w:p>
    <w:p w14:paraId="652FD1C5" w14:textId="77777777" w:rsidR="002878CA" w:rsidRDefault="00000000" w:rsidP="00965695">
      <w:pPr>
        <w:keepNext/>
        <w:bidi/>
        <w:spacing w:before="360" w:after="160"/>
      </w:pPr>
      <w:r>
        <w:rPr>
          <w:rFonts w:ascii="Traditional Arabic" w:hAnsi="Traditional Arabic"/>
          <w:b/>
          <w:color w:val="0D5C3A"/>
          <w:sz w:val="36"/>
        </w:rPr>
        <w:t>قائمة المصادر والمراجع</w:t>
      </w:r>
    </w:p>
    <w:p w14:paraId="768F5492" w14:textId="77777777" w:rsidR="002878CA" w:rsidRDefault="00000000" w:rsidP="00965695">
      <w:pPr>
        <w:bidi/>
        <w:spacing w:before="40" w:after="80"/>
        <w:ind w:right="432"/>
      </w:pPr>
      <w:r>
        <w:rPr>
          <w:rFonts w:ascii="Traditional Arabic" w:hAnsi="Traditional Arabic"/>
          <w:color w:val="282828"/>
          <w:sz w:val="26"/>
        </w:rPr>
        <w:t>القرآن الكريم.</w:t>
      </w:r>
    </w:p>
    <w:p w14:paraId="73AC555B" w14:textId="77777777" w:rsidR="002878CA" w:rsidRDefault="00000000" w:rsidP="00965695">
      <w:pPr>
        <w:bidi/>
        <w:spacing w:before="40" w:after="80"/>
        <w:ind w:right="432"/>
      </w:pPr>
      <w:r>
        <w:rPr>
          <w:rFonts w:ascii="Traditional Arabic" w:hAnsi="Traditional Arabic"/>
          <w:color w:val="282828"/>
          <w:sz w:val="26"/>
        </w:rPr>
        <w:t>ابن فرحون، برهان الدين إبراهيم بن علي. (ت799هـ/1986). تبصرة الحكام في أصول الأقضية ومناهج الأحكام (ط1). مكتبة الكليات الأزهرية.</w:t>
      </w:r>
    </w:p>
    <w:p w14:paraId="355368B0" w14:textId="77777777" w:rsidR="002878CA" w:rsidRDefault="00000000" w:rsidP="00965695">
      <w:pPr>
        <w:bidi/>
        <w:spacing w:before="40" w:after="80"/>
        <w:ind w:right="432"/>
      </w:pPr>
      <w:r>
        <w:rPr>
          <w:rFonts w:ascii="Traditional Arabic" w:hAnsi="Traditional Arabic"/>
          <w:color w:val="282828"/>
          <w:sz w:val="26"/>
        </w:rPr>
        <w:t>ابن قدامة، موفق الدين عبد الله بن أحمد. (ت620هـ/1968). المغني في فقه الإمام أحمد بن حنبل الشيباني (تحقيق طه الزيني، ط1). مكتبة القاهرة.</w:t>
      </w:r>
    </w:p>
    <w:p w14:paraId="5BE3FFAD" w14:textId="77777777" w:rsidR="002878CA" w:rsidRDefault="00000000" w:rsidP="00965695">
      <w:pPr>
        <w:bidi/>
        <w:spacing w:before="40" w:after="80"/>
        <w:ind w:right="432"/>
      </w:pPr>
      <w:r>
        <w:rPr>
          <w:rFonts w:ascii="Traditional Arabic" w:hAnsi="Traditional Arabic"/>
          <w:color w:val="282828"/>
          <w:sz w:val="26"/>
        </w:rPr>
        <w:t>ابن القيم، شمس الدين محمد بن أبي بكر. (ت751هـ/1953). الطرق الحكمية في السياسة الشرعية (ط1). مطبعة السنة المحمدية.</w:t>
      </w:r>
    </w:p>
    <w:p w14:paraId="54D48496" w14:textId="77777777" w:rsidR="002878CA" w:rsidRDefault="00000000" w:rsidP="00965695">
      <w:pPr>
        <w:bidi/>
        <w:spacing w:before="40" w:after="80"/>
        <w:ind w:right="432"/>
      </w:pPr>
      <w:r>
        <w:rPr>
          <w:rFonts w:ascii="Traditional Arabic" w:hAnsi="Traditional Arabic"/>
          <w:color w:val="282828"/>
          <w:sz w:val="26"/>
        </w:rPr>
        <w:t>ابن القيم، شمس الدين محمد بن أبي بكر. (ت751هـ/1991). إعلام الموقعين عن رب العالمين (تحقيق محمد عبد السلام إبراهيم، ط1). دار الكتب العلمية.</w:t>
      </w:r>
    </w:p>
    <w:p w14:paraId="77EF482E" w14:textId="77777777" w:rsidR="002878CA" w:rsidRDefault="00000000" w:rsidP="00965695">
      <w:pPr>
        <w:bidi/>
        <w:spacing w:before="40" w:after="80"/>
        <w:ind w:right="432"/>
      </w:pPr>
      <w:r>
        <w:rPr>
          <w:rFonts w:ascii="Traditional Arabic" w:hAnsi="Traditional Arabic"/>
          <w:color w:val="282828"/>
          <w:sz w:val="26"/>
        </w:rPr>
        <w:t>ابن عابدين، محمد أمين بن عمر. (ت1252هـ/1992). رد المحتار على الدر المختار: حاشية ابن عابدين (ط2). دار الفكر.</w:t>
      </w:r>
    </w:p>
    <w:p w14:paraId="31B0F6D0" w14:textId="77777777" w:rsidR="002878CA" w:rsidRDefault="00000000" w:rsidP="00965695">
      <w:pPr>
        <w:bidi/>
        <w:spacing w:before="40" w:after="80"/>
        <w:ind w:right="432"/>
      </w:pPr>
      <w:r>
        <w:rPr>
          <w:rFonts w:ascii="Traditional Arabic" w:hAnsi="Traditional Arabic"/>
          <w:color w:val="282828"/>
          <w:sz w:val="26"/>
        </w:rPr>
        <w:t>ابن عابدين، محمد أمين بن عمر. (ت1252هـ/د.ت). نشر العرف في بناء بعض الأحكام على العرف (ضمن مجموع رسائل ابن عابدين، ج2). دار إحياء التراث العربي.</w:t>
      </w:r>
    </w:p>
    <w:p w14:paraId="6CF944D4" w14:textId="77777777" w:rsidR="002878CA" w:rsidRDefault="00000000" w:rsidP="00965695">
      <w:pPr>
        <w:bidi/>
        <w:spacing w:before="40" w:after="80"/>
        <w:ind w:right="432"/>
      </w:pPr>
      <w:r>
        <w:rPr>
          <w:rFonts w:ascii="Traditional Arabic" w:hAnsi="Traditional Arabic"/>
          <w:color w:val="282828"/>
          <w:sz w:val="26"/>
        </w:rPr>
        <w:t>البهوتي، منصور بن يونس. (ت1051هـ/1997). كشاف القناع عن متن الإقناع (تحقيق محمد أمين الضناوي، ط1). دار الكتب العلمية.</w:t>
      </w:r>
    </w:p>
    <w:p w14:paraId="31D26CDB" w14:textId="77777777" w:rsidR="002878CA" w:rsidRDefault="00000000" w:rsidP="00965695">
      <w:pPr>
        <w:bidi/>
        <w:spacing w:before="40" w:after="80"/>
        <w:ind w:right="432"/>
      </w:pPr>
      <w:r>
        <w:rPr>
          <w:rFonts w:ascii="Traditional Arabic" w:hAnsi="Traditional Arabic"/>
          <w:color w:val="282828"/>
          <w:sz w:val="26"/>
        </w:rPr>
        <w:t>البيهقي، أحمد بن الحسين. (ت458هـ/2003). السنن الكبرى (تحقيق محمد عبد القادر عطا، ط3). دار الكتب العلمية.</w:t>
      </w:r>
    </w:p>
    <w:p w14:paraId="70A6E05A" w14:textId="77777777" w:rsidR="002878CA" w:rsidRDefault="00000000" w:rsidP="00965695">
      <w:pPr>
        <w:bidi/>
        <w:spacing w:before="40" w:after="80"/>
        <w:ind w:right="432"/>
      </w:pPr>
      <w:r>
        <w:rPr>
          <w:rFonts w:ascii="Traditional Arabic" w:hAnsi="Traditional Arabic"/>
          <w:color w:val="282828"/>
          <w:sz w:val="26"/>
        </w:rPr>
        <w:t>الزحيلي، وهبة بن مصطفى. (2002). الفقه الإسلامي وأدلته (ط4). دار الفكر.</w:t>
      </w:r>
    </w:p>
    <w:p w14:paraId="4CF9D1E2" w14:textId="77777777" w:rsidR="002878CA" w:rsidRDefault="00000000" w:rsidP="00965695">
      <w:pPr>
        <w:bidi/>
        <w:spacing w:before="40" w:after="80"/>
        <w:ind w:right="432"/>
      </w:pPr>
      <w:r>
        <w:rPr>
          <w:rFonts w:ascii="Traditional Arabic" w:hAnsi="Traditional Arabic"/>
          <w:color w:val="282828"/>
          <w:sz w:val="26"/>
        </w:rPr>
        <w:t>الشاطبي، إبراهيم بن موسى. (ت790هـ/1997). الموافقات في أصول الشريعة (تحقيق مشهور بن حسن آل سلمان، ط1). دار ابن عفان.</w:t>
      </w:r>
    </w:p>
    <w:p w14:paraId="26F5A83D" w14:textId="77777777" w:rsidR="002878CA" w:rsidRDefault="00000000" w:rsidP="00965695">
      <w:pPr>
        <w:bidi/>
        <w:spacing w:before="40" w:after="80"/>
        <w:ind w:right="432"/>
      </w:pPr>
      <w:r>
        <w:rPr>
          <w:rFonts w:ascii="Traditional Arabic" w:hAnsi="Traditional Arabic"/>
          <w:color w:val="282828"/>
          <w:sz w:val="26"/>
        </w:rPr>
        <w:t>العتيبي، فيصل بن عبد الله. (2014). عقد الزواج غير الموثق رسمياً وأحكامه في الفقه الإسلامي (رسالة ماجستير غير منشورة). كلية الشريعة، جامعة أم القرى.</w:t>
      </w:r>
    </w:p>
    <w:p w14:paraId="3943FD88" w14:textId="77777777" w:rsidR="002878CA" w:rsidRDefault="00000000" w:rsidP="00965695">
      <w:pPr>
        <w:bidi/>
        <w:spacing w:before="40" w:after="80"/>
        <w:ind w:right="432"/>
      </w:pPr>
      <w:r>
        <w:rPr>
          <w:rFonts w:ascii="Traditional Arabic" w:hAnsi="Traditional Arabic"/>
          <w:color w:val="282828"/>
          <w:sz w:val="26"/>
        </w:rPr>
        <w:lastRenderedPageBreak/>
        <w:t>الغزالي، أبو حامد محمد بن محمد. (ت505هـ/1993). المستصفى من علم الأصول (تحقيق محمد عبد السلام عبد الشافي، ط1). دار الكتب العلمية.</w:t>
      </w:r>
    </w:p>
    <w:p w14:paraId="00622E4A" w14:textId="77777777" w:rsidR="002878CA" w:rsidRDefault="00000000" w:rsidP="00965695">
      <w:pPr>
        <w:bidi/>
        <w:spacing w:before="40" w:after="80"/>
        <w:ind w:right="432"/>
      </w:pPr>
      <w:r>
        <w:rPr>
          <w:rFonts w:ascii="Traditional Arabic" w:hAnsi="Traditional Arabic"/>
          <w:color w:val="282828"/>
          <w:sz w:val="26"/>
        </w:rPr>
        <w:t>القرافي، شهاب الدين أحمد بن إدريس. (ت684هـ/1994). الفروق: أنوار البروق في أنواء الفروق (ط1). دار الكتب العلمية.</w:t>
      </w:r>
    </w:p>
    <w:p w14:paraId="5196853A" w14:textId="77777777" w:rsidR="002878CA" w:rsidRDefault="00000000" w:rsidP="00965695">
      <w:pPr>
        <w:bidi/>
        <w:spacing w:before="40" w:after="80"/>
        <w:ind w:right="432"/>
      </w:pPr>
      <w:r>
        <w:rPr>
          <w:rFonts w:ascii="Traditional Arabic" w:hAnsi="Traditional Arabic"/>
          <w:color w:val="282828"/>
          <w:sz w:val="26"/>
        </w:rPr>
        <w:t>الكاساني، علاء الدين أبو بكر بن مسعود. (ت587هـ/1986). بدائع الصنائع في ترتيب الشرائع (ط2). دار الكتب العلمية.</w:t>
      </w:r>
    </w:p>
    <w:p w14:paraId="1681F2B1" w14:textId="77777777" w:rsidR="002878CA" w:rsidRDefault="00000000" w:rsidP="00965695">
      <w:pPr>
        <w:bidi/>
        <w:spacing w:before="40" w:after="80"/>
        <w:ind w:right="432"/>
      </w:pPr>
      <w:commentRangeStart w:id="79"/>
      <w:r>
        <w:rPr>
          <w:rFonts w:ascii="Traditional Arabic" w:hAnsi="Traditional Arabic"/>
          <w:color w:val="282828"/>
          <w:sz w:val="26"/>
        </w:rPr>
        <w:t>المجلس الأوروبي للإفتاء والبحوث. (2003). قرارات وفتاوى المجلس الأوروبي للإفتاء والبحوث (القرار 2/11 بشأن توثيق الزواج في الغرب). دار القلم.</w:t>
      </w:r>
      <w:commentRangeEnd w:id="79"/>
      <w:r>
        <w:rPr>
          <w:rStyle w:val="CommentReference"/>
        </w:rPr>
        <w:commentReference w:id="79"/>
      </w:r>
    </w:p>
    <w:p w14:paraId="12483264" w14:textId="77777777" w:rsidR="002878CA" w:rsidRDefault="00000000" w:rsidP="00965695">
      <w:pPr>
        <w:bidi/>
        <w:spacing w:before="40" w:after="80"/>
        <w:ind w:right="432"/>
      </w:pPr>
      <w:commentRangeStart w:id="80"/>
      <w:r>
        <w:rPr>
          <w:rFonts w:ascii="Traditional Arabic" w:hAnsi="Traditional Arabic"/>
          <w:color w:val="282828"/>
          <w:sz w:val="26"/>
        </w:rPr>
        <w:t>مجمع الفقه الإسلامي الدولي. (2008). قرارات وتوصيات مجمع الفقه الإسلامي الدولي (القرار رقم 165 بشأن عقد الزواج غير الموثق). منظمة التعاون الإسلامي.</w:t>
      </w:r>
      <w:commentRangeEnd w:id="80"/>
      <w:r>
        <w:rPr>
          <w:rStyle w:val="CommentReference"/>
        </w:rPr>
        <w:commentReference w:id="80"/>
      </w:r>
    </w:p>
    <w:p w14:paraId="76C1E1BE" w14:textId="77777777" w:rsidR="002878CA" w:rsidRDefault="00000000" w:rsidP="00965695">
      <w:pPr>
        <w:bidi/>
        <w:spacing w:before="40" w:after="80"/>
        <w:ind w:right="432"/>
      </w:pPr>
      <w:r>
        <w:rPr>
          <w:rFonts w:ascii="Traditional Arabic" w:hAnsi="Traditional Arabic"/>
          <w:color w:val="282828"/>
          <w:sz w:val="26"/>
        </w:rPr>
        <w:t>مجلة الأحكام العدلية. (1876). قانون مدني مستمد من الفقه الحنفي (صياغة لجنة علمية برئاسة أحمد جودت باشا). نور محمد كارخانة تجارت كتب.</w:t>
      </w:r>
    </w:p>
    <w:p w14:paraId="06FE37CE" w14:textId="77777777" w:rsidR="002878CA" w:rsidRDefault="00000000" w:rsidP="00965695">
      <w:pPr>
        <w:bidi/>
        <w:spacing w:before="40" w:after="80"/>
        <w:ind w:right="432"/>
      </w:pPr>
      <w:r>
        <w:rPr>
          <w:rFonts w:ascii="Traditional Arabic" w:hAnsi="Traditional Arabic"/>
          <w:color w:val="282828"/>
          <w:sz w:val="26"/>
        </w:rPr>
        <w:t>وزارة العدل المصرية. (1931). لائحة ترتيب المحاكم الشرعية والإجراءات المتعلقة بها (المرسوم بقانون رقم 78 لسنة 1931). المطبعة الأميرية.</w:t>
      </w:r>
    </w:p>
    <w:p w14:paraId="61AF7E06" w14:textId="77777777" w:rsidR="002878CA" w:rsidRDefault="00000000" w:rsidP="00965695">
      <w:pPr>
        <w:bidi/>
        <w:spacing w:before="40" w:after="80"/>
        <w:ind w:left="432"/>
      </w:pPr>
      <w:r>
        <w:rPr>
          <w:rFonts w:ascii="Times New Roman" w:hAnsi="Times New Roman"/>
          <w:color w:val="282828"/>
          <w:sz w:val="21"/>
        </w:rPr>
        <w:t>Bano, S. (2017). Modern family law and religious legal traditions: Unregistered Muslim marriages in England and Wales. Journal of Social Welfare and Family Law, 39(4), 488–505. https://doi.org/10.1080/09649069.2017.1390294</w:t>
      </w:r>
    </w:p>
    <w:p w14:paraId="2482A21E" w14:textId="77777777" w:rsidR="002878CA" w:rsidRPr="009F31FB" w:rsidRDefault="00000000" w:rsidP="00965695">
      <w:pPr>
        <w:bidi/>
        <w:spacing w:before="40" w:after="80"/>
        <w:ind w:left="432"/>
        <w:rPr>
          <w:lang w:val="es-ES"/>
        </w:rPr>
      </w:pPr>
      <w:r w:rsidRPr="009F31FB">
        <w:rPr>
          <w:rFonts w:ascii="Times New Roman" w:hAnsi="Times New Roman"/>
          <w:color w:val="282828"/>
          <w:sz w:val="21"/>
          <w:lang w:val="es-ES"/>
        </w:rPr>
        <w:t>Código Civil y Comercial de la Nación. (2014). Ley 26.994. Aprobado por el Honorable Congreso de la Nación Argentina. Boletín Oficial de la República Argentina.</w:t>
      </w:r>
    </w:p>
    <w:p w14:paraId="42922EFE" w14:textId="77777777" w:rsidR="002878CA" w:rsidRPr="009F31FB" w:rsidRDefault="00000000" w:rsidP="00965695">
      <w:pPr>
        <w:bidi/>
        <w:spacing w:before="40" w:after="80"/>
        <w:ind w:left="432"/>
        <w:rPr>
          <w:lang w:val="es-ES"/>
        </w:rPr>
      </w:pPr>
      <w:r w:rsidRPr="009F31FB">
        <w:rPr>
          <w:rFonts w:ascii="Times New Roman" w:hAnsi="Times New Roman"/>
          <w:color w:val="282828"/>
          <w:sz w:val="21"/>
          <w:lang w:val="es-ES"/>
        </w:rPr>
        <w:t>Corte Europea de Derechos Humanos (TEDH). (2009). Caso Muñoz Díaz c. España (Demanda no. 49151/07). Sentencia de 8 de diciembre de 2009.</w:t>
      </w:r>
    </w:p>
    <w:p w14:paraId="7D2194CB" w14:textId="77777777" w:rsidR="002878CA" w:rsidRPr="009F31FB" w:rsidRDefault="00000000" w:rsidP="00965695">
      <w:pPr>
        <w:bidi/>
        <w:spacing w:before="40" w:after="80"/>
        <w:ind w:left="432"/>
        <w:rPr>
          <w:lang w:val="es-ES"/>
        </w:rPr>
      </w:pPr>
      <w:r w:rsidRPr="009F31FB">
        <w:rPr>
          <w:rFonts w:ascii="Times New Roman" w:hAnsi="Times New Roman"/>
          <w:color w:val="282828"/>
          <w:sz w:val="21"/>
          <w:lang w:val="es-ES"/>
        </w:rPr>
        <w:t>Corte Europea de Derechos Humanos (TEDH). (2010). Caso Şerife Yiğit c. Turquía (Demanda no. 3976/05). Sentencia de Gran Sala de 2 de noviembre de 2010.</w:t>
      </w:r>
    </w:p>
    <w:p w14:paraId="0C563DBD" w14:textId="77777777" w:rsidR="002878CA" w:rsidRDefault="00000000" w:rsidP="00965695">
      <w:pPr>
        <w:bidi/>
        <w:spacing w:before="40" w:after="80"/>
        <w:ind w:left="432"/>
      </w:pPr>
      <w:r w:rsidRPr="009F31FB">
        <w:rPr>
          <w:rFonts w:ascii="Times New Roman" w:hAnsi="Times New Roman"/>
          <w:color w:val="282828"/>
          <w:sz w:val="21"/>
          <w:lang w:val="es-ES"/>
        </w:rPr>
        <w:t xml:space="preserve">Farfán, M. E., &amp; Medina, G. (2018). Las uniones convivenciales en el nuevo Código Civil y Comercial de la Nación. </w:t>
      </w:r>
      <w:r>
        <w:rPr>
          <w:rFonts w:ascii="Times New Roman" w:hAnsi="Times New Roman"/>
          <w:color w:val="282828"/>
          <w:sz w:val="21"/>
        </w:rPr>
        <w:t>Revista La Ley, 2018(3), 112–129.</w:t>
      </w:r>
    </w:p>
    <w:p w14:paraId="638B373A" w14:textId="77777777" w:rsidR="002878CA" w:rsidRDefault="00000000" w:rsidP="00965695">
      <w:pPr>
        <w:bidi/>
        <w:spacing w:before="40" w:after="80"/>
        <w:ind w:left="432"/>
      </w:pPr>
      <w:r>
        <w:rPr>
          <w:rFonts w:ascii="Times New Roman" w:hAnsi="Times New Roman"/>
          <w:color w:val="282828"/>
          <w:sz w:val="21"/>
        </w:rPr>
        <w:t>Ferguson, L. (2018). Unregistered Muslim marriages in the UK: Examining the intersections of religion, law and gender. Oxford Journal of Law and Religion, 7(2), 273–296. https://doi.org/10.1093/ojlr/rwy018</w:t>
      </w:r>
    </w:p>
    <w:p w14:paraId="6ED2956B" w14:textId="77777777" w:rsidR="002878CA" w:rsidRPr="009F31FB" w:rsidRDefault="00000000" w:rsidP="00965695">
      <w:pPr>
        <w:bidi/>
        <w:spacing w:before="40" w:after="80"/>
        <w:ind w:left="432"/>
        <w:rPr>
          <w:lang w:val="es-ES"/>
        </w:rPr>
      </w:pPr>
      <w:r w:rsidRPr="009F31FB">
        <w:rPr>
          <w:rFonts w:ascii="Times New Roman" w:hAnsi="Times New Roman"/>
          <w:color w:val="282828"/>
          <w:sz w:val="21"/>
          <w:lang w:val="es-ES"/>
        </w:rPr>
        <w:t>Herrera, M. (2016). Manual de derecho de las familias (2da ed.). Abeledo Perrot.</w:t>
      </w:r>
    </w:p>
    <w:p w14:paraId="1FBB128C" w14:textId="77777777" w:rsidR="002878CA" w:rsidRPr="009F31FB" w:rsidRDefault="00000000" w:rsidP="00965695">
      <w:pPr>
        <w:bidi/>
        <w:spacing w:before="40" w:after="80"/>
        <w:ind w:left="432"/>
        <w:rPr>
          <w:lang w:val="es-ES"/>
        </w:rPr>
      </w:pPr>
      <w:r w:rsidRPr="009F31FB">
        <w:rPr>
          <w:rFonts w:ascii="Times New Roman" w:hAnsi="Times New Roman"/>
          <w:color w:val="282828"/>
          <w:sz w:val="21"/>
          <w:lang w:val="es-ES"/>
        </w:rPr>
        <w:t>Ley 24.241 del Sistema Integrado de Jubilaciones y Pensiones. (1993). Honorable Congreso de la Nación Argentina. Boletín Oficial.</w:t>
      </w:r>
    </w:p>
    <w:p w14:paraId="66C35541" w14:textId="77777777" w:rsidR="002878CA" w:rsidRPr="009F31FB" w:rsidRDefault="00000000" w:rsidP="00965695">
      <w:pPr>
        <w:bidi/>
        <w:spacing w:before="40" w:after="80"/>
        <w:ind w:left="432"/>
        <w:rPr>
          <w:lang w:val="es-ES"/>
        </w:rPr>
      </w:pPr>
      <w:r w:rsidRPr="009F31FB">
        <w:rPr>
          <w:rFonts w:ascii="Times New Roman" w:hAnsi="Times New Roman"/>
          <w:color w:val="282828"/>
          <w:sz w:val="21"/>
          <w:lang w:val="es-ES"/>
        </w:rPr>
        <w:t>Ley 25.326 de Protección de los Datos Personales. (2000). Honorable Congreso de la Nación Argentina. Boletín Oficial.</w:t>
      </w:r>
    </w:p>
    <w:p w14:paraId="6EAA9AFE" w14:textId="77777777" w:rsidR="002878CA" w:rsidRPr="009F31FB" w:rsidRDefault="00000000" w:rsidP="00965695">
      <w:pPr>
        <w:bidi/>
        <w:spacing w:before="40" w:after="80"/>
        <w:ind w:left="432"/>
        <w:rPr>
          <w:lang w:val="es-ES"/>
        </w:rPr>
      </w:pPr>
      <w:r w:rsidRPr="009F31FB">
        <w:rPr>
          <w:rFonts w:ascii="Times New Roman" w:hAnsi="Times New Roman"/>
          <w:color w:val="282828"/>
          <w:sz w:val="21"/>
          <w:lang w:val="es-ES"/>
        </w:rPr>
        <w:t>Ley 26/1992 de Cooperación del Estado Español con la Comisión Islámica de España. (1992). Boletín Oficial del Estado (BOE), España.</w:t>
      </w:r>
    </w:p>
    <w:p w14:paraId="2208F032" w14:textId="77777777" w:rsidR="002878CA" w:rsidRDefault="00000000" w:rsidP="00965695">
      <w:pPr>
        <w:bidi/>
        <w:spacing w:before="40" w:after="80"/>
        <w:ind w:left="432"/>
      </w:pPr>
      <w:r w:rsidRPr="009F31FB">
        <w:rPr>
          <w:rFonts w:ascii="Times New Roman" w:hAnsi="Times New Roman"/>
          <w:color w:val="282828"/>
          <w:sz w:val="21"/>
          <w:lang w:val="es-ES"/>
        </w:rPr>
        <w:t xml:space="preserve">Tribunal de Apelación de Inglaterra y Gales (Court </w:t>
      </w:r>
      <w:proofErr w:type="spellStart"/>
      <w:r w:rsidRPr="009F31FB">
        <w:rPr>
          <w:rFonts w:ascii="Times New Roman" w:hAnsi="Times New Roman"/>
          <w:color w:val="282828"/>
          <w:sz w:val="21"/>
          <w:lang w:val="es-ES"/>
        </w:rPr>
        <w:t>of</w:t>
      </w:r>
      <w:proofErr w:type="spellEnd"/>
      <w:r w:rsidRPr="009F31FB">
        <w:rPr>
          <w:rFonts w:ascii="Times New Roman" w:hAnsi="Times New Roman"/>
          <w:color w:val="282828"/>
          <w:sz w:val="21"/>
          <w:lang w:val="es-ES"/>
        </w:rPr>
        <w:t xml:space="preserve"> Appeal). </w:t>
      </w:r>
      <w:r>
        <w:rPr>
          <w:rFonts w:ascii="Times New Roman" w:hAnsi="Times New Roman"/>
          <w:color w:val="282828"/>
          <w:sz w:val="21"/>
        </w:rPr>
        <w:t>(2020). Case: Attorney General v Akhter [2020] EWCA Civ 122.</w:t>
      </w:r>
    </w:p>
    <w:p w14:paraId="4BF3739F" w14:textId="77777777" w:rsidR="002878CA" w:rsidRPr="009F31FB" w:rsidRDefault="00000000" w:rsidP="00965695">
      <w:pPr>
        <w:bidi/>
        <w:spacing w:before="40" w:after="80"/>
        <w:ind w:left="432"/>
        <w:rPr>
          <w:lang w:val="es-ES"/>
        </w:rPr>
      </w:pPr>
      <w:r w:rsidRPr="009F31FB">
        <w:rPr>
          <w:rFonts w:ascii="Times New Roman" w:hAnsi="Times New Roman"/>
          <w:color w:val="282828"/>
          <w:sz w:val="21"/>
          <w:lang w:val="es-ES"/>
        </w:rPr>
        <w:t xml:space="preserve">Tribunal Supremo Federal de Brasil (STF). (2017). Recurso Extraordinario </w:t>
      </w:r>
      <w:proofErr w:type="gramStart"/>
      <w:r w:rsidRPr="009F31FB">
        <w:rPr>
          <w:rFonts w:ascii="Times New Roman" w:hAnsi="Times New Roman"/>
          <w:color w:val="282828"/>
          <w:sz w:val="21"/>
          <w:lang w:val="es-ES"/>
        </w:rPr>
        <w:t>RE 878.694</w:t>
      </w:r>
      <w:proofErr w:type="gramEnd"/>
      <w:r w:rsidRPr="009F31FB">
        <w:rPr>
          <w:rFonts w:ascii="Times New Roman" w:hAnsi="Times New Roman"/>
          <w:color w:val="282828"/>
          <w:sz w:val="21"/>
          <w:lang w:val="es-ES"/>
        </w:rPr>
        <w:t xml:space="preserve"> (Tema 809 de Repercusión General).</w:t>
      </w:r>
    </w:p>
    <w:sectPr w:rsidR="002878CA" w:rsidRPr="009F31FB" w:rsidSect="00034616">
      <w:headerReference w:type="even" r:id="rId8"/>
      <w:headerReference w:type="default" r:id="rId9"/>
      <w:footerReference w:type="even" r:id="rId10"/>
      <w:footerReference w:type="default" r:id="rId11"/>
      <w:headerReference w:type="first" r:id="rId12"/>
      <w:footerReference w:type="first" r:id="rId13"/>
      <w:pgSz w:w="11909" w:h="16834"/>
      <w:pgMar w:top="1440" w:right="1440" w:bottom="1440" w:left="1440"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Claude (مراجعة)" w:initials="CL" w:date="2026-10-19T05:59:47Z">
    <w:p>
      <w:pPr>
        <w:pStyle w:val="CommentText"/>
      </w:pPr>
      <w:r>
        <w:rPr>
          <w:rStyle w:val="CommentReference"/>
        </w:rPr>
        <w:annotationRef/>
      </w:r>
      <w:r>
        <w:t>الملخص العربي نحو 210 كلمات، والكتيب يطلب 250 فأكثر. وتوصيته الأخيرة تمنع «أي عقد شرعي» بلا استثناء، فتُقيَّد بالعذر كما في التوصية الأولى المقترحة. التقرير، عاشرًا ٢ وتاسعًا ٤.</w:t>
      </w:r>
    </w:p>
  </w:comment>
  <w:comment w:id="1" w:author="Claude (مراجعة)" w:initials="CL" w:date="2026-10-19T05:59:47Z">
    <w:p>
      <w:pPr>
        <w:pStyle w:val="CommentText"/>
      </w:pPr>
      <w:r>
        <w:rPr>
          <w:rStyle w:val="CommentReference"/>
        </w:rPr>
        <w:annotationRef/>
      </w:r>
      <w:r>
        <w:t>توحيد درجة الحكم على الصيغة المقررة في ملف التسليم. التقرير، رابعًا ٥.</w:t>
      </w:r>
    </w:p>
  </w:comment>
  <w:comment w:id="2" w:author="Claude (مراجعة)" w:initials="CL" w:date="2026-10-19T05:59:47Z">
    <w:p>
      <w:pPr>
        <w:pStyle w:val="CommentText"/>
      </w:pPr>
      <w:r>
        <w:rPr>
          <w:rStyle w:val="CommentReference"/>
        </w:rPr>
        <w:annotationRef/>
      </w:r>
      <w:r>
        <w:t>المادة 406: العقد الديني «no produce efectos civiles»؛ والمادتان 524–525: «compensación económica» تسقط بعد ستة أشهر من سبب الانتهاء. التقرير، ثامنًا ٢.</w:t>
      </w:r>
    </w:p>
  </w:comment>
  <w:comment w:id="3" w:author="Claude (مراجعة)" w:initials="CL" w:date="2026-10-19T05:59:47Z">
    <w:p>
      <w:pPr>
        <w:pStyle w:val="CommentText"/>
      </w:pPr>
      <w:r>
        <w:rPr>
          <w:rStyle w:val="CommentReference"/>
        </w:rPr>
        <w:annotationRef/>
      </w:r>
      <w:r>
        <w:t>المادة 513: «Este pacto debe ser hecho por escrito». التقرير، ثامنًا ٤.</w:t>
      </w:r>
    </w:p>
  </w:comment>
  <w:comment w:id="4" w:author="Claude (مراجعة)" w:initials="CL" w:date="2026-10-19T05:59:47Z">
    <w:p>
      <w:pPr>
        <w:pStyle w:val="CommentText"/>
      </w:pPr>
      <w:r>
        <w:rPr>
          <w:rStyle w:val="CommentReference"/>
        </w:rPr>
        <w:annotationRef/>
      </w:r>
      <w:r>
        <w:t>توحيد المصطلح مع المتن. التقرير، عاشرًا ٢.</w:t>
      </w:r>
    </w:p>
  </w:comment>
  <w:comment w:id="5" w:author="Claude (مراجعة)" w:initials="CL" w:date="2026-10-19T05:59:47Z">
    <w:p>
      <w:pPr>
        <w:pStyle w:val="CommentText"/>
      </w:pPr>
      <w:r>
        <w:rPr>
          <w:rStyle w:val="CommentReference"/>
        </w:rPr>
        <w:annotationRef/>
      </w:r>
      <w:r>
        <w:t>الملخص الإنجليزي نحو 223 كلمة، والمطلوب 250 فأكثر. التقرير، عاشرًا ٢.</w:t>
      </w:r>
    </w:p>
  </w:comment>
  <w:comment w:id="6" w:author="Claude (مراجعة)" w:initials="CL" w:date="2026-10-19T05:59:47Z">
    <w:p>
      <w:pPr>
        <w:pStyle w:val="CommentText"/>
      </w:pPr>
      <w:r>
        <w:rPr>
          <w:rStyle w:val="CommentReference"/>
        </w:rPr>
        <w:annotationRef/>
      </w:r>
      <w:r>
        <w:t>توحيد المصطلح مع المتن. التقرير، عاشرًا ٢.</w:t>
      </w:r>
    </w:p>
  </w:comment>
  <w:comment w:id="7" w:author="Claude (مراجعة)" w:initials="CL" w:date="2026-10-19T05:59:47Z">
    <w:p>
      <w:pPr>
        <w:pStyle w:val="CommentText"/>
      </w:pPr>
      <w:r>
        <w:rPr>
          <w:rStyle w:val="CommentReference"/>
        </w:rPr>
        <w:annotationRef/>
      </w:r>
      <w:r>
        <w:t>المادتان 406 و510. التقرير، ثامنًا ٢.</w:t>
      </w:r>
    </w:p>
  </w:comment>
  <w:comment w:id="8" w:author="Claude (مراجعة)" w:initials="CL" w:date="2026-10-19T05:59:47Z">
    <w:p>
      <w:pPr>
        <w:pStyle w:val="CommentText"/>
      </w:pPr>
      <w:r>
        <w:rPr>
          <w:rStyle w:val="CommentReference"/>
        </w:rPr>
        <w:annotationRef/>
      </w:r>
      <w:r>
        <w:t>المادة 525: المدة تبدأ من سبب الانتهاء المعدد في المادة 523، لا من «الانفصال» عمومًا. التقرير، ثامنًا ٢.</w:t>
      </w:r>
    </w:p>
  </w:comment>
  <w:comment w:id="9" w:author="Claude (مراجعة)" w:initials="CL" w:date="2026-10-19T05:59:47Z">
    <w:p>
      <w:pPr>
        <w:pStyle w:val="CommentText"/>
      </w:pPr>
      <w:r>
        <w:rPr>
          <w:rStyle w:val="CommentReference"/>
        </w:rPr>
        <w:annotationRef/>
      </w:r>
      <w:r>
        <w:t>بيانات الدراستين في الحاشيتين 3 و4 (المجلة والعدد والصفحات) لم أطابقها. والموضع في المستلة المعدَّلة ما زال فارغًا. التقرير، عاشرًا ٤.</w:t>
      </w:r>
    </w:p>
  </w:comment>
  <w:comment w:id="10" w:author="Claude (مراجعة)" w:initials="CL" w:date="2026-10-19T05:59:47Z">
    <w:p>
      <w:pPr>
        <w:pStyle w:val="CommentText"/>
      </w:pPr>
      <w:r>
        <w:rPr>
          <w:rStyle w:val="CommentReference"/>
        </w:rPr>
        <w:annotationRef/>
      </w:r>
      <w:r>
        <w:t>حذف الرمز التنظيمي (قاعدة ملف التسليم)، والصياغة باقية.</w:t>
      </w:r>
    </w:p>
  </w:comment>
  <w:comment w:id="11" w:author="Claude (مراجعة)" w:initials="CL" w:date="2026-10-19T05:59:47Z">
    <w:p>
      <w:pPr>
        <w:pStyle w:val="CommentText"/>
      </w:pPr>
      <w:r>
        <w:rPr>
          <w:rStyle w:val="CommentReference"/>
        </w:rPr>
        <w:annotationRef/>
      </w:r>
      <w:r>
        <w:t>حذف الرمز. ويُستحسن أن يصير الصندوق فقرة عادية. التقرير، ثالثًا.</w:t>
      </w:r>
    </w:p>
  </w:comment>
  <w:comment w:id="12" w:author="Claude (مراجعة)" w:initials="CL" w:date="2026-10-19T05:59:47Z">
    <w:p>
      <w:pPr>
        <w:pStyle w:val="CommentText"/>
      </w:pPr>
      <w:r>
        <w:rPr>
          <w:rStyle w:val="CommentReference"/>
        </w:rPr>
        <w:annotationRef/>
      </w:r>
      <w:r>
        <w:t>قاعدة ملف التسليم: «البحث» لا «الباحث». والمقدمة المعدَّلة (المستلة) خالية منها، فتُنقل إلى هذه النسخة. التقرير، ثالثًا.</w:t>
      </w:r>
    </w:p>
  </w:comment>
  <w:comment w:id="13" w:author="Claude (مراجعة)" w:initials="CL" w:date="2026-10-19T05:59:47Z">
    <w:p>
      <w:pPr>
        <w:pStyle w:val="CommentText"/>
      </w:pPr>
      <w:r>
        <w:rPr>
          <w:rStyle w:val="CommentReference"/>
        </w:rPr>
        <w:annotationRef/>
      </w:r>
      <w:r>
        <w:t>كالملاحظة السابقة في «الباحث».</w:t>
      </w:r>
    </w:p>
  </w:comment>
  <w:comment w:id="14" w:author="Claude (مراجعة)" w:initials="CL" w:date="2026-10-19T05:59:47Z">
    <w:p>
      <w:pPr>
        <w:pStyle w:val="CommentText"/>
      </w:pPr>
      <w:r>
        <w:rPr>
          <w:rStyle w:val="CommentReference"/>
        </w:rPr>
        <w:annotationRef/>
      </w:r>
      <w:r>
        <w:t>المصطلح القانوني «المقابل الاقتصادي» (compensación económica)؛ والعنوان تُرك كما هو.</w:t>
      </w:r>
    </w:p>
  </w:comment>
  <w:comment w:id="15" w:author="Claude (مراجعة)" w:initials="CL" w:date="2026-10-19T05:59:47Z">
    <w:p>
      <w:pPr>
        <w:pStyle w:val="CommentText"/>
      </w:pPr>
      <w:r>
        <w:rPr>
          <w:rStyle w:val="CommentReference"/>
        </w:rPr>
        <w:annotationRef/>
      </w:r>
      <w:r>
        <w:t>توحيد المصطلح بحسب المادة 524.</w:t>
      </w:r>
    </w:p>
  </w:comment>
  <w:comment w:id="16" w:author="Claude (مراجعة)" w:initials="CL" w:date="2026-10-19T05:59:47Z">
    <w:p>
      <w:pPr>
        <w:pStyle w:val="CommentText"/>
      </w:pPr>
      <w:r>
        <w:rPr>
          <w:rStyle w:val="CommentReference"/>
        </w:rPr>
        <w:annotationRef/>
      </w:r>
      <w:r>
        <w:t>المهر ليس شرطًا لصحة النكاح عند الجمهور، ويجب مهر المثل عند السكوت عنه؛ فيُذكر أثرًا من آثار العقد. التقرير، ثالثًا ورابعًا ٧.</w:t>
      </w:r>
    </w:p>
  </w:comment>
  <w:comment w:id="17" w:author="Claude (مراجعة)" w:initials="CL" w:date="2026-10-19T05:59:47Z">
    <w:p>
      <w:pPr>
        <w:pStyle w:val="CommentText"/>
      </w:pPr>
      <w:r>
        <w:rPr>
          <w:rStyle w:val="CommentReference"/>
        </w:rPr>
        <w:annotationRef/>
      </w:r>
      <w:r>
        <w:t>وصف القطع زائد على الحاجة. التقرير، رابعًا ٧.</w:t>
      </w:r>
    </w:p>
  </w:comment>
  <w:comment w:id="18" w:author="Claude (مراجعة)" w:initials="CL" w:date="2026-10-19T05:59:47Z">
    <w:p>
      <w:pPr>
        <w:pStyle w:val="CommentText"/>
      </w:pPr>
      <w:r>
        <w:rPr>
          <w:rStyle w:val="CommentReference"/>
        </w:rPr>
        <w:annotationRef/>
      </w:r>
      <w:r>
        <w:t>تكرار «الواجب الواجب»، و«عينًا» توهم مقابلة الكفائي. التقرير، رابعًا ٧.</w:t>
      </w:r>
    </w:p>
  </w:comment>
  <w:comment w:id="19" w:author="Claude (مراجعة)" w:initials="CL" w:date="2026-10-19T05:59:47Z">
    <w:p>
      <w:pPr>
        <w:pStyle w:val="CommentText"/>
      </w:pPr>
      <w:r>
        <w:rPr>
          <w:rStyle w:val="CommentReference"/>
        </w:rPr>
        <w:annotationRef/>
      </w:r>
      <w:r>
        <w:t>سد الذرائع يُستدل به هنا مؤيدًا لمقدمة الواجب لا أصلًا مستقلًا؛ لاختلاف المذاهب في حدود إعماله. التقرير، رابعًا ٧.</w:t>
      </w:r>
    </w:p>
  </w:comment>
  <w:comment w:id="20" w:author="Claude (مراجعة)" w:initials="CL" w:date="2026-10-19T05:59:47Z">
    <w:p>
      <w:pPr>
        <w:pStyle w:val="CommentText"/>
      </w:pPr>
      <w:r>
        <w:rPr>
          <w:rStyle w:val="CommentReference"/>
        </w:rPr>
        <w:annotationRef/>
      </w:r>
      <w:r>
        <w:t>قال الشافعي: «وقد رُوي من وجه لا يُثبت أهل الحديث مثله…» (الأم 7/96–97؛ البيهقي ت التركي 12/130). والكاساني 4/210 لم يذكر قول علي. التقرير، خامسًا ٢/ز ومراجعة التوثيق.</w:t>
      </w:r>
    </w:p>
  </w:comment>
  <w:comment w:id="21" w:author="Claude (مراجعة)" w:initials="CL" w:date="2026-10-19T05:59:47Z">
    <w:p>
      <w:pPr>
        <w:pStyle w:val="CommentText"/>
      </w:pPr>
      <w:r>
        <w:rPr>
          <w:rStyle w:val="CommentReference"/>
        </w:rPr>
        <w:annotationRef/>
      </w:r>
      <w:r>
        <w:t>لم أجد «ديوان الشهود المعدلين» في تبصرة الحكام 1/195 (ط الشاملة). والموثق: الهداية 3/118 «والفتوى على قولهما في هذا الزمان»، والكندي ص361. التقرير، خامسًا ٢/د.</w:t>
      </w:r>
    </w:p>
  </w:comment>
  <w:comment w:id="22" w:author="Claude (مراجعة)" w:initials="CL" w:date="2026-10-19T05:59:47Z">
    <w:p>
      <w:pPr>
        <w:pStyle w:val="CommentText"/>
      </w:pPr>
      <w:r>
        <w:rPr>
          <w:rStyle w:val="CommentReference"/>
        </w:rPr>
        <w:annotationRef/>
      </w:r>
      <w:r>
        <w:t>ابن القيم في الموضع المحال إليه رجّح خلافه: «أنه لا يُحبس في شيء من ذلك، إلا أن يظهر بقرينة أنه قادر مماطل» (ط البيان ص56–57). فيُحذف النظير أو يُنسب إلى مصدر فقهي آخر. التقرير، خامسًا ١.</w:t>
      </w:r>
    </w:p>
  </w:comment>
  <w:comment w:id="23" w:author="Claude (مراجعة)" w:initials="CL" w:date="2026-10-19T05:59:47Z">
    <w:p>
      <w:pPr>
        <w:pStyle w:val="CommentText"/>
      </w:pPr>
      <w:r>
        <w:rPr>
          <w:rStyle w:val="CommentReference"/>
        </w:rPr>
        <w:annotationRef/>
      </w:r>
      <w:r>
        <w:t>خطأ مطبعي.</w:t>
      </w:r>
    </w:p>
  </w:comment>
  <w:comment w:id="24" w:author="Claude (مراجعة)" w:initials="CL" w:date="2026-10-19T05:59:47Z">
    <w:p>
      <w:pPr>
        <w:pStyle w:val="CommentText"/>
      </w:pPr>
      <w:r>
        <w:rPr>
          <w:rStyle w:val="CommentReference"/>
        </w:rPr>
        <w:annotationRef/>
      </w:r>
      <w:r>
        <w:t>حذف الرمز. وتُقترح فقرة الجامع والحدود مكان الصندوق (فقرة فقهية). التقرير، خامسًا ٣.</w:t>
      </w:r>
    </w:p>
  </w:comment>
  <w:comment w:id="25" w:author="Claude (مراجعة)" w:initials="CL" w:date="2026-10-19T05:59:47Z">
    <w:p>
      <w:pPr>
        <w:pStyle w:val="CommentText"/>
      </w:pPr>
      <w:r>
        <w:rPr>
          <w:rStyle w:val="CommentReference"/>
        </w:rPr>
        <w:annotationRef/>
      </w:r>
      <w:r>
        <w:t>لفظ «المؤقت» في النكاح ينصرف إلى نكاح المتعة الباطل، والمراد عقد مؤبد يتأخر قيده. التقرير، ثالثًا.</w:t>
      </w:r>
    </w:p>
  </w:comment>
  <w:comment w:id="26" w:author="Claude (مراجعة)" w:initials="CL" w:date="2026-10-19T05:59:47Z">
    <w:p>
      <w:pPr>
        <w:pStyle w:val="CommentText"/>
      </w:pPr>
      <w:r>
        <w:rPr>
          <w:rStyle w:val="CommentReference"/>
        </w:rPr>
        <w:annotationRef/>
      </w:r>
      <w:r>
        <w:t>حذف الرمز. ودرجة الحكم هنا «الأكمل والأحوط»، وفي الملخص «واجب»؛ فتوحَّد على: التوثيق متعيّن عند القدرة، وبدائل لذوي العذر بضوابط وحد زمني. التقرير، رابعًا ٥.</w:t>
      </w:r>
    </w:p>
  </w:comment>
  <w:comment w:id="27" w:author="Claude (مراجعة)" w:initials="CL" w:date="2026-10-19T05:59:47Z">
    <w:p>
      <w:pPr>
        <w:pStyle w:val="CommentText"/>
      </w:pPr>
      <w:r>
        <w:rPr>
          <w:rStyle w:val="CommentReference"/>
        </w:rPr>
        <w:annotationRef/>
      </w:r>
      <w:r>
        <w:t>406 شرط وجود، و418 شكل الانعقاد، و423 الإثبات؛ والفقرة 3 من 423: حيازة الحال لا تكفي بديلًا عن المحضر. التقرير، ثامنًا ١ و٢.</w:t>
      </w:r>
    </w:p>
  </w:comment>
  <w:comment w:id="28" w:author="Claude (مراجعة)" w:initials="CL" w:date="2026-10-19T05:59:47Z">
    <w:p>
      <w:pPr>
        <w:pStyle w:val="CommentText"/>
      </w:pPr>
      <w:r>
        <w:rPr>
          <w:rStyle w:val="CommentReference"/>
        </w:rPr>
        <w:annotationRef/>
      </w:r>
      <w:r>
        <w:t>المواد 509–528 تنظّم المعاشرة نفسها لا العقد الديني. التقرير، ثامنًا ٢.</w:t>
      </w:r>
    </w:p>
  </w:comment>
  <w:comment w:id="29" w:author="Claude (مراجعة)" w:initials="CL" w:date="2026-10-19T05:59:47Z">
    <w:p>
      <w:pPr>
        <w:pStyle w:val="CommentText"/>
      </w:pPr>
      <w:r>
        <w:rPr>
          <w:rStyle w:val="CommentReference"/>
        </w:rPr>
        <w:annotationRef/>
      </w:r>
      <w:r>
        <w:t>2621 في الاختصاص القضائي، والقانون الواجب التطبيق في 2622. وفقرتها الثانية: لا يُعترف بزواج أجنبي قام فيه مانع المادة 403/د (الزواج السابق القائم). التقرير، ثامنًا ٣.</w:t>
      </w:r>
    </w:p>
  </w:comment>
  <w:comment w:id="30" w:author="Claude (مراجعة)" w:initials="CL" w:date="2026-10-19T05:59:47Z">
    <w:p>
      <w:pPr>
        <w:pStyle w:val="CommentText"/>
      </w:pPr>
      <w:r>
        <w:rPr>
          <w:rStyle w:val="CommentReference"/>
        </w:rPr>
        <w:annotationRef/>
      </w:r>
      <w:r>
        <w:t>صدر المادة 510: «El reconocimiento de los efectos jurídicos… requiere que». ويُضاف البند (د): «no tengan impedimento de ligamen»، وهو حكم الزوجة الثانية. التقرير، ثامنًا ٣.</w:t>
      </w:r>
    </w:p>
  </w:comment>
  <w:comment w:id="31" w:author="Claude (مراجعة)" w:initials="CL" w:date="2026-10-19T05:59:47Z">
    <w:p>
      <w:pPr>
        <w:pStyle w:val="CommentText"/>
      </w:pPr>
      <w:r>
        <w:rPr>
          <w:rStyle w:val="CommentReference"/>
        </w:rPr>
        <w:annotationRef/>
      </w:r>
      <w:r>
        <w:t>توحيد المصطلح على «المساكنة» (قاعدة ملف التسليم).</w:t>
      </w:r>
    </w:p>
  </w:comment>
  <w:comment w:id="32" w:author="Claude (مراجعة)" w:initials="CL" w:date="2026-10-19T05:59:47Z">
    <w:p>
      <w:pPr>
        <w:pStyle w:val="CommentText"/>
      </w:pPr>
      <w:r>
        <w:rPr>
          <w:rStyle w:val="CommentReference"/>
        </w:rPr>
        <w:annotationRef/>
      </w:r>
      <w:r>
        <w:t>نص 2444: «los descendientes, los ascendientes y el cónyuge»، وهي في النصيب المحفوظ لا في ترتيب الورثة. وعدم توريث المتساكن مستنده مواد الإرث بلا وصية (2424 وما بعدها)، ولم أطّلع عليها. التقرير، ثامنًا ٢.</w:t>
      </w:r>
    </w:p>
  </w:comment>
  <w:comment w:id="33" w:author="Claude (مراجعة)" w:initials="CL" w:date="2026-10-19T05:59:47Z">
    <w:p>
      <w:pPr>
        <w:pStyle w:val="CommentText"/>
      </w:pPr>
      <w:r>
        <w:rPr>
          <w:rStyle w:val="CommentReference"/>
        </w:rPr>
        <w:annotationRef/>
      </w:r>
      <w:r>
        <w:t>توحيد المصطلح على «المساكنة».</w:t>
      </w:r>
    </w:p>
  </w:comment>
  <w:comment w:id="34" w:author="Claude (مراجعة)" w:initials="CL" w:date="2026-10-19T05:59:47Z">
    <w:p>
      <w:pPr>
        <w:pStyle w:val="CommentText"/>
      </w:pPr>
      <w:r>
        <w:rPr>
          <w:rStyle w:val="CommentReference"/>
        </w:rPr>
        <w:annotationRef/>
      </w:r>
      <w:r>
        <w:t>توحيد المصطلح.</w:t>
      </w:r>
    </w:p>
  </w:comment>
  <w:comment w:id="35" w:author="Claude (مراجعة)" w:initials="CL" w:date="2026-10-19T05:59:47Z">
    <w:p>
      <w:pPr>
        <w:pStyle w:val="CommentText"/>
      </w:pPr>
      <w:r>
        <w:rPr>
          <w:rStyle w:val="CommentReference"/>
        </w:rPr>
        <w:annotationRef/>
      </w:r>
      <w:r>
        <w:t>المادة 524: «una prestación única o… una renta por un tiempo determinado que no puede ser mayor a la duración de la unión convivencial». التقرير، ثامنًا ٢.</w:t>
      </w:r>
    </w:p>
  </w:comment>
  <w:comment w:id="36" w:author="Claude (مراجعة)" w:initials="CL" w:date="2026-10-19T05:59:47Z">
    <w:p>
      <w:pPr>
        <w:pStyle w:val="CommentText"/>
      </w:pPr>
      <w:r>
        <w:rPr>
          <w:rStyle w:val="CommentReference"/>
        </w:rPr>
        <w:annotationRef/>
      </w:r>
      <w:r>
        <w:t>تكملة الترجمة بحسب النص: «…enumeradas en el artículo 523».</w:t>
      </w:r>
    </w:p>
  </w:comment>
  <w:comment w:id="37" w:author="Claude (مراجعة)" w:initials="CL" w:date="2026-10-19T05:59:47Z">
    <w:p>
      <w:pPr>
        <w:pStyle w:val="CommentText"/>
      </w:pPr>
      <w:r>
        <w:rPr>
          <w:rStyle w:val="CommentReference"/>
        </w:rPr>
        <w:annotationRef/>
      </w:r>
      <w:r>
        <w:t>المادة 442: «caduca a los seis meses de haberse dictado la sentencia de divorcio». والفرق يقوّي حجة الورقة في ضياع الحق أثناء مساعي الصلح. التقرير، ثامنًا ٢.</w:t>
      </w:r>
    </w:p>
  </w:comment>
  <w:comment w:id="38" w:author="Claude (مراجعة)" w:initials="CL" w:date="2026-10-19T05:59:47Z">
    <w:p>
      <w:pPr>
        <w:pStyle w:val="CommentText"/>
      </w:pPr>
      <w:r>
        <w:rPr>
          <w:rStyle w:val="CommentReference"/>
        </w:rPr>
        <w:annotationRef/>
      </w:r>
      <w:r>
        <w:t>المادة 526، البندان (a) و(b)، و«no puede exceder de dos años a contarse desde… el cese de la convivencia». التقرير، ثامنًا ٢.</w:t>
      </w:r>
    </w:p>
  </w:comment>
  <w:comment w:id="39" w:author="Claude (مراجعة)" w:initials="CL" w:date="2026-10-19T05:59:47Z">
    <w:p>
      <w:pPr>
        <w:pStyle w:val="CommentText"/>
      </w:pPr>
      <w:r>
        <w:rPr>
          <w:rStyle w:val="CommentReference"/>
        </w:rPr>
        <w:annotationRef/>
      </w:r>
      <w:r>
        <w:t>المادة 2383: «derecho real de habitación vitalicio y gratuito de pleno derecho». التقرير، ثامنًا ٢.</w:t>
      </w:r>
    </w:p>
  </w:comment>
  <w:comment w:id="40" w:author="Claude (مراجعة)" w:initials="CL" w:date="2026-10-19T05:59:47Z">
    <w:p>
      <w:pPr>
        <w:pStyle w:val="CommentText"/>
      </w:pPr>
      <w:r>
        <w:rPr>
          <w:rStyle w:val="CommentReference"/>
        </w:rPr>
        <w:annotationRef/>
      </w:r>
      <w:r>
        <w:t>عنوان المادة 53 من القانون 24.241: «Pensión por fallecimiento. Derechohabientes». والنص المحدَّث للمادة لم أحصل عليه. التقرير، ثامنًا ٢.</w:t>
      </w:r>
    </w:p>
  </w:comment>
  <w:comment w:id="41" w:author="Claude (مراجعة)" w:initials="CL" w:date="2026-10-19T05:59:47Z">
    <w:p>
      <w:pPr>
        <w:pStyle w:val="CommentText"/>
      </w:pPr>
      <w:r>
        <w:rPr>
          <w:rStyle w:val="CommentReference"/>
        </w:rPr>
        <w:annotationRef/>
      </w:r>
      <w:r>
        <w:t>النص: «descendencia reconocida por ambos convivientes»؛ فإن لم يعترف الأب بالولد بقيت المدة خمس سنوات، وهذا يصل المطلب الثالث بالرابع.</w:t>
      </w:r>
    </w:p>
  </w:comment>
  <w:comment w:id="42" w:author="Claude (مراجعة)" w:initials="CL" w:date="2026-10-19T05:59:47Z">
    <w:p>
      <w:pPr>
        <w:pStyle w:val="CommentText"/>
      </w:pPr>
      <w:r>
        <w:rPr>
          <w:rStyle w:val="CommentReference"/>
        </w:rPr>
        <w:annotationRef/>
      </w:r>
      <w:r>
        <w:t>الجنسية بحق الإقليم مقررة في القانون 346 (المادة 1) لا في نص الدستور مباشرة بحسب ما ظهر لي، ولم أقرأ نصه؛ وكذلك المادتان 565 و566 لم أطابقهما. تُطابق قبل التسليم. التقرير، ثامنًا ٧.</w:t>
      </w:r>
    </w:p>
  </w:comment>
  <w:comment w:id="43" w:author="Claude (مراجعة)" w:initials="CL" w:date="2026-10-19T05:59:47Z">
    <w:p>
      <w:pPr>
        <w:pStyle w:val="CommentText"/>
      </w:pPr>
      <w:r>
        <w:rPr>
          <w:rStyle w:val="CommentReference"/>
        </w:rPr>
        <w:annotationRef/>
      </w:r>
      <w:r>
        <w:t>المادة 571، البنود (a) و(b) و(c). والوصية منها مخرج عملي يتصل بالمبحث الرابع. التقرير، ثامنًا ٢.</w:t>
      </w:r>
    </w:p>
  </w:comment>
  <w:comment w:id="44" w:author="Claude (مراجعة)" w:initials="CL" w:date="2026-10-19T05:59:47Z">
    <w:p>
      <w:pPr>
        <w:pStyle w:val="CommentText"/>
      </w:pPr>
      <w:r>
        <w:rPr>
          <w:rStyle w:val="CommentReference"/>
        </w:rPr>
        <w:annotationRef/>
      </w:r>
      <w:r>
        <w:t>المادة 579، الفقرتان 2 و3؛ وهما جواب حالة وفاة الأب فجأة المذكورة بعدُ. التقرير، ثامنًا ٢.</w:t>
      </w:r>
    </w:p>
  </w:comment>
  <w:comment w:id="45" w:author="Claude (مراجعة)" w:initials="CL" w:date="2026-10-19T05:59:47Z">
    <w:p>
      <w:pPr>
        <w:pStyle w:val="CommentText"/>
      </w:pPr>
      <w:r>
        <w:rPr>
          <w:rStyle w:val="CommentReference"/>
        </w:rPr>
        <w:annotationRef/>
      </w:r>
      <w:r>
        <w:t>نص 433-21 نقلته من Juritravail («Entrée en vigueur 2021-08-26»)، وهو مصدر ثانوي؛ تجب مطابقته على Légifrance. التقرير، ثامنًا ٦.</w:t>
      </w:r>
    </w:p>
  </w:comment>
  <w:comment w:id="46" w:author="Claude (مراجعة)" w:initials="CL" w:date="2026-10-19T05:59:47Z">
    <w:p>
      <w:pPr>
        <w:pStyle w:val="CommentText"/>
      </w:pPr>
      <w:r>
        <w:rPr>
          <w:rStyle w:val="CommentReference"/>
        </w:rPr>
        <w:annotationRef/>
      </w:r>
      <w:r>
        <w:t>نص المادة 642 منقول بواسطة دراسة Christians (UCLouvain)، ولم أقرأ الجريدة الرسمية. التقرير، ثامنًا ٦.</w:t>
      </w:r>
    </w:p>
  </w:comment>
  <w:comment w:id="47" w:author="Claude (مراجعة)" w:initials="CL" w:date="2026-10-19T05:59:47Z">
    <w:p>
      <w:pPr>
        <w:pStyle w:val="CommentText"/>
      </w:pPr>
      <w:r>
        <w:rPr>
          <w:rStyle w:val="CommentReference"/>
        </w:rPr>
        <w:annotationRef/>
      </w:r>
      <w:r>
        <w:t>العقوبة في المادة 136 من النص الأصلي على الموظف العام. والنص المحدَّث ومصير المادة 118 من القانون 2.393 لم يُتحقق منهما. التقرير، ثامنًا ٥.</w:t>
      </w:r>
    </w:p>
  </w:comment>
  <w:comment w:id="48" w:author="Claude (مراجعة)" w:initials="CL" w:date="2026-10-19T05:59:47Z">
    <w:p>
      <w:pPr>
        <w:pStyle w:val="CommentText"/>
      </w:pPr>
      <w:r>
        <w:rPr>
          <w:rStyle w:val="CommentReference"/>
        </w:rPr>
        <w:annotationRef/>
      </w:r>
      <w:r>
        <w:t>المادة 7 من الاتفاق الملحق بالقانون 26/1992 عُدّلت بالقانون 15/2015؛ والأثر المدني من وقت الانعقاد، والقيد شرط لكمال الاعتراف. النص المعدَّل لم أقرأه. التقرير، ثامنًا ٦.</w:t>
      </w:r>
    </w:p>
  </w:comment>
  <w:comment w:id="49" w:author="Claude (مراجعة)" w:initials="CL" w:date="2026-10-19T05:59:47Z">
    <w:p>
      <w:pPr>
        <w:pStyle w:val="CommentText"/>
      </w:pPr>
      <w:r>
        <w:rPr>
          <w:rStyle w:val="CommentReference"/>
        </w:rPr>
        <w:annotationRef/>
      </w:r>
      <w:r>
        <w:t>العقد في 13 ديسمبر 1998 والانفصال سنة 2016، بحسب حكم الاستئناف [2020] EWCA Civ 122. التقرير، ثامنًا ٦.</w:t>
      </w:r>
    </w:p>
  </w:comment>
  <w:comment w:id="50" w:author="Claude (مراجعة)" w:initials="CL" w:date="2026-10-19T05:59:47Z">
    <w:p>
      <w:pPr>
        <w:pStyle w:val="CommentText"/>
      </w:pPr>
      <w:r>
        <w:rPr>
          <w:rStyle w:val="CommentReference"/>
        </w:rPr>
        <w:annotationRef/>
      </w:r>
      <w:r>
        <w:t>تصويب الوقائع بحسب الحكم. التقرير، ثامنًا ٦.</w:t>
      </w:r>
    </w:p>
  </w:comment>
  <w:comment w:id="51" w:author="Claude (مراجعة)" w:initials="CL" w:date="2026-10-19T05:59:47Z">
    <w:p>
      <w:pPr>
        <w:pStyle w:val="CommentText"/>
      </w:pPr>
      <w:r>
        <w:rPr>
          <w:rStyle w:val="CommentReference"/>
        </w:rPr>
        <w:annotationRef/>
      </w:r>
      <w:r>
        <w:t>الحكم الأول قضى بالبطلان (void) لا بقابلية الإبطال. التقرير، ثامنًا ٦.</w:t>
      </w:r>
    </w:p>
  </w:comment>
  <w:comment w:id="52" w:author="Claude (مراجعة)" w:initials="CL" w:date="2026-10-19T05:59:47Z">
    <w:p>
      <w:pPr>
        <w:pStyle w:val="CommentText"/>
      </w:pPr>
      <w:r>
        <w:rPr>
          <w:rStyle w:val="CommentReference"/>
        </w:rPr>
        <w:annotationRef/>
      </w:r>
      <w:r>
        <w:t>الفقرتان [123] و[128]: «no marriage ceremony took place in respect of which a decree of nullity could be granted». والحكم مبني على وقائعه فلا يُعمَّم. التقرير، ثامنًا ٦.</w:t>
      </w:r>
    </w:p>
  </w:comment>
  <w:comment w:id="53" w:author="Claude (مراجعة)" w:initials="CL" w:date="2026-10-19T05:59:47Z">
    <w:p>
      <w:pPr>
        <w:pStyle w:val="CommentText"/>
      </w:pPr>
      <w:r>
        <w:rPr>
          <w:rStyle w:val="CommentReference"/>
        </w:rPr>
        <w:annotationRef/>
      </w:r>
      <w:r>
        <w:t>Şerife Yiğit v. Turkey [GC], no. 3976/05, 2 November 2010. التقرير، ثامنًا ٦.</w:t>
      </w:r>
    </w:p>
  </w:comment>
  <w:comment w:id="54" w:author="Claude (مراجعة)" w:initials="CL" w:date="2026-10-19T05:59:47Z">
    <w:p>
      <w:pPr>
        <w:pStyle w:val="CommentText"/>
      </w:pPr>
      <w:r>
        <w:rPr>
          <w:rStyle w:val="CommentReference"/>
        </w:rPr>
        <w:annotationRef/>
      </w:r>
      <w:r>
        <w:t>بحسب وقائع الحكم.</w:t>
      </w:r>
    </w:p>
  </w:comment>
  <w:comment w:id="55" w:author="Claude (مراجعة)" w:initials="CL" w:date="2026-10-19T05:59:47Z">
    <w:p>
      <w:pPr>
        <w:pStyle w:val="CommentText"/>
      </w:pPr>
      <w:r>
        <w:rPr>
          <w:rStyle w:val="CommentReference"/>
        </w:rPr>
        <w:annotationRef/>
      </w:r>
      <w:r>
        <w:t>الحكم صدر بالإجماع. التقرير، ثامنًا ٦.</w:t>
      </w:r>
    </w:p>
  </w:comment>
  <w:comment w:id="56" w:author="Claude (مراجعة)" w:initials="CL" w:date="2026-10-19T05:59:47Z">
    <w:p>
      <w:pPr>
        <w:pStyle w:val="CommentText"/>
      </w:pPr>
      <w:r>
        <w:rPr>
          <w:rStyle w:val="CommentReference"/>
        </w:rPr>
        <w:annotationRef/>
      </w:r>
      <w:r>
        <w:t>Muñoz Díaz v. Spain, no. 49151/07, 8 December 2009, § 8؛ وقضت لها بسبعين ألف يورو. والزواج عرفي لجماعة الروما لا ديني، وهذا يحدّ من القياس عليه. التقرير، ثامنًا ٦.</w:t>
      </w:r>
    </w:p>
  </w:comment>
  <w:comment w:id="57" w:author="Claude (مراجعة)" w:initials="CL" w:date="2026-10-19T05:59:47Z">
    <w:p>
      <w:pPr>
        <w:pStyle w:val="CommentText"/>
      </w:pPr>
      <w:r>
        <w:rPr>
          <w:rStyle w:val="CommentReference"/>
        </w:rPr>
        <w:annotationRef/>
      </w:r>
      <w:r>
        <w:t>المقرر Barroso؛ والمصدر Migalhas، وهو ثانوي، ويُستحسن نقل المبدأ من بوابة المحكمة. التقرير، ثامنًا ٦.</w:t>
      </w:r>
    </w:p>
  </w:comment>
  <w:comment w:id="58" w:author="Claude (مراجعة)" w:initials="CL" w:date="2026-10-19T05:59:47Z">
    <w:p>
      <w:pPr>
        <w:pStyle w:val="CommentText"/>
      </w:pPr>
      <w:r>
        <w:rPr>
          <w:rStyle w:val="CommentReference"/>
        </w:rPr>
        <w:annotationRef/>
      </w:r>
      <w:r>
        <w:t>العبارة استنتاج من البحث، فتُصاغ بلفظ الاستنتاج. التقرير، ثامنًا ٦.</w:t>
      </w:r>
    </w:p>
  </w:comment>
  <w:comment w:id="59" w:author="Claude (مراجعة)" w:initials="CL" w:date="2026-10-19T05:59:47Z">
    <w:p>
      <w:pPr>
        <w:pStyle w:val="CommentText"/>
      </w:pPr>
      <w:r>
        <w:rPr>
          <w:rStyle w:val="CommentReference"/>
        </w:rPr>
        <w:annotationRef/>
      </w:r>
      <w:r>
        <w:t>هذا إجراء مؤسسي لا تدبير تعاقدي؛ ويتكرر في المطلب الثالث وفي التوصية الأولى. التقرير، ثالثًا.</w:t>
      </w:r>
    </w:p>
  </w:comment>
  <w:comment w:id="60" w:author="Claude (مراجعة)" w:initials="CL" w:date="2026-10-19T05:59:47Z">
    <w:p>
      <w:pPr>
        <w:pStyle w:val="CommentText"/>
      </w:pPr>
      <w:r>
        <w:rPr>
          <w:rStyle w:val="CommentReference"/>
        </w:rPr>
        <w:annotationRef/>
      </w:r>
      <w:r>
        <w:t>المادة 513 تشترط الكتابة لا التوثيق. التقرير، ثامنًا ٤.</w:t>
      </w:r>
    </w:p>
  </w:comment>
  <w:comment w:id="61" w:author="Claude (مراجعة)" w:initials="CL" w:date="2026-10-19T05:59:47Z">
    <w:p>
      <w:pPr>
        <w:pStyle w:val="CommentText"/>
      </w:pPr>
      <w:r>
        <w:rPr>
          <w:rStyle w:val="CommentReference"/>
        </w:rPr>
        <w:annotationRef/>
      </w:r>
      <w:r>
        <w:t>توحيد المصطلح.</w:t>
      </w:r>
    </w:p>
  </w:comment>
  <w:comment w:id="62" w:author="Claude (مراجعة)" w:initials="CL" w:date="2026-10-19T05:59:47Z">
    <w:p>
      <w:pPr>
        <w:pStyle w:val="CommentText"/>
      </w:pPr>
      <w:r>
        <w:rPr>
          <w:rStyle w:val="CommentReference"/>
        </w:rPr>
        <w:annotationRef/>
      </w:r>
      <w:r>
        <w:t>513: «debe ser hecho por escrito y no puede dejar sin efecto lo dispuesto en los artículos 519, 520, 521 y 522»؛ و517: النفاذ في حق الغير «desde su inscripción». التقرير، ثامنًا ٤.</w:t>
      </w:r>
    </w:p>
  </w:comment>
  <w:comment w:id="63" w:author="Claude (مراجعة)" w:initials="CL" w:date="2026-10-19T05:59:47Z">
    <w:p>
      <w:pPr>
        <w:pStyle w:val="CommentText"/>
      </w:pPr>
      <w:r>
        <w:rPr>
          <w:rStyle w:val="CommentReference"/>
        </w:rPr>
        <w:annotationRef/>
      </w:r>
      <w:r>
        <w:t>المادة 2574: «Los privilegios resultan exclusivamente de la ley…»؛ فالمحرر الرسمي يقوّي الإثبات ولا يمنح أولوية. التقرير، ثامنًا ٤.</w:t>
      </w:r>
    </w:p>
  </w:comment>
  <w:comment w:id="64" w:author="Claude (مراجعة)" w:initials="CL" w:date="2026-10-19T05:59:47Z">
    <w:p>
      <w:pPr>
        <w:pStyle w:val="CommentText"/>
      </w:pPr>
      <w:r>
        <w:rPr>
          <w:rStyle w:val="CommentReference"/>
        </w:rPr>
        <w:annotationRef/>
      </w:r>
      <w:r>
        <w:t>تعليل «لأن القانون الوضعي لا يعدها وارثة» ضعيف؛ صفة الوارث شرعًا لا تُستمد من القانون. والأقوى: لفظ الحديث «إن الله قد أعطى كل ذي حق حقه»، ونص ابن المنذر «إلا أن يجيز الورثة». التقرير، حادي عشر، الأولوية الرابعة.</w:t>
      </w:r>
    </w:p>
  </w:comment>
  <w:comment w:id="65" w:author="Claude (مراجعة)" w:initials="CL" w:date="2026-10-19T05:59:47Z">
    <w:p>
      <w:pPr>
        <w:pStyle w:val="CommentText"/>
      </w:pPr>
      <w:r>
        <w:rPr>
          <w:rStyle w:val="CommentReference"/>
        </w:rPr>
        <w:annotationRef/>
      </w:r>
      <w:r>
        <w:t>المادة 2445: نصيب الزوج المحفوظ النصف، فمع الزوج المدني لا تجوز الوصية بأكثر من النصف؛ وهذا مؤثر في صورة التعدد. التقرير، ثامنًا ٤.</w:t>
      </w:r>
    </w:p>
  </w:comment>
  <w:comment w:id="66" w:author="Claude (مراجعة)" w:initials="CL" w:date="2026-10-19T05:59:47Z">
    <w:p>
      <w:pPr>
        <w:pStyle w:val="CommentText"/>
      </w:pPr>
      <w:r>
        <w:rPr>
          <w:rStyle w:val="CommentReference"/>
        </w:rPr>
        <w:annotationRef/>
      </w:r>
      <w:r>
        <w:t>454: أحكام القسم المشترك تسري «cualquiera sea el régimen matrimonial» وهي «inderogables». التقرير، ثامنًا ٤.</w:t>
      </w:r>
    </w:p>
  </w:comment>
  <w:comment w:id="67" w:author="Claude (مراجعة)" w:initials="CL" w:date="2026-10-19T05:59:47Z">
    <w:p>
      <w:pPr>
        <w:pStyle w:val="CommentText"/>
      </w:pPr>
      <w:r>
        <w:rPr>
          <w:rStyle w:val="CommentReference"/>
        </w:rPr>
        <w:annotationRef/>
      </w:r>
      <w:r>
        <w:t>حذف العبارة التنظيمية (قاعدة ملف التسليم). التقرير، ثالثًا.</w:t>
      </w:r>
    </w:p>
  </w:comment>
  <w:comment w:id="68" w:author="Claude (مراجعة)" w:initials="CL" w:date="2026-10-19T05:59:47Z">
    <w:p>
      <w:pPr>
        <w:pStyle w:val="CommentText"/>
      </w:pPr>
      <w:r>
        <w:rPr>
          <w:rStyle w:val="CommentReference"/>
        </w:rPr>
        <w:annotationRef/>
      </w:r>
      <w:r>
        <w:t>يُستحسن نقل عبارة المادة 512 في الحاشية: «puede acreditarse por cualquier medio de prueba»، فهي مستند المطلب الرقمي في القانون. التقرير، ثامنًا ٤.</w:t>
      </w:r>
    </w:p>
  </w:comment>
  <w:comment w:id="69" w:author="Claude (مراجعة)" w:initials="CL" w:date="2026-10-19T05:59:47Z">
    <w:p>
      <w:pPr>
        <w:pStyle w:val="CommentText"/>
      </w:pPr>
      <w:r>
        <w:rPr>
          <w:rStyle w:val="CommentReference"/>
        </w:rPr>
        <w:annotationRef/>
      </w:r>
      <w:r>
        <w:t>القانون 25.326 لم أقرأ نصه؛ يُطابق قبل التسليم. التقرير، ثامنًا ٧.</w:t>
      </w:r>
    </w:p>
  </w:comment>
  <w:comment w:id="70" w:author="Claude (مراجعة)" w:initials="CL" w:date="2026-10-19T05:59:47Z">
    <w:p>
      <w:pPr>
        <w:pStyle w:val="CommentText"/>
      </w:pPr>
      <w:r>
        <w:rPr>
          <w:rStyle w:val="CommentReference"/>
        </w:rPr>
        <w:annotationRef/>
      </w:r>
      <w:r>
        <w:t>يتكرر مع التوصية الأولى؛ فيُكتفى في المتن بالتقرير وفي الخاتمة بالتوصية. التقرير، تاسعًا ٣.</w:t>
      </w:r>
    </w:p>
  </w:comment>
  <w:comment w:id="71" w:author="Claude (مراجعة)" w:initials="CL" w:date="2026-10-19T05:59:47Z">
    <w:p>
      <w:pPr>
        <w:pStyle w:val="CommentText"/>
      </w:pPr>
      <w:r>
        <w:rPr>
          <w:rStyle w:val="CommentReference"/>
        </w:rPr>
        <w:annotationRef/>
      </w:r>
      <w:r>
        <w:t>السؤال الثالث (المقارن) بلا نتيجة، والنتائج لا تتبع ترتيب الأسئلة؛ وفي التقرير صياغة مقترحة لثماني نتائج. التقرير، تاسعًا ١ و٢.</w:t>
      </w:r>
    </w:p>
  </w:comment>
  <w:comment w:id="72" w:author="Claude (مراجعة)" w:initials="CL" w:date="2026-10-19T05:59:47Z">
    <w:p>
      <w:pPr>
        <w:pStyle w:val="CommentText"/>
      </w:pPr>
      <w:r>
        <w:rPr>
          <w:rStyle w:val="CommentReference"/>
        </w:rPr>
        <w:annotationRef/>
      </w:r>
      <w:r>
        <w:t>توحيد درجة الحكم. التقرير، تاسعًا ١.</w:t>
      </w:r>
    </w:p>
  </w:comment>
  <w:comment w:id="73" w:author="Claude (مراجعة)" w:initials="CL" w:date="2026-10-19T05:59:47Z">
    <w:p>
      <w:pPr>
        <w:pStyle w:val="CommentText"/>
      </w:pPr>
      <w:r>
        <w:rPr>
          <w:rStyle w:val="CommentReference"/>
        </w:rPr>
        <w:annotationRef/>
      </w:r>
      <w:r>
        <w:t>المواد 406 و510 (د، هـ). التقرير، تاسعًا ٢.</w:t>
      </w:r>
    </w:p>
  </w:comment>
  <w:comment w:id="74" w:author="Claude (مراجعة)" w:initials="CL" w:date="2026-10-19T05:59:47Z">
    <w:p>
      <w:pPr>
        <w:pStyle w:val="CommentText"/>
      </w:pPr>
      <w:r>
        <w:rPr>
          <w:rStyle w:val="CommentReference"/>
        </w:rPr>
        <w:annotationRef/>
      </w:r>
      <w:r>
        <w:t>المادتان 524–525.</w:t>
      </w:r>
    </w:p>
  </w:comment>
  <w:comment w:id="75" w:author="Claude (مراجعة)" w:initials="CL" w:date="2026-10-19T05:59:47Z">
    <w:p>
      <w:pPr>
        <w:pStyle w:val="CommentText"/>
      </w:pPr>
      <w:r>
        <w:rPr>
          <w:rStyle w:val="CommentReference"/>
        </w:rPr>
        <w:annotationRef/>
      </w:r>
      <w:r>
        <w:t>وصف أشد مما تحتمله الأدلة؛ والأدق «سببًا محتملًا لضياع الحقوق». التقرير، تاسعًا ١.</w:t>
      </w:r>
    </w:p>
  </w:comment>
  <w:comment w:id="76" w:author="Claude (مراجعة)" w:initials="CL" w:date="2026-10-19T05:59:47Z">
    <w:p>
      <w:pPr>
        <w:pStyle w:val="CommentText"/>
      </w:pPr>
      <w:r>
        <w:rPr>
          <w:rStyle w:val="CommentReference"/>
        </w:rPr>
        <w:annotationRef/>
      </w:r>
      <w:r>
        <w:t>توحيد المصطلح. التقرير، ثامنًا ٤.</w:t>
      </w:r>
    </w:p>
  </w:comment>
  <w:comment w:id="77" w:author="Claude (مراجعة)" w:initials="CL" w:date="2026-10-19T05:59:47Z">
    <w:p>
      <w:pPr>
        <w:pStyle w:val="CommentText"/>
      </w:pPr>
      <w:r>
        <w:rPr>
          <w:rStyle w:val="CommentReference"/>
        </w:rPr>
        <w:annotationRef/>
      </w:r>
      <w:r>
        <w:t>قاعدة ملف التسليم.</w:t>
      </w:r>
    </w:p>
  </w:comment>
  <w:comment w:id="78" w:author="Claude (مراجعة)" w:initials="CL" w:date="2026-10-19T05:59:47Z">
    <w:p>
      <w:pPr>
        <w:pStyle w:val="CommentText"/>
      </w:pPr>
      <w:r>
        <w:rPr>
          <w:rStyle w:val="CommentReference"/>
        </w:rPr>
        <w:annotationRef/>
      </w:r>
      <w:r>
        <w:t>التوصية تمنع «أي عقد شرعي» فتعارض الثانية في «الحالات المعذورة»، ولا جهة ملزِمة للمراكز. والمقترح: «أن تتفق المراكز…» مع الاستثناء المنضبط، وإضافة توصية الجمع بين العقدين بالمادة 418. التقرير، تاسعًا ٤.</w:t>
      </w:r>
    </w:p>
  </w:comment>
  <w:comment w:id="79" w:author="Claude (مراجعة)" w:initials="CL" w:date="2026-10-19T05:59:47Z">
    <w:p>
      <w:pPr>
        <w:pStyle w:val="CommentText"/>
      </w:pPr>
      <w:r>
        <w:rPr>
          <w:rStyle w:val="CommentReference"/>
        </w:rPr>
        <w:annotationRef/>
      </w:r>
      <w:r>
        <w:t>لم أصل إلى نص هذا القرار؛ فلا يُستشهد به حتى يُقرأ، والأولى إبداله بوثيقة مجمع فقهاء الشريعة بأمريكا. التقرير، سادسًا.</w:t>
      </w:r>
    </w:p>
  </w:comment>
  <w:comment w:id="80" w:author="Claude (مراجعة)" w:initials="CL" w:date="2026-10-19T05:59:47Z">
    <w:p>
      <w:pPr>
        <w:pStyle w:val="CommentText"/>
      </w:pPr>
      <w:r>
        <w:rPr>
          <w:rStyle w:val="CommentReference"/>
        </w:rPr>
        <w:annotationRef/>
      </w:r>
      <w:r>
        <w:t>لا دورة للمجمع سنة 2008، ولا قرار بعنوان توثيق الزواج في الدورات 1–26 بحسب فهرس موقعه. يُحذف ويُوضع مكانه ما ثبت نصه. التقرير، سادسًا.</w:t>
      </w:r>
    </w:p>
  </w:comment>
  <w:comment w:id="81" w:author="Claude (مراجعة)" w:initials="CL" w:date="2026-10-19T05:59:47Z">
    <w:p>
      <w:pPr>
        <w:pStyle w:val="CommentText"/>
      </w:pPr>
      <w:r>
        <w:rPr>
          <w:rStyle w:val="CommentReference"/>
        </w:rPr>
        <w:annotationRef/>
      </w:r>
      <w:r>
        <w:t>الموافقات (ت مشهور) 2/393 في ثواب النية، ولا ذكر للإشهاد. يُقترح المغني 7/7–8 في حكمة الإشهاد على النكاح، أو حذف الإحالة. (مراجعة التوثيق، أولًا ٣)</w:t>
      </w:r>
    </w:p>
  </w:comment>
  <w:comment w:id="82" w:author="Claude (مراجعة)" w:initials="CL" w:date="2026-10-19T05:59:47Z">
    <w:p>
      <w:pPr>
        <w:pStyle w:val="CommentText"/>
      </w:pPr>
      <w:r>
        <w:rPr>
          <w:rStyle w:val="CommentReference"/>
        </w:rPr>
        <w:annotationRef/>
      </w:r>
      <w:r>
        <w:t>النص في الفروق (ط الشاملة) 1/177؛ فرق صفحة، تُطابق على طبعتك.</w:t>
      </w:r>
    </w:p>
  </w:comment>
  <w:comment w:id="83" w:author="Claude (مراجعة)" w:initials="CL" w:date="2026-10-19T05:59:47Z">
    <w:p>
      <w:pPr>
        <w:pStyle w:val="CommentText"/>
      </w:pPr>
      <w:r>
        <w:rPr>
          <w:rStyle w:val="CommentReference"/>
        </w:rPr>
        <w:annotationRef/>
      </w:r>
      <w:r>
        <w:t>المستصفى (ت عبد الشافي) مجلد واحد، والمسألة ص57. (مراجعة التوثيق، ثانيًا)</w:t>
      </w:r>
    </w:p>
  </w:comment>
  <w:comment w:id="84" w:author="Claude (مراجعة)" w:initials="CL" w:date="2026-10-19T05:59:47Z">
    <w:p>
      <w:pPr>
        <w:pStyle w:val="CommentText"/>
      </w:pPr>
      <w:r>
        <w:rPr>
          <w:rStyle w:val="CommentReference"/>
        </w:rPr>
        <w:annotationRef/>
      </w:r>
      <w:r>
        <w:t>«النظر في مآلات الأفعال معتبر مقصود شرعًا» في 5/177؛ و5/194 في الاستحسان. (مراجعة التوثيق، ثانيًا)</w:t>
      </w:r>
    </w:p>
  </w:comment>
  <w:comment w:id="85" w:author="Claude (مراجعة)" w:initials="CL" w:date="2026-10-19T05:59:47Z">
    <w:p>
      <w:pPr>
        <w:pStyle w:val="CommentText"/>
      </w:pPr>
      <w:r>
        <w:rPr>
          <w:rStyle w:val="CommentReference"/>
        </w:rPr>
        <w:annotationRef/>
      </w:r>
      <w:r>
        <w:t>كشاف القناع (ت مصيلحي) 4/33–34 في الأجير المشترك؛ و4/25 في انفساخ الإجارة. والكاساني 4/210 لم يذكر قول علي. ويُضاف تخريج الأثر: الأم 7/96–97، والبيهقي ت التركي 12/130. (خامسًا ٤)</w:t>
      </w:r>
    </w:p>
  </w:comment>
  <w:comment w:id="86" w:author="Claude (مراجعة)" w:initials="CL" w:date="2026-10-19T05:59:47Z">
    <w:p>
      <w:pPr>
        <w:pStyle w:val="CommentText"/>
      </w:pPr>
      <w:r>
        <w:rPr>
          <w:rStyle w:val="CommentReference"/>
        </w:rPr>
        <w:annotationRef/>
      </w:r>
      <w:r>
        <w:t>لم أجد ديوان الشهود المعدلين في 1/195؛ والموضع في الإعذار وتزكية الشهود. (مراجعة التوثيق، أولًا ٤)</w:t>
      </w:r>
    </w:p>
  </w:comment>
  <w:comment w:id="87" w:author="Claude (مراجعة)" w:initials="CL" w:date="2026-10-19T05:59:47Z">
    <w:p>
      <w:pPr>
        <w:pStyle w:val="CommentText"/>
      </w:pPr>
      <w:r>
        <w:rPr>
          <w:rStyle w:val="CommentReference"/>
        </w:rPr>
        <w:annotationRef/>
      </w:r>
      <w:r>
        <w:t>الموضع (ط البيان ص56–57) يرجّح عدم الحبس إلا بقرينة. (مراجعة التوثيق، أولًا ٢)</w:t>
      </w:r>
    </w:p>
  </w:comment>
  <w:comment w:id="88" w:author="Claude (مراجعة)" w:initials="CL" w:date="2026-10-19T05:59:47Z">
    <w:p>
      <w:pPr>
        <w:pStyle w:val="CommentText"/>
      </w:pPr>
      <w:r>
        <w:rPr>
          <w:rStyle w:val="CommentReference"/>
        </w:rPr>
        <w:annotationRef/>
      </w:r>
      <w:r>
        <w:t>في ط البيان ص11، وفي ط عطاءات العلم 1/25؛ وطبعة الورقة ليست في الشاملة، فتُطابق عليها.</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8750172" w14:textId="77777777" w:rsidR="002A3DDE" w:rsidRDefault="002A3DDE">
      <w:pPr>
        <w:spacing w:after="0" w:line="240" w:lineRule="auto"/>
      </w:pPr>
      <w:r>
        <w:separator/>
      </w:r>
    </w:p>
  </w:endnote>
  <w:endnote w:type="continuationSeparator" w:id="0">
    <w:p w14:paraId="48D4E4C3" w14:textId="77777777" w:rsidR="002A3DDE" w:rsidRDefault="002A3D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Traditional Arabic">
    <w:panose1 w:val="02020603050405020304"/>
    <w:charset w:val="B2"/>
    <w:family w:val="roman"/>
    <w:pitch w:val="variable"/>
    <w:sig w:usb0="00002003" w:usb1="80000000"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4B090CA" w14:textId="77777777" w:rsidR="009F31FB" w:rsidRDefault="009F31FB">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03419F" w14:textId="5D24DD5B" w:rsidR="009F31FB" w:rsidRDefault="009F31FB">
    <w:pPr>
      <w:pStyle w:val="a6"/>
      <w:jc w:val="center"/>
      <w:rPr>
        <w:sz w:val="24"/>
        <w:szCs w:val="24"/>
      </w:rPr>
    </w:pPr>
    <w:r>
      <w:rPr>
        <w:rFonts w:ascii="Traditional Arabic" w:hAnsi="Traditional Arabic" w:cs="Traditional Arabic" w:hint="cs"/>
        <w:color w:val="787878"/>
        <w:sz w:val="20"/>
        <w:szCs w:val="20"/>
      </w:rPr>
      <w:t xml:space="preserve">- </w:t>
    </w:r>
    <w:r>
      <w:fldChar w:fldCharType="begin"/>
    </w:r>
    <w:r>
      <w:instrText>PAGE</w:instrText>
    </w:r>
    <w:r>
      <w:fldChar w:fldCharType="separate"/>
    </w:r>
    <w:r>
      <w:rPr>
        <w:noProof/>
      </w:rPr>
      <w:t>1</w:t>
    </w:r>
    <w:r>
      <w:fldChar w:fldCharType="end"/>
    </w:r>
    <w:r>
      <w:rPr>
        <w:rFonts w:ascii="Traditional Arabic" w:hAnsi="Traditional Arabic" w:cs="Traditional Arabic" w:hint="cs"/>
        <w:color w:val="787878"/>
        <w:sz w:val="20"/>
        <w:szCs w:val="20"/>
      </w:rPr>
      <w:t xml:space="preserve"> -</w:t>
    </w:r>
  </w:p>
  <w:p w14:paraId="02E62C7B" w14:textId="19F958B1" w:rsidR="002878CA" w:rsidRDefault="009F31FB">
    <w:pPr>
      <w:pStyle w:val="a6"/>
      <w:jc w:val="center"/>
    </w:pPr>
    <w:r>
      <w:t>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1B3C25F" w14:textId="77777777" w:rsidR="009F31FB" w:rsidRDefault="009F31FB">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80791A8" w14:textId="77777777" w:rsidR="002A3DDE" w:rsidRDefault="002A3DDE">
      <w:pPr>
        <w:spacing w:after="0" w:line="240" w:lineRule="auto"/>
      </w:pPr>
      <w:r>
        <w:separator/>
      </w:r>
    </w:p>
  </w:footnote>
  <w:footnote w:type="continuationSeparator" w:id="0">
    <w:p w14:paraId="4DCC7B9C" w14:textId="77777777" w:rsidR="002A3DDE" w:rsidRDefault="002A3DDE">
      <w:pPr>
        <w:spacing w:after="0" w:line="240" w:lineRule="auto"/>
      </w:pPr>
      <w:r>
        <w:continuationSeparator/>
      </w:r>
    </w:p>
  </w:footnote>
  <w:footnote w:id="1">
    <w:p>
      <w:pPr>
        <w:bidi/>
      </w:pPr>
      <w:r>
        <w:rPr>
          <w:vertAlign w:val="superscript"/>
        </w:rPr>
        <w:footnoteRef/>
      </w:r>
      <w:r>
        <w:rPr>
          <w:rFonts w:ascii="Traditional Arabic" w:hAnsi="Traditional Arabic" w:cs="Traditional Arabic"/>
          <w:rtl/>
          <w:sz w:val="24"/>
          <w:szCs w:val="24"/>
        </w:rPr>
        <w:t xml:space="preserve"> العتيبي، فيصل بن عبد الله، عقد الزواج غير الموثق رسمياً وأحكامه في الفقه الإسلامي، رسالة ماجستير غير منشورة، كلية الشريعة، جامعة أم القرى، 2014.</w:t>
      </w:r>
    </w:p>
  </w:footnote>
  <w:footnote w:id="2">
    <w:p>
      <w:pPr>
        <w:bidi/>
      </w:pPr>
      <w:r>
        <w:rPr>
          <w:vertAlign w:val="superscript"/>
        </w:rPr>
        <w:footnoteRef/>
      </w:r>
      <w:r>
        <w:rPr>
          <w:rFonts w:ascii="Traditional Arabic" w:hAnsi="Traditional Arabic" w:cs="Traditional Arabic"/>
          <w:rtl/>
          <w:sz w:val="24"/>
          <w:szCs w:val="24"/>
        </w:rPr>
        <w:t xml:space="preserve"> الزحيلي، وهبة بن مصطفى، الفقه الإسلامي وأدلته، ط4، دار الفكر، 2002.</w:t>
      </w:r>
    </w:p>
  </w:footnote>
  <w:footnote w:id="3">
    <w:p>
      <w:pPr>
        <w:bidi/>
      </w:pPr>
      <w:r>
        <w:rPr>
          <w:vertAlign w:val="superscript"/>
        </w:rPr>
        <w:footnoteRef/>
      </w:r>
      <w:r>
        <w:rPr>
          <w:rFonts w:ascii="Traditional Arabic" w:hAnsi="Traditional Arabic" w:cs="Traditional Arabic"/>
          <w:rtl/>
          <w:sz w:val="24"/>
          <w:szCs w:val="24"/>
        </w:rPr>
        <w:t xml:space="preserve"> Ferguson, L. (2018). Unregistered Muslim marriages in the UK: Examining the intersections of religion, law and gender. Oxford Journal of Law and Religion, 7(2), 273–296.</w:t>
      </w:r>
    </w:p>
  </w:footnote>
  <w:footnote w:id="4">
    <w:p>
      <w:pPr>
        <w:bidi/>
      </w:pPr>
      <w:r>
        <w:rPr>
          <w:vertAlign w:val="superscript"/>
        </w:rPr>
        <w:footnoteRef/>
      </w:r>
      <w:r>
        <w:rPr>
          <w:rFonts w:ascii="Traditional Arabic" w:hAnsi="Traditional Arabic" w:cs="Traditional Arabic"/>
          <w:rtl/>
          <w:sz w:val="24"/>
          <w:szCs w:val="24"/>
        </w:rPr>
        <w:t xml:space="preserve"> Bano, S. (2017). Modern family law and religious legal traditions: Unregistered Muslim marriages in England and Wales. Journal of Social Welfare and Family Law, 39(4), 488–505.</w:t>
      </w:r>
    </w:p>
  </w:footnote>
  <w:footnote w:id="5">
    <w:p>
      <w:pPr>
        <w:bidi/>
      </w:pPr>
      <w:r>
        <w:rPr>
          <w:vertAlign w:val="superscript"/>
        </w:rPr>
        <w:footnoteRef/>
      </w:r>
      <w:r>
        <w:rPr>
          <w:rFonts w:ascii="Traditional Arabic" w:hAnsi="Traditional Arabic" w:cs="Traditional Arabic"/>
          <w:rtl/>
          <w:sz w:val="24"/>
          <w:szCs w:val="24"/>
        </w:rPr>
        <w:t xml:space="preserve"> Farfán, M. E., &amp; Medina, G. (2018). Las uniones convivenciales en el nuevo Código Civil y Comercial de la Nación. Revista La Ley, 2018(3), 112–129.</w:t>
      </w:r>
    </w:p>
  </w:footnote>
  <w:footnote w:id="6">
    <w:p>
      <w:pPr>
        <w:bidi/>
      </w:pPr>
      <w:r>
        <w:rPr>
          <w:vertAlign w:val="superscript"/>
        </w:rPr>
        <w:footnoteRef/>
      </w:r>
      <w:r>
        <w:rPr>
          <w:rFonts w:ascii="Traditional Arabic" w:hAnsi="Traditional Arabic" w:cs="Traditional Arabic"/>
          <w:rtl/>
          <w:sz w:val="24"/>
          <w:szCs w:val="24"/>
        </w:rPr>
        <w:t xml:space="preserve"> Herrera, M. (2016). Manual de derecho de las familias (2da ed.). Abeledo Perrot.</w:t>
      </w:r>
    </w:p>
  </w:footnote>
  <w:footnote w:id="7">
    <w:p>
      <w:pPr>
        <w:bidi/>
      </w:pPr>
      <w:r>
        <w:rPr>
          <w:vertAlign w:val="superscript"/>
        </w:rPr>
        <w:footnoteRef/>
      </w:r>
      <w:r>
        <w:rPr>
          <w:rFonts w:ascii="Traditional Arabic" w:hAnsi="Traditional Arabic" w:cs="Traditional Arabic"/>
          <w:rtl/>
          <w:sz w:val="24"/>
          <w:szCs w:val="24"/>
        </w:rPr>
        <w:t xml:space="preserve"> ابن قدامة، المغني، 7/6؛ الكاساني، بدائع الصنائع، 2/332.</w:t>
      </w:r>
    </w:p>
  </w:footnote>
  <w:footnote w:id="8">
    <w:p>
      <w:pPr>
        <w:bidi/>
      </w:pPr>
      <w:r>
        <w:rPr>
          <w:vertAlign w:val="superscript"/>
        </w:rPr>
        <w:footnoteRef/>
      </w:r>
      <w:r>
        <w:rPr>
          <w:rFonts w:ascii="Traditional Arabic" w:hAnsi="Traditional Arabic" w:cs="Traditional Arabic"/>
          <w:rtl/>
          <w:sz w:val="24"/>
          <w:szCs w:val="24"/>
        </w:rPr>
        <w:t xml:space="preserve"> الشاطبي، الموافقات، 2/393.</w:t>
      </w:r>
    </w:p>
  </w:footnote>
  <w:footnote w:id="9">
    <w:p>
      <w:pPr>
        <w:bidi/>
      </w:pPr>
      <w:r>
        <w:rPr>
          <w:vertAlign w:val="superscript"/>
        </w:rPr>
        <w:footnoteRef/>
      </w:r>
      <w:r>
        <w:rPr>
          <w:rFonts w:ascii="Traditional Arabic" w:hAnsi="Traditional Arabic" w:cs="Traditional Arabic"/>
          <w:rtl/>
          <w:sz w:val="24"/>
          <w:szCs w:val="24"/>
        </w:rPr>
        <w:t xml:space="preserve"> ابن القيم، إعلام الموقعين عن رب العالمين، 3/11.</w:t>
      </w:r>
    </w:p>
  </w:footnote>
  <w:footnote w:id="10">
    <w:p>
      <w:pPr>
        <w:bidi/>
      </w:pPr>
      <w:r>
        <w:rPr>
          <w:vertAlign w:val="superscript"/>
        </w:rPr>
        <w:footnoteRef/>
      </w:r>
      <w:r>
        <w:rPr>
          <w:rFonts w:ascii="Traditional Arabic" w:hAnsi="Traditional Arabic" w:cs="Traditional Arabic"/>
          <w:rtl/>
          <w:sz w:val="24"/>
          <w:szCs w:val="24"/>
        </w:rPr>
        <w:t xml:space="preserve"> القرافي، الفروق، 1/176.</w:t>
      </w:r>
    </w:p>
  </w:footnote>
  <w:footnote w:id="11">
    <w:p>
      <w:pPr>
        <w:bidi/>
      </w:pPr>
      <w:r>
        <w:rPr>
          <w:vertAlign w:val="superscript"/>
        </w:rPr>
        <w:footnoteRef/>
      </w:r>
      <w:r>
        <w:rPr>
          <w:rFonts w:ascii="Traditional Arabic" w:hAnsi="Traditional Arabic" w:cs="Traditional Arabic"/>
          <w:rtl/>
          <w:sz w:val="24"/>
          <w:szCs w:val="24"/>
        </w:rPr>
        <w:t xml:space="preserve"> ابن عابدين، نشر العرف في بناء بعض الأحكام على العرف (ضمن مجموع رسائل ابن عابدين)، 2/125.</w:t>
      </w:r>
    </w:p>
  </w:footnote>
  <w:footnote w:id="12">
    <w:p>
      <w:pPr>
        <w:bidi/>
      </w:pPr>
      <w:r>
        <w:rPr>
          <w:vertAlign w:val="superscript"/>
        </w:rPr>
        <w:footnoteRef/>
      </w:r>
      <w:r>
        <w:rPr>
          <w:rFonts w:ascii="Traditional Arabic" w:hAnsi="Traditional Arabic" w:cs="Traditional Arabic"/>
          <w:rtl/>
          <w:sz w:val="24"/>
          <w:szCs w:val="24"/>
        </w:rPr>
        <w:t xml:space="preserve"> مجلة الأحكام العدلية، المادة 39.</w:t>
      </w:r>
    </w:p>
  </w:footnote>
  <w:footnote w:id="13">
    <w:p>
      <w:pPr>
        <w:bidi/>
      </w:pPr>
      <w:r>
        <w:rPr>
          <w:vertAlign w:val="superscript"/>
        </w:rPr>
        <w:footnoteRef/>
      </w:r>
      <w:r>
        <w:rPr>
          <w:rFonts w:ascii="Traditional Arabic" w:hAnsi="Traditional Arabic" w:cs="Traditional Arabic"/>
          <w:rtl/>
          <w:sz w:val="24"/>
          <w:szCs w:val="24"/>
        </w:rPr>
        <w:t xml:space="preserve"> الغزالي، المستصفى، </w:t>
      </w:r>
      <w:r>
        <w:rPr>
          <w:rFonts w:ascii="Traditional Arabic" w:hAnsi="Traditional Arabic" w:cs="Traditional Arabic"/>
          <w:highlight w:val="yellow"/>
          <w:rtl/>
          <w:sz w:val="24"/>
          <w:szCs w:val="24"/>
        </w:rPr>
        <w:t xml:space="preserve">ص57</w:t>
      </w:r>
      <w:r>
        <w:rPr>
          <w:rFonts w:ascii="Traditional Arabic" w:hAnsi="Traditional Arabic" w:cs="Traditional Arabic"/>
          <w:rtl/>
          <w:sz w:val="24"/>
          <w:szCs w:val="24"/>
        </w:rPr>
        <w:t xml:space="preserve">.</w:t>
      </w:r>
    </w:p>
  </w:footnote>
  <w:footnote w:id="14">
    <w:p>
      <w:pPr>
        <w:bidi/>
      </w:pPr>
      <w:r>
        <w:rPr>
          <w:vertAlign w:val="superscript"/>
        </w:rPr>
        <w:footnoteRef/>
      </w:r>
      <w:r>
        <w:rPr>
          <w:rFonts w:ascii="Traditional Arabic" w:hAnsi="Traditional Arabic" w:cs="Traditional Arabic"/>
          <w:rtl/>
          <w:sz w:val="24"/>
          <w:szCs w:val="24"/>
        </w:rPr>
        <w:t xml:space="preserve"> الشاطبي، الموافقات، </w:t>
      </w:r>
      <w:r>
        <w:rPr>
          <w:rFonts w:ascii="Traditional Arabic" w:hAnsi="Traditional Arabic" w:cs="Traditional Arabic"/>
          <w:highlight w:val="yellow"/>
          <w:rtl/>
          <w:sz w:val="24"/>
          <w:szCs w:val="24"/>
        </w:rPr>
        <w:t xml:space="preserve">5/177</w:t>
      </w:r>
      <w:r>
        <w:rPr>
          <w:rFonts w:ascii="Traditional Arabic" w:hAnsi="Traditional Arabic" w:cs="Traditional Arabic"/>
          <w:rtl/>
          <w:sz w:val="24"/>
          <w:szCs w:val="24"/>
        </w:rPr>
        <w:t xml:space="preserve">.</w:t>
      </w:r>
    </w:p>
  </w:footnote>
  <w:footnote w:id="15">
    <w:p>
      <w:pPr>
        <w:bidi/>
      </w:pPr>
      <w:r>
        <w:rPr>
          <w:vertAlign w:val="superscript"/>
        </w:rPr>
        <w:footnoteRef/>
      </w:r>
      <w:r>
        <w:rPr>
          <w:rFonts w:ascii="Traditional Arabic" w:hAnsi="Traditional Arabic" w:cs="Traditional Arabic"/>
          <w:rtl/>
          <w:sz w:val="24"/>
          <w:szCs w:val="24"/>
        </w:rPr>
        <w:t xml:space="preserve"> الكاساني، بدائع الصنائع، 4/210؛ البهوتي، كشاف القناع، 4/25.</w:t>
      </w:r>
    </w:p>
  </w:footnote>
  <w:footnote w:id="16">
    <w:p>
      <w:pPr>
        <w:bidi/>
      </w:pPr>
      <w:r>
        <w:rPr>
          <w:vertAlign w:val="superscript"/>
        </w:rPr>
        <w:footnoteRef/>
      </w:r>
      <w:r>
        <w:rPr>
          <w:rFonts w:ascii="Traditional Arabic" w:hAnsi="Traditional Arabic" w:cs="Traditional Arabic"/>
          <w:rtl/>
          <w:sz w:val="24"/>
          <w:szCs w:val="24"/>
        </w:rPr>
        <w:t xml:space="preserve"> ابن فرحون، تبصرة الحكام، 1/195.</w:t>
      </w:r>
    </w:p>
  </w:footnote>
  <w:footnote w:id="17">
    <w:p>
      <w:pPr>
        <w:bidi/>
      </w:pPr>
      <w:r>
        <w:rPr>
          <w:vertAlign w:val="superscript"/>
        </w:rPr>
        <w:footnoteRef/>
      </w:r>
      <w:r>
        <w:rPr>
          <w:rFonts w:ascii="Traditional Arabic" w:hAnsi="Traditional Arabic" w:cs="Traditional Arabic"/>
          <w:rtl/>
          <w:sz w:val="24"/>
          <w:szCs w:val="24"/>
        </w:rPr>
        <w:t xml:space="preserve"> ابن القيم، الطرق الحكمية، ص89.</w:t>
      </w:r>
    </w:p>
  </w:footnote>
  <w:footnote w:id="18">
    <w:p>
      <w:pPr>
        <w:bidi/>
      </w:pPr>
      <w:r>
        <w:rPr>
          <w:vertAlign w:val="superscript"/>
        </w:rPr>
        <w:footnoteRef/>
      </w:r>
      <w:r>
        <w:rPr>
          <w:rFonts w:ascii="Traditional Arabic" w:hAnsi="Traditional Arabic" w:cs="Traditional Arabic"/>
          <w:rtl/>
          <w:sz w:val="24"/>
          <w:szCs w:val="24"/>
        </w:rPr>
        <w:t xml:space="preserve"> ابن القيم، الطرق الحكمية، ص14.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8870BB" w14:textId="77777777" w:rsidR="009F31FB" w:rsidRDefault="009F31FB">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D7C1F5A" w14:textId="77777777" w:rsidR="009F31FB" w:rsidRDefault="009F31FB">
    <w:pPr>
      <w:pStyle w:val="a5"/>
      <w:bidi/>
      <w:jc w:val="center"/>
      <w:rPr>
        <w:sz w:val="24"/>
        <w:szCs w:val="24"/>
      </w:rPr>
    </w:pPr>
    <w:r>
      <w:rPr>
        <w:rFonts w:ascii="Traditional Arabic" w:hAnsi="Traditional Arabic" w:cs="Traditional Arabic" w:hint="cs"/>
        <w:color w:val="787878"/>
        <w:sz w:val="20"/>
        <w:szCs w:val="20"/>
        <w:rtl/>
      </w:rPr>
      <w:t>المؤتمر الدولي السادس للدراسات الإسلامية المعاصرة والقضايا المستجدة (</w:t>
    </w:r>
    <w:r>
      <w:rPr>
        <w:rFonts w:ascii="Traditional Arabic" w:hAnsi="Traditional Arabic" w:cs="Traditional Arabic" w:hint="cs"/>
        <w:color w:val="787878"/>
        <w:sz w:val="20"/>
        <w:szCs w:val="20"/>
      </w:rPr>
      <w:t>ICCISEI 2026</w:t>
    </w:r>
    <w:r>
      <w:rPr>
        <w:rFonts w:ascii="Traditional Arabic" w:hAnsi="Traditional Arabic" w:cs="Traditional Arabic" w:hint="cs"/>
        <w:color w:val="787878"/>
        <w:sz w:val="20"/>
        <w:szCs w:val="20"/>
        <w:rtl/>
      </w:rPr>
      <w:t>)</w:t>
    </w:r>
    <w:r>
      <w:rPr>
        <w:rFonts w:ascii="Traditional Arabic" w:hAnsi="Traditional Arabic" w:cs="Traditional Arabic" w:hint="cs"/>
        <w:color w:val="787878"/>
        <w:sz w:val="20"/>
        <w:szCs w:val="20"/>
        <w:rtl/>
      </w:rPr>
      <w:br/>
      <w:t>جامعة المدينة العالمية</w:t>
    </w:r>
  </w:p>
  <w:p w14:paraId="7EA87493" w14:textId="5DCB94BD" w:rsidR="002878CA" w:rsidRDefault="009F31FB">
    <w:pPr>
      <w:pStyle w:val="a5"/>
    </w:pPr>
    <w:r>
      <w:t>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C6CC58" w14:textId="77777777" w:rsidR="009F31FB" w:rsidRDefault="009F31FB">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61492259">
    <w:abstractNumId w:val="8"/>
  </w:num>
  <w:num w:numId="2" w16cid:durableId="195318873">
    <w:abstractNumId w:val="6"/>
  </w:num>
  <w:num w:numId="3" w16cid:durableId="512378246">
    <w:abstractNumId w:val="5"/>
  </w:num>
  <w:num w:numId="4" w16cid:durableId="1150362364">
    <w:abstractNumId w:val="4"/>
  </w:num>
  <w:num w:numId="5" w16cid:durableId="811486131">
    <w:abstractNumId w:val="7"/>
  </w:num>
  <w:num w:numId="6" w16cid:durableId="1947151548">
    <w:abstractNumId w:val="3"/>
  </w:num>
  <w:num w:numId="7" w16cid:durableId="1248416341">
    <w:abstractNumId w:val="2"/>
  </w:num>
  <w:num w:numId="8" w16cid:durableId="249511441">
    <w:abstractNumId w:val="1"/>
  </w:num>
  <w:num w:numId="9" w16cid:durableId="86980707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78CA"/>
    <w:rsid w:val="0029639D"/>
    <w:rsid w:val="002A3DDE"/>
    <w:rsid w:val="00326F90"/>
    <w:rsid w:val="00965695"/>
    <w:rsid w:val="009F31FB"/>
    <w:rsid w:val="00AA1D8D"/>
    <w:rsid w:val="00AA2A88"/>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21D14A"/>
  <w14:defaultImageDpi w14:val="300"/>
  <w15:docId w15:val="{A13FDB58-DDE5-5547-85FD-C7EF48FAB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رأس الصفحة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تذييل الصفحة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العنوان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عنوان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عنوان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العنوان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عنوان فرعي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نص أساسي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نص أساسي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نص أساسي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نص ماكرو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اقتباس Char"/>
    <w:basedOn w:val="a2"/>
    <w:link w:val="af"/>
    <w:uiPriority w:val="29"/>
    <w:rsid w:val="00FC693F"/>
    <w:rPr>
      <w:i/>
      <w:iCs/>
      <w:color w:val="000000" w:themeColor="text1"/>
    </w:rPr>
  </w:style>
  <w:style w:type="character" w:customStyle="1" w:styleId="4Char">
    <w:name w:val="عنوان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عنوان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عنوان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عنوان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عنوان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عنوان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اقتباس مكثف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semiHidden/>
    <w:unhideWhenUsed/>
    <w:qFormat/>
    <w:rsid w:val="00FC693F"/>
    <w:pPr>
      <w:outlineLvl w:val="9"/>
    </w:pPr>
  </w:style>
  <w:style w:type="table" w:styleId="afa">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sonormal0">
    <w:name w:val="msonormal"/>
    <w:basedOn w:val="a1"/>
    <w:rsid w:val="009F31FB"/>
    <w:pPr>
      <w:spacing w:before="100" w:beforeAutospacing="1" w:after="100" w:afterAutospacing="1" w:line="240" w:lineRule="auto"/>
    </w:pPr>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lef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0FF1A43-F2EB-464D-9A05-0003D1062D5C}">
  <we:reference id="wa200010453" version="1.0.0.1" store="en-US" storeType="OMEX"/>
  <we:alternateReferences>
    <we:reference id="WA200010453" version="1.0.0.1" store="" storeType="OMEX"/>
  </we:alternateReferences>
  <we:properties>
    <we:property name="claude.fileId" value="&quot;5a316aa2-f31b-4833-9aff-c06459a717d0&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17</Pages>
  <Words>5135</Words>
  <Characters>27785</Characters>
  <Application>Microsoft Office Word</Application>
  <DocSecurity>0</DocSecurity>
  <Lines>448</Lines>
  <Paragraphs>118</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32802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مركز الملك فهد الثقافي الإسلامي في جمهورية الأرجنتين</cp:lastModifiedBy>
  <cp:revision>2</cp:revision>
  <dcterms:created xsi:type="dcterms:W3CDTF">2013-12-23T23:15:00Z</dcterms:created>
  <dcterms:modified xsi:type="dcterms:W3CDTF">2026-10-13T00:37:00Z</dcterms:modified>
  <cp:category/>
</cp:coreProperties>
</file>