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Sub"/>
        <w:bidi/>
        <w:jc w:val="start"/>
      </w:pPr>
      <w:r>
        <w:rPr>
          <w:rFonts w:ascii="Traditional Arabic" w:cs="Traditional Arabic" w:eastAsia="Traditional Arabic" w:hAnsi="Traditional Arabic"/>
          <w:b/>
          <w:bCs/>
          <w:sz w:val="36"/>
          <w:szCs w:val="36"/>
          <w:rtl/>
        </w:rPr>
        <w:t xml:space="preserve">المطلب الأول: ازدواجية العقد بين المحكمة والمسجد</w:t>
      </w:r>
    </w:p>
    <w:p>
      <w:pPr>
        <w:pStyle w:val="HMas"/>
        <w:bidi/>
        <w:jc w:val="start"/>
      </w:pPr>
      <w:r>
        <w:rPr>
          <w:rFonts w:ascii="Traditional Arabic" w:cs="Traditional Arabic" w:eastAsia="Traditional Arabic" w:hAnsi="Traditional Arabic"/>
          <w:b/>
          <w:bCs/>
          <w:sz w:val="36"/>
          <w:szCs w:val="36"/>
          <w:rtl/>
        </w:rPr>
        <w:t xml:space="preserve">أولًا: صورة الإشكالية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يتزوج المسلمون في الأرجنتين بعقدين منفصلين لا يعترف أحدهما بالآخر: عقد مدني يُبرم أمام موظف سجل الحالة المدنية، وعقد شرعي يُبرم في المسجد أو المركز الإسلامي. فالقانون الأرجنتيني لا يرتّب على العقد الشرعي وحده أي أثر مدني، والفقهاء المعاصرون يتحفظون على العقد المدني وحده، لخلوه من الولي، واكتفائه بشاهد غير مسلم، وإغفاله المهر والصيغة الشرعية. فمن اقتصر على العقد الشرعي بقي زواجه بلا وجود قانوني، ومن اقتصر على العقد المدني بقي زواجه موضع نظر شرعي. ويُلاحَظ في الواقع أن بعض المراكز الإسلامية تشترط إبراز محضر الزواج المدني قبل إجراء العقد الشرعي، وأن بعضها يكتفي بالعقد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وتثير هذه الازدواجية ثلاثة أسئلة: ما حكم العقد المدني وحده في الشريعة؟ وما حكم العقد الشرعي غير الموثق مدنيًّا؟ وما أثر كل منهما في القانون، وكيف يُجمع بين العقدين دون تعارض؟</w:t>
      </w:r>
    </w:p>
    <w:p>
      <w:pPr>
        <w:pStyle w:val="HMas"/>
        <w:bidi/>
        <w:jc w:val="start"/>
      </w:pPr>
      <w:r>
        <w:rPr>
          <w:rFonts w:ascii="Traditional Arabic" w:cs="Traditional Arabic" w:eastAsia="Traditional Arabic" w:hAnsi="Traditional Arabic"/>
          <w:b/>
          <w:bCs/>
          <w:sz w:val="36"/>
          <w:szCs w:val="36"/>
          <w:rtl/>
        </w:rPr>
        <w:t xml:space="preserve">ثانيًا: الحكم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اتفق الفقهاء على أن النكاح لا يكون سرًّا، واختلفوا في وسيلة إعلانه وإثباته. فالحنفية</w:t>
      </w:r>
      <w:r>
        <w:rPr>
          <w:rStyle w:val="FootnoteReference"/>
        </w:rPr>
        <w:footnoteReference w:id="1"/>
      </w:r>
      <w:r>
        <w:rPr>
          <w:rStyle w:val="BodyAr"/>
          <w:rFonts w:ascii="Traditional Arabic" w:cs="Traditional Arabic" w:eastAsia="Traditional Arabic" w:hAnsi="Traditional Arabic"/>
          <w:b w:val="false"/>
          <w:bCs w:val="false"/>
          <w:sz w:val="36"/>
          <w:szCs w:val="36"/>
          <w:rtl/>
        </w:rPr>
        <w:t xml:space="preserve"> والشافعية</w:t>
      </w:r>
      <w:r>
        <w:rPr>
          <w:rStyle w:val="FootnoteReference"/>
        </w:rPr>
        <w:footnoteReference w:id="2"/>
      </w:r>
      <w:r>
        <w:rPr>
          <w:rStyle w:val="BodyAr"/>
          <w:rFonts w:ascii="Traditional Arabic" w:cs="Traditional Arabic" w:eastAsia="Traditional Arabic" w:hAnsi="Traditional Arabic"/>
          <w:b w:val="false"/>
          <w:bCs w:val="false"/>
          <w:sz w:val="36"/>
          <w:szCs w:val="36"/>
          <w:rtl/>
        </w:rPr>
        <w:t xml:space="preserve"> والحنابلة في المشهور</w:t>
      </w:r>
      <w:r>
        <w:rPr>
          <w:rStyle w:val="FootnoteReference"/>
        </w:rPr>
        <w:footnoteReference w:id="3"/>
      </w:r>
      <w:r>
        <w:rPr>
          <w:rStyle w:val="BodyAr"/>
          <w:rFonts w:ascii="Traditional Arabic" w:cs="Traditional Arabic" w:eastAsia="Traditional Arabic" w:hAnsi="Traditional Arabic"/>
          <w:b w:val="false"/>
          <w:bCs w:val="false"/>
          <w:sz w:val="36"/>
          <w:szCs w:val="36"/>
          <w:rtl/>
        </w:rPr>
        <w:t xml:space="preserve"> يشترطون حضور شاهدين عند العقد. أما الإمام مالك رحمه الله فيكتفي بالإعلان؛ والإشهاد عند المالكية</w:t>
      </w:r>
      <w:r>
        <w:rPr>
          <w:rStyle w:val="FootnoteReference"/>
        </w:rPr>
        <w:footnoteReference w:id="4"/>
      </w:r>
      <w:r>
        <w:rPr>
          <w:rStyle w:val="BodyAr"/>
          <w:rFonts w:ascii="Traditional Arabic" w:cs="Traditional Arabic" w:eastAsia="Traditional Arabic" w:hAnsi="Traditional Arabic"/>
          <w:b w:val="false"/>
          <w:bCs w:val="false"/>
          <w:sz w:val="36"/>
          <w:szCs w:val="36"/>
          <w:rtl/>
        </w:rPr>
        <w:t xml:space="preserve"> مندوب عند العقد، واجب عند الدخول، ويُفسخ نكاح السر المتواصى بكتمانه. وعلة الإشهاد صيانة العقد من الجحود وحفظ النسب، وقد جاء في تعليلها: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«ولأنَّه يتعلَّقُ به حَقُّ غيرِ المُتَعاقِدَيْنِ، وهو الوَلَدُ، فاشْتُرِطتِ الشهادةُ فيه، لئلَّا يَجحَدَه أبُوه».</w:t>
      </w:r>
      <w:r>
        <w:rPr>
          <w:rStyle w:val="FootnoteReference"/>
        </w:rPr>
        <w:footnoteReference w:id="5"/>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التوثيق الكتابي فلم يعدّه المتقدمون ركنًا ولا شرطًا. وقد نبّه شيخ الإسلام ابن تيمية رحمه الله إلى أن الصحابة رضي الله عنهم لم يكونوا يكتبون الصداقات، وأنه قد يقال بوجوب الإشهاد في الأماكن التي يجهل الناس فيها حال بعضهم.</w:t>
      </w:r>
      <w:r>
        <w:rPr>
          <w:rStyle w:val="FootnoteReference"/>
        </w:rPr>
        <w:footnoteReference w:id="6"/>
      </w:r>
    </w:p>
    <w:p>
      <w:pPr>
        <w:pStyle w:val="MatnAr"/>
        <w:bidi/>
        <w:jc w:val="start"/>
      </w:pPr>
      <w:r>
        <w:rPr>
          <w:rStyle w:val="BodyAr"/>
          <w:rFonts w:ascii="Traditional Arabic" w:cs="Traditional Arabic" w:eastAsia="Traditional Arabic" w:hAnsi="Traditional Arabic"/>
          <w:b w:val="false"/>
          <w:bCs w:val="false"/>
          <w:sz w:val="36"/>
          <w:szCs w:val="36"/>
          <w:rtl/>
        </w:rPr>
        <w:t xml:space="preserve">واختلف المعاصرون في العقد الشرعي غير الموثق مدنيًّا بعد اتفاقهم على صحته إذا استوفى أركانه. فمنهم من لا يوجب توثيقه لأن الكتابة ليست ركنًا ولا شرطًا، ومنهم من يوجب التوثيق ويؤثّم تاركه، استنادًا إلى طاعة ولي الأمر ومصلحة حفظ الحقوق وحفظ الأنساب.</w:t>
      </w:r>
      <w:r>
        <w:rPr>
          <w:rStyle w:val="FootnoteReference"/>
        </w:rPr>
        <w:footnoteReference w:id="7"/>
      </w:r>
      <w:r>
        <w:rPr>
          <w:rStyle w:val="BodyAr"/>
          <w:rFonts w:ascii="Traditional Arabic" w:cs="Traditional Arabic" w:eastAsia="Traditional Arabic" w:hAnsi="Traditional Arabic"/>
          <w:b w:val="false"/>
          <w:bCs w:val="false"/>
          <w:sz w:val="36"/>
          <w:szCs w:val="36"/>
          <w:rtl/>
        </w:rPr>
        <w:t xml:space="preserve"> ويحتاج الاستناد إلى طاعة ولي الأمر إلى تكييف إذا كان الحاكم غير مسلم، فيُردّ الوجوب حينئذ إلى حفظ الحقوق وقاعدة أن للوسائل أحكام المقاصد.</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العقد المدني وحده فيرى بعض المعاصرين أنه لا ينعقد به نكاح شرعًا، لاجتماع مخالفات فيه: خلوّه من الولي، واكتفائه بشاهد غير مسلم، وخلوّه من المهر، وعدم اشتماله على إيجاب وقبول شرعيين؛ وأن التوثيق المدني لا صلة له بصحة العقد، فمن احتاج إليه أجرى بعده عقدًا بصيغة شرعية.</w:t>
      </w:r>
      <w:r>
        <w:rPr>
          <w:rStyle w:val="FootnoteReference"/>
        </w:rPr>
        <w:footnoteReference w:id="8"/>
      </w:r>
      <w:r>
        <w:rPr>
          <w:rStyle w:val="BodyAr"/>
          <w:rFonts w:ascii="Traditional Arabic" w:cs="Traditional Arabic" w:eastAsia="Traditional Arabic" w:hAnsi="Traditional Arabic"/>
          <w:b w:val="false"/>
          <w:bCs w:val="false"/>
          <w:sz w:val="36"/>
          <w:szCs w:val="36"/>
          <w:rtl/>
        </w:rPr>
        <w:t xml:space="preserve"> ويرى آخرون أن العقد المدني إذا تحقق إشهاره وخلا من موانع الزواج ترتبت عليه آثار الزواج للشبهة، مع وجوب إعادته في الإطار الإسلامي.</w:t>
      </w:r>
      <w:r>
        <w:rPr>
          <w:rStyle w:val="FootnoteReference"/>
        </w:rPr>
        <w:footnoteReference w:id="9"/>
      </w:r>
    </w:p>
    <w:p>
      <w:pPr>
        <w:pStyle w:val="HMas"/>
        <w:bidi/>
        <w:jc w:val="start"/>
      </w:pPr>
      <w:r>
        <w:rPr>
          <w:rFonts w:ascii="Traditional Arabic" w:cs="Traditional Arabic" w:eastAsia="Traditional Arabic" w:hAnsi="Traditional Arabic"/>
          <w:b/>
          <w:bCs/>
          <w:sz w:val="36"/>
          <w:szCs w:val="36"/>
          <w:rtl/>
        </w:rPr>
        <w:t xml:space="preserve">ثالثًا: الحكم القانوني الأرجنتيني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تشترط المادة 406 من القانون المدني والتجاري</w:t>
      </w:r>
      <w:r>
        <w:rPr>
          <w:rStyle w:val="FootnoteReference"/>
        </w:rPr>
        <w:footnoteReference w:id="10"/>
      </w:r>
      <w:r>
        <w:rPr>
          <w:rStyle w:val="BodyAr"/>
          <w:rFonts w:ascii="Traditional Arabic" w:cs="Traditional Arabic" w:eastAsia="Traditional Arabic" w:hAnsi="Traditional Arabic"/>
          <w:b w:val="false"/>
          <w:bCs w:val="false"/>
          <w:sz w:val="36"/>
          <w:szCs w:val="36"/>
          <w:rtl/>
        </w:rPr>
        <w:t xml:space="preserve"> لوجود الزواج رضا الزوجين معبَّرًا عنه بشخصيهما أمام السلطة المختصة بإبرامه، وتنص على أن:</w:t>
      </w:r>
    </w:p>
    <w:p>
      <w:pPr>
        <w:pStyle w:val="QForeign"/>
      </w:pPr>
      <w:r>
        <w:rPr>
          <w:rStyle w:val="BodyLat"/>
        </w:rPr>
        <w:t xml:space="preserve">«El acto que carece de este requisito no produce efectos civiles.»</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أي أن «التصرف الذي يخلو من هذا الشرط لا يرتّب آثارًا مدنية». وقد عدّ الشرّاح فقد هذا الشرط سببًا لانعدام التصرف (</w:t>
      </w:r>
      <w:r>
        <w:rPr>
          <w:rStyle w:val="BodyLat"/>
          <w:rFonts w:ascii="Times New Roman" w:cs="Times New Roman" w:eastAsia="Times New Roman" w:hAnsi="Times New Roman"/>
          <w:i w:val="false"/>
          <w:iCs w:val="false"/>
          <w:sz w:val="24"/>
          <w:szCs w:val="24"/>
        </w:rPr>
        <w:t xml:space="preserve">inexistencia</w:t>
      </w:r>
      <w:r>
        <w:rPr>
          <w:rStyle w:val="BodyAr"/>
          <w:rFonts w:ascii="Traditional Arabic" w:cs="Traditional Arabic" w:eastAsia="Traditional Arabic" w:hAnsi="Traditional Arabic"/>
          <w:b w:val="false"/>
          <w:bCs w:val="false"/>
          <w:sz w:val="36"/>
          <w:szCs w:val="36"/>
          <w:rtl/>
        </w:rPr>
        <w:t xml:space="preserve">) لا لبطلانه، فلا زواج إذا أُعطي الرضا أمام سلطة دينية فقط.</w:t>
      </w:r>
      <w:r>
        <w:rPr>
          <w:rStyle w:val="FootnoteReference"/>
        </w:rPr>
        <w:footnoteReference w:id="11"/>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وتشترط المادة 418 أن يُعقد الزواج علنًا بحضور شاهدين، وأربعة إن عُقد خارج مكتب السجل.</w:t>
      </w:r>
      <w:r>
        <w:rPr>
          <w:rStyle w:val="FootnoteReference"/>
        </w:rPr>
        <w:footnoteReference w:id="12"/>
      </w:r>
      <w:r>
        <w:rPr>
          <w:rStyle w:val="BodyAr"/>
          <w:rFonts w:ascii="Traditional Arabic" w:cs="Traditional Arabic" w:eastAsia="Traditional Arabic" w:hAnsi="Traditional Arabic"/>
          <w:b w:val="false"/>
          <w:bCs w:val="false"/>
          <w:sz w:val="36"/>
          <w:szCs w:val="36"/>
          <w:rtl/>
        </w:rPr>
        <w:t xml:space="preserve"> ولا يُقيَّد في دفاتر الزواج إلا ما عُقد أمام السلطة المختصة أو أمر بقيده قاضٍ.</w:t>
      </w:r>
      <w:r>
        <w:rPr>
          <w:rStyle w:val="FootnoteReference"/>
        </w:rPr>
        <w:footnoteReference w:id="13"/>
      </w:r>
      <w:r>
        <w:rPr>
          <w:rStyle w:val="BodyAr"/>
          <w:rFonts w:ascii="Traditional Arabic" w:cs="Traditional Arabic" w:eastAsia="Traditional Arabic" w:hAnsi="Traditional Arabic"/>
          <w:b w:val="false"/>
          <w:bCs w:val="false"/>
          <w:sz w:val="36"/>
          <w:szCs w:val="36"/>
          <w:rtl/>
        </w:rPr>
        <w:t xml:space="preserve"> وحيازة الحالة الزوجية (</w:t>
      </w:r>
      <w:r>
        <w:rPr>
          <w:rStyle w:val="BodyLat"/>
          <w:rFonts w:ascii="Times New Roman" w:cs="Times New Roman" w:eastAsia="Times New Roman" w:hAnsi="Times New Roman"/>
          <w:i w:val="false"/>
          <w:iCs w:val="false"/>
          <w:sz w:val="24"/>
          <w:szCs w:val="24"/>
        </w:rPr>
        <w:t xml:space="preserve">posesión de estado</w:t>
      </w:r>
      <w:r>
        <w:rPr>
          <w:rStyle w:val="BodyAr"/>
          <w:rFonts w:ascii="Traditional Arabic" w:cs="Traditional Arabic" w:eastAsia="Traditional Arabic" w:hAnsi="Traditional Arabic"/>
          <w:b w:val="false"/>
          <w:bCs w:val="false"/>
          <w:sz w:val="36"/>
          <w:szCs w:val="36"/>
          <w:rtl/>
        </w:rPr>
        <w:t xml:space="preserve">) وحدها لا تكفي لإثبات الزواج.</w:t>
      </w:r>
      <w:r>
        <w:rPr>
          <w:rStyle w:val="FootnoteReference"/>
        </w:rPr>
        <w:footnoteReference w:id="14"/>
      </w:r>
    </w:p>
    <w:p>
      <w:pPr>
        <w:pStyle w:val="MatnAr"/>
        <w:bidi/>
        <w:jc w:val="start"/>
      </w:pPr>
      <w:r>
        <w:rPr>
          <w:rStyle w:val="BodyAr"/>
          <w:rFonts w:ascii="Traditional Arabic" w:cs="Traditional Arabic" w:eastAsia="Traditional Arabic" w:hAnsi="Traditional Arabic"/>
          <w:b w:val="false"/>
          <w:bCs w:val="false"/>
          <w:sz w:val="36"/>
          <w:szCs w:val="36"/>
          <w:rtl/>
        </w:rPr>
        <w:t xml:space="preserve">وأقرب نظام قانوني يستوعب من اقتصر على العقد الشرعي هو الاتحاد المعيشي (</w:t>
      </w:r>
      <w:r>
        <w:rPr>
          <w:rStyle w:val="BodyLat"/>
          <w:rFonts w:ascii="Times New Roman" w:cs="Times New Roman" w:eastAsia="Times New Roman" w:hAnsi="Times New Roman"/>
          <w:i w:val="false"/>
          <w:iCs w:val="false"/>
          <w:sz w:val="24"/>
          <w:szCs w:val="24"/>
        </w:rPr>
        <w:t xml:space="preserve">unión convivencial</w:t>
      </w:r>
      <w:r>
        <w:rPr>
          <w:rStyle w:val="BodyAr"/>
          <w:rFonts w:ascii="Traditional Arabic" w:cs="Traditional Arabic" w:eastAsia="Traditional Arabic" w:hAnsi="Traditional Arabic"/>
          <w:b w:val="false"/>
          <w:bCs w:val="false"/>
          <w:sz w:val="36"/>
          <w:szCs w:val="36"/>
          <w:rtl/>
        </w:rPr>
        <w:t xml:space="preserve">)،</w:t>
      </w:r>
      <w:r>
        <w:rPr>
          <w:rStyle w:val="FootnoteReference"/>
        </w:rPr>
        <w:footnoteReference w:id="15"/>
      </w:r>
      <w:r>
        <w:rPr>
          <w:rStyle w:val="BodyAr"/>
          <w:rFonts w:ascii="Traditional Arabic" w:cs="Traditional Arabic" w:eastAsia="Traditional Arabic" w:hAnsi="Traditional Arabic"/>
          <w:b w:val="false"/>
          <w:bCs w:val="false"/>
          <w:sz w:val="36"/>
          <w:szCs w:val="36"/>
          <w:rtl/>
        </w:rPr>
        <w:t xml:space="preserve"> ويُشترط له استمرار المساكنة سنتين وانتفاء مانع الرابطة الزوجية. وأثره محدود: فالأموال المكتسبة تبقى في ذمة من اكتسبها ما لم يوجد اتفاق،</w:t>
      </w:r>
      <w:r>
        <w:rPr>
          <w:rStyle w:val="FootnoteReference"/>
        </w:rPr>
        <w:footnoteReference w:id="16"/>
      </w:r>
      <w:r>
        <w:rPr>
          <w:rStyle w:val="BodyAr"/>
          <w:rFonts w:ascii="Traditional Arabic" w:cs="Traditional Arabic" w:eastAsia="Traditional Arabic" w:hAnsi="Traditional Arabic"/>
          <w:b w:val="false"/>
          <w:bCs w:val="false"/>
          <w:sz w:val="36"/>
          <w:szCs w:val="36"/>
          <w:rtl/>
        </w:rPr>
        <w:t xml:space="preserve"> ولا يرث إلا الزوج لا الشريك في هذا الاتحاد،</w:t>
      </w:r>
      <w:r>
        <w:rPr>
          <w:rStyle w:val="FootnoteReference"/>
        </w:rPr>
        <w:footnoteReference w:id="17"/>
      </w:r>
      <w:r>
        <w:rPr>
          <w:rStyle w:val="BodyAr"/>
          <w:rFonts w:ascii="Traditional Arabic" w:cs="Traditional Arabic" w:eastAsia="Traditional Arabic" w:hAnsi="Traditional Arabic"/>
          <w:b w:val="false"/>
          <w:bCs w:val="false"/>
          <w:sz w:val="36"/>
          <w:szCs w:val="36"/>
          <w:rtl/>
        </w:rPr>
        <w:t xml:space="preserve"> ولا يثبت للباقي منهما إلا حق السكنى سنتين.</w:t>
      </w:r>
      <w:r>
        <w:rPr>
          <w:rStyle w:val="FootnoteReference"/>
        </w:rPr>
        <w:footnoteReference w:id="18"/>
      </w:r>
      <w:r>
        <w:rPr>
          <w:rStyle w:val="BodyAr"/>
          <w:rFonts w:ascii="Traditional Arabic" w:cs="Traditional Arabic" w:eastAsia="Traditional Arabic" w:hAnsi="Traditional Arabic"/>
          <w:b w:val="false"/>
          <w:bCs w:val="false"/>
          <w:sz w:val="36"/>
          <w:szCs w:val="36"/>
          <w:rtl/>
        </w:rPr>
        <w:t xml:space="preserve"> ولم تقف الدراسة فيما اطّلعت عليه من الأحكام على حكم أرجنتيني في أثر العقد الشرعي وحده.</w:t>
      </w:r>
    </w:p>
    <w:p>
      <w:pPr>
        <w:pStyle w:val="HMas"/>
        <w:bidi/>
        <w:jc w:val="start"/>
      </w:pPr>
      <w:r>
        <w:rPr>
          <w:rFonts w:ascii="Traditional Arabic" w:cs="Traditional Arabic" w:eastAsia="Traditional Arabic" w:hAnsi="Traditional Arabic"/>
          <w:b/>
          <w:bCs/>
          <w:sz w:val="36"/>
          <w:szCs w:val="36"/>
          <w:rtl/>
        </w:rPr>
        <w:t xml:space="preserve">رابعًا: المقارنة والحلول</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يتفق الفقه والقانون على أن الزواج لا يكون سرًّا، وأن علة ذلك صيانة العقد من الجحود وحفظ النسب. ويفترقان في ثلاثة مواضع: الأول أن القانون يجعل حضور الموظف العام شرط وجود للزواج، بينما لا يجعل الفقه التوثيق شرط صحة، فالعقد الشرعي صحيح في الشريعة لا وجود له في القانون. والثاني أن العقد المدني وحده صحيح في القانون، مختلف فيه في الشريعة بين من يمنع انعقاده ومن يرتب عليه آثار الشبهة. والثالث أن القانون لا يشترط في الشاهدين الإسلام، بخلاف المذاهب الأربعة في نكاح المسلمة.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ويمكن الجمع بين العقدين بأربع وسائل، يُفصَّل القول فيها في الفصل الخامس: أولاها العقد المزدوج في مجلس واحد، لأن المادة 418 تجيز عقد الزواج المدني خارج المكتب بأربعة شهود دون اشتراط تعذر الحضور،</w:t>
      </w:r>
      <w:r>
        <w:rPr>
          <w:rStyle w:val="FootnoteReference"/>
        </w:rPr>
        <w:footnoteReference w:id="19"/>
      </w:r>
      <w:r>
        <w:rPr>
          <w:rStyle w:val="BodyAr"/>
          <w:rFonts w:ascii="Traditional Arabic" w:cs="Traditional Arabic" w:eastAsia="Traditional Arabic" w:hAnsi="Traditional Arabic"/>
          <w:b w:val="false"/>
          <w:bCs w:val="false"/>
          <w:sz w:val="36"/>
          <w:szCs w:val="36"/>
          <w:rtl/>
        </w:rPr>
        <w:t xml:space="preserve"> فيحضر الموظف إلى المسجد ويُجرى العقدان معًا، مع اختيار شاهدين مسلمين وإجراء الإيجاب والقبول الشرعيين بحضور الولي. وثانيتها تقديم العقد المدني وإجراء العقد الشرعي عقبه مباشرة. وثالثتها حماية من اقتصرت على العقد الشرعي باتفاق مكتوب في الأموال والسكن ووصية في حدود ما يجيزه القانون. ورابعتها بروتوكول موحد تلتزمه المراكز الإسلامية.</w:t>
      </w:r>
    </w:p>
    <w:p>
      <w:r>
        <w:br w:type="page"/>
      </w:r>
    </w:p>
    <w:p>
      <w:pPr>
        <w:pStyle w:val="HSub"/>
        <w:bidi/>
        <w:jc w:val="start"/>
      </w:pPr>
      <w:r>
        <w:rPr>
          <w:rFonts w:ascii="Traditional Arabic" w:cs="Traditional Arabic" w:eastAsia="Traditional Arabic" w:hAnsi="Traditional Arabic"/>
          <w:b/>
          <w:bCs/>
          <w:sz w:val="36"/>
          <w:szCs w:val="36"/>
          <w:rtl/>
        </w:rPr>
        <w:t xml:space="preserve">ملحق للمراجعة (ليس من المتن)</w:t>
      </w:r>
    </w:p>
    <w:p>
      <w:pPr>
        <w:pStyle w:val="MatnAr"/>
        <w:bidi/>
        <w:jc w:val="start"/>
      </w:pPr>
      <w:r>
        <w:rPr>
          <w:rStyle w:val="BodyAr"/>
          <w:rFonts w:ascii="Traditional Arabic" w:cs="Traditional Arabic" w:eastAsia="Traditional Arabic" w:hAnsi="Traditional Arabic"/>
          <w:b w:val="false"/>
          <w:bCs w:val="false"/>
          <w:sz w:val="36"/>
          <w:szCs w:val="36"/>
          <w:rtl/>
        </w:rPr>
        <w:t xml:space="preserve">• قرار معلّق: في العقد المدني وحده، هل يُعتمد في الرسالة قول من لا يصححه أم قرار المجمع (شبهة مع وجوب الإعادة)؟ عُرض القولان بلا ترجيح.</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الملاحظة الميدانية في المقدمة (اشتراط بعض المراكز محضر الزواج المدني) من خبرة الباحث، ولا حاشية لها بحسب قاعدة عدم الاستشهاد بأعماله.</w:t>
      </w:r>
    </w:p>
    <w:p>
      <w:pPr>
        <w:pStyle w:val="MatnAr"/>
        <w:bidi/>
        <w:jc w:val="start"/>
      </w:pPr>
      <w:r>
        <w:rPr>
          <w:rStyle w:val="BodyAr"/>
          <w:rFonts w:ascii="Traditional Arabic" w:cs="Traditional Arabic" w:eastAsia="Traditional Arabic" w:hAnsi="Traditional Arabic"/>
          <w:b w:val="false"/>
          <w:bCs w:val="false"/>
          <w:sz w:val="36"/>
          <w:szCs w:val="36"/>
          <w:rtl/>
        </w:rPr>
        <w:t xml:space="preserve">• بيانات الطبعات (الهداية، مغني المحتاج، المغني، الشرح الكبير، مجموع الفتاوى، السبيعي، يسري إبراهيم) تُذكر في ثبت المصادر آخر الرسالة، ولم تُطابق صفحات المغني على طبعة دار عالم الكتب 1997 بعد.</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9: نص قرار المجمع (2004) منقول من تقرير المشروع ولم يُطابق على صفحة القرار ولا على </w:t>
      </w:r>
      <w:r>
        <w:rPr>
          <w:rStyle w:val="BodyLat"/>
          <w:rFonts w:ascii="Times New Roman" w:cs="Times New Roman" w:eastAsia="Times New Roman" w:hAnsi="Times New Roman"/>
          <w:i w:val="false"/>
          <w:iCs w:val="false"/>
          <w:sz w:val="24"/>
          <w:szCs w:val="24"/>
        </w:rPr>
        <w:t xml:space="preserve">PDF</w:t>
      </w:r>
      <w:r>
        <w:rPr>
          <w:rStyle w:val="BodyAr"/>
          <w:rFonts w:ascii="Traditional Arabic" w:cs="Traditional Arabic" w:eastAsia="Traditional Arabic" w:hAnsi="Traditional Arabic"/>
          <w:b w:val="false"/>
          <w:bCs w:val="false"/>
          <w:sz w:val="36"/>
          <w:szCs w:val="36"/>
          <w:rtl/>
        </w:rPr>
        <w:t xml:space="preserve">؛ يحتاج مطابقة قبل الطباعة.</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7 (السبيعي): لم تُنقل حاشية الصفحة 162 بحروفها، وموضع حاشية القول الثاني بين ص164 وص165 غير محسوم.</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الحاشيتان 11 و19: ترجمة نصوص الشرّاح أولية. والحواشي 14 و16 و18 (المواد 423 و528 و527): لم تُنقل نصوصها بعد إلى المرجع الموحد للنصوص القانونية. والحاشية 12: عدم اشتراط دين الشاهدين في المادة 418 مستنتج من سكوت النص.</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19: لوائح سجل بوينس آيرس في إجراء الزواج المدني داخل دور العبادة لم يُتحقق منها.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 حُذف من المتن ما لم يُقرأ نصه: حكم محكمة فوز دو إيغواسو (البرازيل)، وحكم </w:t>
      </w:r>
      <w:r>
        <w:rPr>
          <w:rStyle w:val="BodyLat"/>
          <w:rFonts w:ascii="Times New Roman" w:cs="Times New Roman" w:eastAsia="Times New Roman" w:hAnsi="Times New Roman"/>
          <w:i w:val="false"/>
          <w:iCs w:val="false"/>
          <w:sz w:val="24"/>
          <w:szCs w:val="24"/>
        </w:rPr>
        <w:t xml:space="preserve">Akhter v Khan</w:t>
      </w:r>
      <w:r>
        <w:rPr>
          <w:rStyle w:val="BodyAr"/>
          <w:rFonts w:ascii="Traditional Arabic" w:cs="Traditional Arabic" w:eastAsia="Traditional Arabic" w:hAnsi="Traditional Arabic"/>
          <w:b w:val="false"/>
          <w:bCs w:val="false"/>
          <w:sz w:val="36"/>
          <w:szCs w:val="36"/>
          <w:rtl/>
        </w:rPr>
        <w:t xml:space="preserve"> (إنجلترا 2020)، ونسبة قرار المؤتمر السادس (2009).</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الروابط في حاشيتي القانون والمجمع إبقاءٌ لتوجيه المشرف في الإحالة إلى المصدر الرسمي؛ ويُعدَّل إن رأيتَ غير ذلك.</w:t>
      </w:r>
    </w:p>
    <w:sectPr>
      <w:footerReference w:type="default" r:id="rId7"/>
      <w:pgSz w:w="11906" w:h="16838" w:orient="portrait"/>
      <w:pgMar w:top="1418" w:right="1985" w:bottom="1701" w:left="851"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aditional Arabic" w:cs="Traditional Arabic" w:eastAsia="Traditional Arabic" w:hAnsi="Traditional Arabic"/>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المرغيناني، </w:t>
      </w:r>
      <w:r>
        <w:rPr>
          <w:rStyle w:val="FootAr"/>
          <w:rFonts w:ascii="Traditional Arabic" w:cs="Traditional Arabic" w:eastAsia="Traditional Arabic" w:hAnsi="Traditional Arabic"/>
          <w:b/>
          <w:bCs/>
          <w:sz w:val="28"/>
          <w:szCs w:val="28"/>
          <w:rtl/>
        </w:rPr>
        <w:t xml:space="preserve">الهداية في شرح بداية المبتدي</w:t>
      </w:r>
      <w:r>
        <w:rPr>
          <w:rStyle w:val="FootAr"/>
          <w:rFonts w:ascii="Traditional Arabic" w:cs="Traditional Arabic" w:eastAsia="Traditional Arabic" w:hAnsi="Traditional Arabic"/>
          <w:b w:val="false"/>
          <w:bCs w:val="false"/>
          <w:sz w:val="28"/>
          <w:szCs w:val="28"/>
          <w:rtl/>
        </w:rPr>
        <w:t xml:space="preserve">، ج1، ص185.</w:t>
      </w:r>
    </w:p>
  </w:footnote>
  <w:footnote w:id="2">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الخطيب الشربيني، </w:t>
      </w:r>
      <w:r>
        <w:rPr>
          <w:rStyle w:val="FootAr"/>
          <w:rFonts w:ascii="Traditional Arabic" w:cs="Traditional Arabic" w:eastAsia="Traditional Arabic" w:hAnsi="Traditional Arabic"/>
          <w:b/>
          <w:bCs/>
          <w:sz w:val="28"/>
          <w:szCs w:val="28"/>
          <w:rtl/>
        </w:rPr>
        <w:t xml:space="preserve">مغني المحتاج إلى معرفة معاني ألفاظ المنهاج</w:t>
      </w:r>
      <w:r>
        <w:rPr>
          <w:rStyle w:val="FootAr"/>
          <w:rFonts w:ascii="Traditional Arabic" w:cs="Traditional Arabic" w:eastAsia="Traditional Arabic" w:hAnsi="Traditional Arabic"/>
          <w:b w:val="false"/>
          <w:bCs w:val="false"/>
          <w:sz w:val="28"/>
          <w:szCs w:val="28"/>
          <w:rtl/>
        </w:rPr>
        <w:t xml:space="preserve">، ج4، ص234.</w:t>
      </w:r>
    </w:p>
  </w:footnote>
  <w:footnote w:id="3">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تحقيق التركي، ج9، ص347.</w:t>
      </w:r>
    </w:p>
  </w:footnote>
  <w:footnote w:id="4">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الدردير، </w:t>
      </w:r>
      <w:r>
        <w:rPr>
          <w:rStyle w:val="FootAr"/>
          <w:rFonts w:ascii="Traditional Arabic" w:cs="Traditional Arabic" w:eastAsia="Traditional Arabic" w:hAnsi="Traditional Arabic"/>
          <w:b/>
          <w:bCs/>
          <w:sz w:val="28"/>
          <w:szCs w:val="28"/>
          <w:rtl/>
        </w:rPr>
        <w:t xml:space="preserve">الشرح الكبير</w:t>
      </w:r>
      <w:r>
        <w:rPr>
          <w:rStyle w:val="FootAr"/>
          <w:rFonts w:ascii="Traditional Arabic" w:cs="Traditional Arabic" w:eastAsia="Traditional Arabic" w:hAnsi="Traditional Arabic"/>
          <w:b w:val="false"/>
          <w:bCs w:val="false"/>
          <w:sz w:val="28"/>
          <w:szCs w:val="28"/>
          <w:rtl/>
        </w:rPr>
        <w:t xml:space="preserve"> (بحاشية الدسوقي)، ج2، ص216، 236–237.</w:t>
      </w:r>
    </w:p>
  </w:footnote>
  <w:footnote w:id="5">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ج9، ص348.</w:t>
      </w:r>
    </w:p>
  </w:footnote>
  <w:footnote w:id="6">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ابن تيمية، </w:t>
      </w:r>
      <w:r>
        <w:rPr>
          <w:rStyle w:val="FootAr"/>
          <w:rFonts w:ascii="Traditional Arabic" w:cs="Traditional Arabic" w:eastAsia="Traditional Arabic" w:hAnsi="Traditional Arabic"/>
          <w:b/>
          <w:bCs/>
          <w:sz w:val="28"/>
          <w:szCs w:val="28"/>
          <w:rtl/>
        </w:rPr>
        <w:t xml:space="preserve">مجموع الفتاوى</w:t>
      </w:r>
      <w:r>
        <w:rPr>
          <w:rStyle w:val="FootAr"/>
          <w:rFonts w:ascii="Traditional Arabic" w:cs="Traditional Arabic" w:eastAsia="Traditional Arabic" w:hAnsi="Traditional Arabic"/>
          <w:b w:val="false"/>
          <w:bCs w:val="false"/>
          <w:sz w:val="28"/>
          <w:szCs w:val="28"/>
          <w:rtl/>
        </w:rPr>
        <w:t xml:space="preserve">، ج32، ص131، بتصرف.</w:t>
      </w:r>
    </w:p>
  </w:footnote>
  <w:footnote w:id="7">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السبيعي، </w:t>
      </w:r>
      <w:r>
        <w:rPr>
          <w:rStyle w:val="FootAr"/>
          <w:rFonts w:ascii="Traditional Arabic" w:cs="Traditional Arabic" w:eastAsia="Traditional Arabic" w:hAnsi="Traditional Arabic"/>
          <w:b/>
          <w:bCs/>
          <w:sz w:val="28"/>
          <w:szCs w:val="28"/>
          <w:rtl/>
        </w:rPr>
        <w:t xml:space="preserve">المسائل الفقهية المستجدة في النكاح مع بيان ما أخذ به القانون الكويتي</w:t>
      </w:r>
      <w:r>
        <w:rPr>
          <w:rStyle w:val="FootAr"/>
          <w:rFonts w:ascii="Traditional Arabic" w:cs="Traditional Arabic" w:eastAsia="Traditional Arabic" w:hAnsi="Traditional Arabic"/>
          <w:b w:val="false"/>
          <w:bCs w:val="false"/>
          <w:sz w:val="28"/>
          <w:szCs w:val="28"/>
          <w:rtl/>
        </w:rPr>
        <w:t xml:space="preserve">، ص162، 164–166، بتصرف.</w:t>
      </w:r>
    </w:p>
  </w:footnote>
  <w:footnote w:id="8">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يسري إبراهيم، </w:t>
      </w:r>
      <w:r>
        <w:rPr>
          <w:rStyle w:val="FootAr"/>
          <w:rFonts w:ascii="Traditional Arabic" w:cs="Traditional Arabic" w:eastAsia="Traditional Arabic" w:hAnsi="Traditional Arabic"/>
          <w:b/>
          <w:bCs/>
          <w:sz w:val="28"/>
          <w:szCs w:val="28"/>
          <w:rtl/>
        </w:rPr>
        <w:t xml:space="preserve">فقه النوازل للأقليات المسلمة</w:t>
      </w:r>
      <w:r>
        <w:rPr>
          <w:rStyle w:val="FootAr"/>
          <w:rFonts w:ascii="Traditional Arabic" w:cs="Traditional Arabic" w:eastAsia="Traditional Arabic" w:hAnsi="Traditional Arabic"/>
          <w:b w:val="false"/>
          <w:bCs w:val="false"/>
          <w:sz w:val="28"/>
          <w:szCs w:val="28"/>
          <w:rtl/>
        </w:rPr>
        <w:t xml:space="preserve">، ج2، ص991–992، 998، بتصرف.</w:t>
      </w:r>
    </w:p>
  </w:footnote>
  <w:footnote w:id="9">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قرارات المؤتمر السنوي الثاني لمجمع فقهاء الشريعة بأمريكا، كوبنهاغن، 22–25 يونيو 2004م، المحور السادس. </w:t>
      </w:r>
      <w:r>
        <w:rPr>
          <w:rStyle w:val="FootLat"/>
          <w:rFonts w:ascii="Times New Roman" w:cs="Times New Roman" w:eastAsia="Times New Roman" w:hAnsi="Times New Roman"/>
          <w:i w:val="false"/>
          <w:iCs w:val="false"/>
          <w:sz w:val="20"/>
          <w:szCs w:val="20"/>
        </w:rPr>
        <w:t xml:space="preserve">https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www.amjaonline.org</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declaration-articles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decisions-and-recommendations-of-amjas-second-annual-convention-denmark-ar</w:t>
      </w:r>
    </w:p>
  </w:footnote>
  <w:footnote w:id="10">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406.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1">
    <w:p>
      <w:pPr>
        <w:pStyle w:val="FootP"/>
        <w:bidi/>
        <w:jc w:val="start"/>
      </w:pPr>
      <w:r>
        <w:rPr>
          <w:rStyle w:val="FootnoteReference"/>
        </w:rPr>
        <w:footnoteRef/>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pp. 13</w:t>
      </w:r>
      <w:r>
        <w:rPr>
          <w:rStyle w:val="FootAr"/>
          <w:rFonts w:ascii="Traditional Arabic" w:cs="Traditional Arabic" w:eastAsia="Traditional Arabic" w:hAnsi="Traditional Arabic"/>
          <w:b w:val="false"/>
          <w:bCs w:val="false"/>
          <w:sz w:val="28"/>
          <w:szCs w:val="28"/>
          <w:rtl/>
        </w:rPr>
        <w:t xml:space="preserve">–14، بتصرف.</w:t>
      </w:r>
    </w:p>
  </w:footnote>
  <w:footnote w:id="12">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418.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3">
    <w:p>
      <w:pPr>
        <w:pStyle w:val="FootP"/>
        <w:bidi/>
        <w:jc w:val="start"/>
      </w:pPr>
      <w:r>
        <w:rPr>
          <w:rStyle w:val="FootnoteReference"/>
        </w:rPr>
        <w:footnoteRef/>
      </w:r>
      <w:r>
        <w:rPr>
          <w:rStyle w:val="FootLat"/>
          <w:rFonts w:ascii="Times New Roman" w:cs="Times New Roman" w:eastAsia="Times New Roman" w:hAnsi="Times New Roman"/>
          <w:i w:val="false"/>
          <w:iCs w:val="false"/>
          <w:sz w:val="20"/>
          <w:szCs w:val="20"/>
        </w:rPr>
        <w:t xml:space="preserve">Ley 26.413 de Registro del Estado Civil y Capacidad de las Personas</w:t>
      </w:r>
      <w:r>
        <w:rPr>
          <w:rStyle w:val="FootAr"/>
          <w:rFonts w:ascii="Traditional Arabic" w:cs="Traditional Arabic" w:eastAsia="Traditional Arabic" w:hAnsi="Traditional Arabic"/>
          <w:b w:val="false"/>
          <w:bCs w:val="false"/>
          <w:sz w:val="28"/>
          <w:szCs w:val="28"/>
          <w:rtl/>
        </w:rPr>
        <w:t xml:space="preserve">، المادتان 1 و51.</w:t>
      </w:r>
    </w:p>
  </w:footnote>
  <w:footnote w:id="14">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423.</w:t>
      </w:r>
    </w:p>
  </w:footnote>
  <w:footnote w:id="15">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المادتان 509 و510.</w:t>
      </w:r>
    </w:p>
  </w:footnote>
  <w:footnote w:id="16">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528.</w:t>
      </w:r>
    </w:p>
  </w:footnote>
  <w:footnote w:id="17">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2424.</w:t>
      </w:r>
    </w:p>
  </w:footnote>
  <w:footnote w:id="18">
    <w:p>
      <w:pPr>
        <w:pStyle w:val="FootP"/>
        <w:bidi/>
        <w:jc w:val="start"/>
      </w:pPr>
      <w:r>
        <w:rPr>
          <w:rStyle w:val="FootnoteReference"/>
        </w:rPr>
        <w:footnoteRef/>
      </w:r>
      <w:r>
        <w:rPr>
          <w:rStyle w:val="FootAr"/>
          <w:rFonts w:ascii="Traditional Arabic" w:cs="Traditional Arabic" w:eastAsia="Traditional Arabic" w:hAnsi="Traditional Arabic"/>
          <w:b w:val="false"/>
          <w:bCs w:val="false"/>
          <w:sz w:val="28"/>
          <w:szCs w:val="28"/>
          <w:rtl/>
        </w:rPr>
        <w:t xml:space="preserve">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527.</w:t>
      </w:r>
    </w:p>
  </w:footnote>
  <w:footnote w:id="19">
    <w:p>
      <w:pPr>
        <w:pStyle w:val="FootP"/>
        <w:bidi/>
        <w:jc w:val="start"/>
      </w:pPr>
      <w:r>
        <w:rPr>
          <w:rStyle w:val="FootnoteReference"/>
        </w:rPr>
        <w:footnoteRef/>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sz w:val="36"/>
        <w:szCs w:val="36"/>
        <w:rtl/>
        <w:lang w:val="ar-SA" w:eastAsia="ar-SA"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atnAr">
    <w:name w:val="متن عربي 18"/>
    <w:basedOn w:val="Normal"/>
    <w:qFormat/>
    <w:pPr>
      <w:bidi/>
      <w:spacing w:after="60" w:line="240" w:lineRule="auto"/>
      <w:jc w:val="start"/>
    </w:pPr>
    <w:rPr>
      <w:rFonts w:ascii="Traditional Arabic" w:cs="Traditional Arabic" w:eastAsia="Traditional Arabic" w:hAnsi="Traditional Arabic"/>
      <w:color w:val="000000"/>
      <w:sz w:val="36"/>
      <w:szCs w:val="36"/>
    </w:rPr>
  </w:style>
  <w:style w:type="paragraph" w:styleId="HMain">
    <w:name w:val="عنوان رئيسي عربي Bold"/>
    <w:basedOn w:val="MatnAr"/>
    <w:pPr>
      <w:keepNext/>
      <w:spacing w:after="120" w:before="120"/>
    </w:pPr>
    <w:rPr>
      <w:b/>
      <w:bCs/>
      <w:sz w:val="40"/>
      <w:szCs w:val="40"/>
    </w:rPr>
  </w:style>
  <w:style w:type="paragraph" w:styleId="HSub">
    <w:name w:val="عنوان فرعي عربي Bold"/>
    <w:basedOn w:val="MatnAr"/>
    <w:pPr>
      <w:keepNext/>
      <w:spacing w:after="60" w:before="120"/>
    </w:pPr>
    <w:rPr>
      <w:b/>
      <w:bCs/>
      <w:sz w:val="36"/>
      <w:szCs w:val="36"/>
    </w:rPr>
  </w:style>
  <w:style w:type="paragraph" w:styleId="HMas">
    <w:name w:val="عنوان مسألة عربي Bold"/>
    <w:basedOn w:val="MatnAr"/>
    <w:pPr>
      <w:keepNext/>
      <w:spacing w:after="120" w:before="120"/>
    </w:pPr>
    <w:rPr>
      <w:b/>
      <w:bCs/>
      <w:sz w:val="36"/>
      <w:szCs w:val="36"/>
    </w:rPr>
  </w:style>
  <w:style w:type="paragraph" w:styleId="FootP">
    <w:name w:val="حاشية عربية 14"/>
    <w:basedOn w:val="MatnAr"/>
    <w:pPr>
      <w:spacing w:after="0"/>
    </w:pPr>
    <w:rPr>
      <w:sz w:val="28"/>
      <w:szCs w:val="28"/>
    </w:rPr>
  </w:style>
  <w:style w:type="paragraph" w:styleId="QForeign">
    <w:name w:val="اقتباس أجنبي"/>
    <w:basedOn w:val="Normal"/>
    <w:pPr>
      <w:bidi w:val="false"/>
      <w:spacing w:after="60" w:line="240"/>
      <w:jc w:val="left"/>
    </w:pPr>
    <w:rPr>
      <w:rFonts w:ascii="Times New Roman" w:cs="Times New Roman" w:eastAsia="Times New Roman" w:hAnsi="Times New Roman"/>
      <w:sz w:val="24"/>
      <w:szCs w:val="24"/>
    </w:rPr>
  </w:style>
  <w:style w:type="character" w:styleId="BodyAr">
    <w:name w:val="متن عربي (حرف)"/>
    <w:uiPriority w:val="99"/>
    <w:unhideWhenUsed/>
    <w:rPr>
      <w:rFonts w:ascii="Traditional Arabic" w:cs="Traditional Arabic" w:eastAsia="Traditional Arabic" w:hAnsi="Traditional Arabic"/>
      <w:color w:val="000000"/>
      <w:sz w:val="36"/>
      <w:szCs w:val="36"/>
      <w:rtl/>
    </w:rPr>
  </w:style>
  <w:style w:type="character" w:styleId="BodyLat">
    <w:name w:val="مصطلح أجنبي في المتن Times 12"/>
    <w:uiPriority w:val="99"/>
    <w:unhideWhenUsed/>
    <w:rPr>
      <w:rFonts w:ascii="Times New Roman" w:cs="Times New Roman" w:eastAsia="Times New Roman" w:hAnsi="Times New Roman"/>
      <w:color w:val="000000"/>
      <w:sz w:val="24"/>
      <w:szCs w:val="24"/>
      <w:lang w:val="es-AR"/>
    </w:rPr>
  </w:style>
  <w:style w:type="character" w:styleId="FootAr">
    <w:name w:val="حاشية عربية (حرف)"/>
    <w:uiPriority w:val="99"/>
    <w:unhideWhenUsed/>
    <w:rPr>
      <w:rFonts w:ascii="Traditional Arabic" w:cs="Traditional Arabic" w:eastAsia="Traditional Arabic" w:hAnsi="Traditional Arabic"/>
      <w:sz w:val="28"/>
      <w:szCs w:val="28"/>
      <w:rtl/>
    </w:rPr>
  </w:style>
  <w:style w:type="character" w:styleId="FootLat">
    <w:name w:val="مصطلح أجنبي في الحاشية Times 10"/>
    <w:uiPriority w:val="99"/>
    <w:unhideWhenUsed/>
    <w:rPr>
      <w:rFonts w:ascii="Times New Roman" w:cs="Times New Roman" w:eastAsia="Times New Roman" w:hAnsi="Times New Roman"/>
      <w:sz w:val="20"/>
      <w:szCs w:val="20"/>
      <w:lang w:val="es-AR"/>
    </w:rPr>
  </w:style>
  <w:style w:type="character" w:styleId="FootnoteReference">
    <w:name w:val="رقم الحاشية في المتن مرتفع"/>
    <w:basedOn w:val="DefaultParagraphFont"/>
    <w:uiPriority w:val="99"/>
    <w:unhideWhenUsed/>
    <w:rPr>
      <w:rFonts w:ascii="Traditional Arabic" w:cs="Traditional Arabic" w:eastAsia="Traditional Arabic" w:hAnsi="Traditional Arabic"/>
      <w:sz w:val="28"/>
      <w:szCs w:val="28"/>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2026-10-20T03:17:02.317Z</dcterms:created>
  <dcterms:modified xsi:type="dcterms:W3CDTF">2026-10-20T03:17:02.326Z</dcterms:modified>
</cp:coreProperties>
</file>

<file path=docProps/custom.xml><?xml version="1.0" encoding="utf-8"?>
<Properties xmlns="http://schemas.openxmlformats.org/officeDocument/2006/custom-properties" xmlns:vt="http://schemas.openxmlformats.org/officeDocument/2006/docPropsVTypes"/>
</file>